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966"/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500"/>
        <w:gridCol w:w="527"/>
        <w:gridCol w:w="4153"/>
        <w:gridCol w:w="20"/>
      </w:tblGrid>
      <w:tr w:rsidR="006F55A5" w:rsidRPr="00962414" w:rsidTr="006F55A5">
        <w:trPr>
          <w:cantSplit/>
          <w:trHeight w:hRule="exact" w:val="340"/>
        </w:trPr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9180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6F55A5" w:rsidRPr="00962414" w:rsidRDefault="006F55A5" w:rsidP="006F55A5">
            <w:pPr>
              <w:pStyle w:val="oddln"/>
              <w:rPr>
                <w:rFonts w:asciiTheme="majorHAnsi" w:hAnsiTheme="majorHAnsi"/>
                <w:sz w:val="22"/>
              </w:rPr>
            </w:pPr>
            <w:r w:rsidRPr="00962414">
              <w:rPr>
                <w:rFonts w:asciiTheme="majorHAnsi" w:hAnsiTheme="majorHAnsi"/>
                <w:sz w:val="22"/>
                <w:szCs w:val="22"/>
              </w:rPr>
              <w:t>Děkanát fakulty technologické</w:t>
            </w:r>
          </w:p>
        </w:tc>
        <w:tc>
          <w:tcPr>
            <w:tcW w:w="20" w:type="dxa"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:rsidTr="006F55A5">
        <w:trPr>
          <w:cantSplit/>
          <w:trHeight w:hRule="exact" w:val="28"/>
          <w:tblHeader/>
        </w:trPr>
        <w:tc>
          <w:tcPr>
            <w:tcW w:w="360" w:type="dxa"/>
            <w:tcBorders>
              <w:top w:val="single" w:sz="4" w:space="0" w:color="auto"/>
            </w:tcBorders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noWrap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  <w:noWrap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:rsidTr="006F55A5">
        <w:trPr>
          <w:cantSplit/>
          <w:trHeight w:hRule="exact" w:val="1691"/>
          <w:tblHeader/>
        </w:trPr>
        <w:tc>
          <w:tcPr>
            <w:tcW w:w="360" w:type="dxa"/>
            <w:tcBorders>
              <w:bottom w:val="single" w:sz="4" w:space="0" w:color="auto"/>
            </w:tcBorders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noWrap/>
          </w:tcPr>
          <w:p w:rsidR="006F55A5" w:rsidRPr="00962414" w:rsidRDefault="006F55A5" w:rsidP="006F55A5">
            <w:pPr>
              <w:pStyle w:val="znaky"/>
              <w:rPr>
                <w:rFonts w:asciiTheme="majorHAnsi" w:hAnsiTheme="majorHAnsi"/>
                <w:sz w:val="22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bottom w:val="single" w:sz="4" w:space="0" w:color="auto"/>
            </w:tcBorders>
            <w:noWrap/>
            <w:tcMar>
              <w:top w:w="227" w:type="dxa"/>
              <w:left w:w="0" w:type="dxa"/>
              <w:bottom w:w="0" w:type="dxa"/>
              <w:right w:w="170" w:type="dxa"/>
            </w:tcMar>
          </w:tcPr>
          <w:p w:rsidR="008E06B0" w:rsidRDefault="008E06B0" w:rsidP="008E06B0">
            <w:pPr>
              <w:pStyle w:val="Adresapjemc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Rada pro vnitřní hodnocení</w:t>
            </w:r>
            <w:r w:rsidR="00BA74F2">
              <w:rPr>
                <w:rFonts w:ascii="Times New Roman" w:hAnsi="Times New Roman"/>
                <w:sz w:val="24"/>
              </w:rPr>
              <w:t xml:space="preserve"> UTB ve Zlíně</w:t>
            </w:r>
          </w:p>
          <w:p w:rsidR="008E06B0" w:rsidRDefault="008E06B0" w:rsidP="008E06B0">
            <w:pPr>
              <w:pStyle w:val="Adresapjemc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prof. Ing. </w:t>
            </w:r>
            <w:r w:rsidR="00707970">
              <w:rPr>
                <w:rFonts w:ascii="Times New Roman" w:hAnsi="Times New Roman"/>
                <w:sz w:val="24"/>
              </w:rPr>
              <w:t>Vladimír Sedlařík, Ph.D.</w:t>
            </w:r>
          </w:p>
          <w:p w:rsidR="00EA0ECA" w:rsidRPr="00C217F8" w:rsidRDefault="008E06B0" w:rsidP="008E06B0">
            <w:pPr>
              <w:rPr>
                <w:rFonts w:asciiTheme="majorHAnsi" w:hAnsiTheme="majorHAnsi"/>
              </w:rPr>
            </w:pPr>
            <w:r>
              <w:t>předseda</w:t>
            </w:r>
          </w:p>
          <w:p w:rsidR="006F55A5" w:rsidRPr="00962414" w:rsidRDefault="001C421B" w:rsidP="006F55A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UTB ve Zlíně</w:t>
            </w:r>
          </w:p>
        </w:tc>
        <w:tc>
          <w:tcPr>
            <w:tcW w:w="20" w:type="dxa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:rsidTr="006F55A5">
        <w:trPr>
          <w:cantSplit/>
          <w:trHeight w:hRule="exact" w:val="80"/>
          <w:tblHeader/>
        </w:trPr>
        <w:tc>
          <w:tcPr>
            <w:tcW w:w="360" w:type="dxa"/>
            <w:tcBorders>
              <w:top w:val="single" w:sz="4" w:space="0" w:color="auto"/>
            </w:tcBorders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noWrap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tcBorders>
              <w:top w:val="single" w:sz="4" w:space="0" w:color="auto"/>
            </w:tcBorders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tcBorders>
              <w:top w:val="single" w:sz="4" w:space="0" w:color="auto"/>
            </w:tcBorders>
            <w:noWrap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:rsidTr="006F55A5">
        <w:trPr>
          <w:cantSplit/>
          <w:trHeight w:hRule="exact" w:val="422"/>
          <w:tblHeader/>
        </w:trPr>
        <w:tc>
          <w:tcPr>
            <w:tcW w:w="360" w:type="dxa"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noWrap/>
            <w:vAlign w:val="center"/>
          </w:tcPr>
          <w:p w:rsidR="006F55A5" w:rsidRPr="00962414" w:rsidRDefault="00267FB0" w:rsidP="00707970">
            <w:pPr>
              <w:pStyle w:val="znaky"/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Č. j.</w:t>
            </w:r>
            <w:r w:rsidR="00A943F0">
              <w:rPr>
                <w:rFonts w:asciiTheme="majorHAnsi" w:hAnsiTheme="majorHAnsi"/>
                <w:sz w:val="22"/>
              </w:rPr>
              <w:t xml:space="preserve"> </w:t>
            </w:r>
            <w:r w:rsidR="002166FA">
              <w:rPr>
                <w:rFonts w:asciiTheme="majorHAnsi" w:hAnsiTheme="majorHAnsi"/>
                <w:sz w:val="22"/>
              </w:rPr>
              <w:t>045/20901/2019</w:t>
            </w:r>
          </w:p>
        </w:tc>
        <w:tc>
          <w:tcPr>
            <w:tcW w:w="527" w:type="dxa"/>
            <w:vAlign w:val="center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noWrap/>
            <w:vAlign w:val="center"/>
          </w:tcPr>
          <w:p w:rsidR="006F55A5" w:rsidRPr="00962414" w:rsidRDefault="006F55A5" w:rsidP="00D765DB">
            <w:pPr>
              <w:pStyle w:val="znaky"/>
              <w:rPr>
                <w:rFonts w:asciiTheme="majorHAnsi" w:hAnsiTheme="majorHAnsi"/>
                <w:sz w:val="22"/>
              </w:rPr>
            </w:pPr>
            <w:r w:rsidRPr="00962414">
              <w:rPr>
                <w:rFonts w:asciiTheme="majorHAnsi" w:hAnsiTheme="majorHAnsi"/>
                <w:sz w:val="22"/>
                <w:szCs w:val="22"/>
              </w:rPr>
              <w:t xml:space="preserve">Ve Zlíně dne: </w:t>
            </w:r>
          </w:p>
        </w:tc>
        <w:tc>
          <w:tcPr>
            <w:tcW w:w="20" w:type="dxa"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  <w:tr w:rsidR="006F55A5" w:rsidRPr="00962414" w:rsidTr="006F55A5">
        <w:trPr>
          <w:cantSplit/>
          <w:trHeight w:hRule="exact" w:val="228"/>
          <w:tblHeader/>
        </w:trPr>
        <w:tc>
          <w:tcPr>
            <w:tcW w:w="360" w:type="dxa"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500" w:type="dxa"/>
            <w:noWrap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527" w:type="dxa"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4153" w:type="dxa"/>
            <w:noWrap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  <w:tc>
          <w:tcPr>
            <w:tcW w:w="20" w:type="dxa"/>
            <w:vAlign w:val="bottom"/>
          </w:tcPr>
          <w:p w:rsidR="006F55A5" w:rsidRPr="00962414" w:rsidRDefault="006F55A5" w:rsidP="006F55A5">
            <w:pPr>
              <w:rPr>
                <w:rFonts w:asciiTheme="majorHAnsi" w:hAnsiTheme="majorHAnsi"/>
              </w:rPr>
            </w:pPr>
          </w:p>
        </w:tc>
      </w:tr>
    </w:tbl>
    <w:p w:rsidR="00962414" w:rsidRDefault="00962414" w:rsidP="00962414">
      <w:pPr>
        <w:rPr>
          <w:rFonts w:asciiTheme="majorHAnsi" w:hAnsiTheme="majorHAnsi"/>
          <w:sz w:val="22"/>
          <w:szCs w:val="22"/>
        </w:rPr>
      </w:pPr>
    </w:p>
    <w:p w:rsidR="00E85B73" w:rsidRDefault="00E85B73" w:rsidP="00962414">
      <w:pPr>
        <w:rPr>
          <w:rFonts w:asciiTheme="majorHAnsi" w:hAnsiTheme="majorHAnsi"/>
          <w:sz w:val="22"/>
          <w:szCs w:val="22"/>
        </w:rPr>
      </w:pPr>
    </w:p>
    <w:p w:rsidR="00EF2B44" w:rsidRPr="002A476C" w:rsidRDefault="00EF2B44" w:rsidP="00962414">
      <w:pPr>
        <w:rPr>
          <w:rFonts w:asciiTheme="majorHAnsi" w:hAnsiTheme="majorHAnsi"/>
          <w:sz w:val="22"/>
          <w:szCs w:val="22"/>
        </w:rPr>
      </w:pPr>
    </w:p>
    <w:p w:rsidR="008E06B0" w:rsidRPr="0049033F" w:rsidRDefault="008E06B0" w:rsidP="008E06B0">
      <w:pPr>
        <w:pStyle w:val="Closing"/>
        <w:jc w:val="both"/>
        <w:rPr>
          <w:rFonts w:ascii="Times New Roman" w:hAnsi="Times New Roman"/>
          <w:sz w:val="24"/>
        </w:rPr>
      </w:pPr>
      <w:r w:rsidRPr="0049033F">
        <w:rPr>
          <w:rFonts w:ascii="Times New Roman" w:hAnsi="Times New Roman"/>
          <w:sz w:val="24"/>
        </w:rPr>
        <w:t>Vážen</w:t>
      </w:r>
      <w:r>
        <w:rPr>
          <w:rFonts w:ascii="Times New Roman" w:hAnsi="Times New Roman"/>
          <w:sz w:val="24"/>
        </w:rPr>
        <w:t>ý pane předsedo,</w:t>
      </w:r>
    </w:p>
    <w:p w:rsidR="008E06B0" w:rsidRPr="0049033F" w:rsidRDefault="008E06B0" w:rsidP="008E06B0">
      <w:pPr>
        <w:pStyle w:val="Closing"/>
        <w:jc w:val="both"/>
        <w:rPr>
          <w:rFonts w:ascii="Times New Roman" w:hAnsi="Times New Roman"/>
          <w:sz w:val="24"/>
        </w:rPr>
      </w:pPr>
    </w:p>
    <w:p w:rsidR="008E06B0" w:rsidRDefault="00707970" w:rsidP="00707970">
      <w:pPr>
        <w:pStyle w:val="Closing"/>
        <w:jc w:val="both"/>
        <w:rPr>
          <w:rFonts w:ascii="Times New Roman" w:hAnsi="Times New Roman"/>
          <w:sz w:val="24"/>
        </w:rPr>
      </w:pPr>
      <w:r w:rsidRPr="0049033F">
        <w:rPr>
          <w:rFonts w:ascii="Times New Roman" w:hAnsi="Times New Roman"/>
          <w:sz w:val="24"/>
        </w:rPr>
        <w:t xml:space="preserve">předkládáme Vám </w:t>
      </w:r>
      <w:r>
        <w:rPr>
          <w:rFonts w:ascii="Times New Roman" w:hAnsi="Times New Roman"/>
          <w:sz w:val="24"/>
        </w:rPr>
        <w:t>upravenou žádost</w:t>
      </w:r>
      <w:r w:rsidRPr="0049033F">
        <w:rPr>
          <w:rFonts w:ascii="Times New Roman" w:hAnsi="Times New Roman"/>
          <w:sz w:val="24"/>
        </w:rPr>
        <w:t xml:space="preserve"> o </w:t>
      </w:r>
      <w:r w:rsidRPr="00FB638E">
        <w:rPr>
          <w:rFonts w:ascii="Times New Roman" w:hAnsi="Times New Roman"/>
          <w:sz w:val="24"/>
        </w:rPr>
        <w:t>novou akreditaci</w:t>
      </w:r>
      <w:r w:rsidRPr="0049033F">
        <w:rPr>
          <w:rFonts w:ascii="Times New Roman" w:hAnsi="Times New Roman"/>
          <w:sz w:val="24"/>
        </w:rPr>
        <w:t xml:space="preserve"> doktorského studijního programu </w:t>
      </w:r>
      <w:r w:rsidRPr="00EB4890">
        <w:rPr>
          <w:rFonts w:ascii="Times New Roman" w:hAnsi="Times New Roman"/>
          <w:sz w:val="24"/>
        </w:rPr>
        <w:t>Technologie makromolekulárních látek</w:t>
      </w:r>
      <w:r w:rsidRPr="0049033F">
        <w:rPr>
          <w:rFonts w:ascii="Times New Roman" w:hAnsi="Times New Roman"/>
          <w:sz w:val="24"/>
        </w:rPr>
        <w:t xml:space="preserve"> v</w:t>
      </w:r>
      <w:r>
        <w:rPr>
          <w:rFonts w:ascii="Times New Roman" w:hAnsi="Times New Roman"/>
          <w:sz w:val="24"/>
        </w:rPr>
        <w:t> </w:t>
      </w:r>
      <w:r w:rsidRPr="0049033F">
        <w:rPr>
          <w:rFonts w:ascii="Times New Roman" w:hAnsi="Times New Roman"/>
          <w:sz w:val="24"/>
        </w:rPr>
        <w:t>prezenční</w:t>
      </w:r>
      <w:r>
        <w:rPr>
          <w:rFonts w:ascii="Times New Roman" w:hAnsi="Times New Roman"/>
          <w:sz w:val="24"/>
        </w:rPr>
        <w:t xml:space="preserve"> a kombinované</w:t>
      </w:r>
      <w:r w:rsidRPr="0049033F">
        <w:rPr>
          <w:rFonts w:ascii="Times New Roman" w:hAnsi="Times New Roman"/>
          <w:sz w:val="24"/>
        </w:rPr>
        <w:t xml:space="preserve"> formě studia a ekvivalentního doktorského studijního programu </w:t>
      </w:r>
      <w:r>
        <w:rPr>
          <w:rFonts w:ascii="Times New Roman" w:hAnsi="Times New Roman"/>
          <w:sz w:val="24"/>
        </w:rPr>
        <w:t xml:space="preserve">Technology of Macromolecular Substances </w:t>
      </w:r>
      <w:r w:rsidRPr="0049033F">
        <w:rPr>
          <w:rFonts w:ascii="Times New Roman" w:hAnsi="Times New Roman"/>
          <w:sz w:val="24"/>
        </w:rPr>
        <w:t>vyučovaného v anglickém jazyce v</w:t>
      </w:r>
      <w:r>
        <w:rPr>
          <w:rFonts w:ascii="Times New Roman" w:hAnsi="Times New Roman"/>
          <w:sz w:val="24"/>
        </w:rPr>
        <w:t> </w:t>
      </w:r>
      <w:r w:rsidRPr="0049033F">
        <w:rPr>
          <w:rFonts w:ascii="Times New Roman" w:hAnsi="Times New Roman"/>
          <w:sz w:val="24"/>
        </w:rPr>
        <w:t>prezenční</w:t>
      </w:r>
      <w:r>
        <w:rPr>
          <w:rFonts w:ascii="Times New Roman" w:hAnsi="Times New Roman"/>
          <w:sz w:val="24"/>
        </w:rPr>
        <w:t xml:space="preserve"> a kombinované formě studia.</w:t>
      </w:r>
    </w:p>
    <w:p w:rsidR="00707970" w:rsidRDefault="00707970" w:rsidP="00707970">
      <w:pPr>
        <w:pStyle w:val="Closing"/>
        <w:jc w:val="both"/>
        <w:rPr>
          <w:rFonts w:ascii="Times New Roman" w:hAnsi="Times New Roman"/>
          <w:sz w:val="24"/>
        </w:rPr>
      </w:pPr>
    </w:p>
    <w:p w:rsidR="007C7182" w:rsidRDefault="00707970" w:rsidP="00707970">
      <w:pPr>
        <w:pStyle w:val="Clos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Tato žádost byla </w:t>
      </w:r>
      <w:r w:rsidR="009F195D">
        <w:rPr>
          <w:rFonts w:ascii="Times New Roman" w:hAnsi="Times New Roman"/>
          <w:sz w:val="24"/>
        </w:rPr>
        <w:t xml:space="preserve">připomínkována Radou pro vnitřní hodnocení UTB ve Zlíně </w:t>
      </w:r>
      <w:r w:rsidR="00D765DB">
        <w:rPr>
          <w:rFonts w:ascii="Times New Roman" w:hAnsi="Times New Roman"/>
          <w:sz w:val="24"/>
        </w:rPr>
        <w:t>na 11. korespondenčním hlasování dne 12. 8. 2019</w:t>
      </w:r>
    </w:p>
    <w:p w:rsidR="00D765DB" w:rsidRDefault="00D765DB" w:rsidP="00707970">
      <w:pPr>
        <w:pStyle w:val="Closing"/>
        <w:jc w:val="both"/>
        <w:rPr>
          <w:rFonts w:ascii="Times New Roman" w:hAnsi="Times New Roman"/>
          <w:sz w:val="24"/>
        </w:rPr>
      </w:pPr>
    </w:p>
    <w:p w:rsidR="007C7182" w:rsidRDefault="007C7182" w:rsidP="00707970">
      <w:pPr>
        <w:pStyle w:val="Clos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Předkládáme tímto vypo</w:t>
      </w:r>
      <w:r w:rsidR="00B31EF5">
        <w:rPr>
          <w:rFonts w:ascii="Times New Roman" w:hAnsi="Times New Roman"/>
          <w:sz w:val="24"/>
        </w:rPr>
        <w:t>řádání následujících připomínek k usnesení</w:t>
      </w:r>
      <w:r w:rsidR="008B4783">
        <w:rPr>
          <w:rFonts w:ascii="Times New Roman" w:hAnsi="Times New Roman"/>
          <w:sz w:val="24"/>
        </w:rPr>
        <w:t>m</w:t>
      </w:r>
      <w:r w:rsidR="00B31EF5">
        <w:rPr>
          <w:rFonts w:ascii="Times New Roman" w:hAnsi="Times New Roman"/>
          <w:sz w:val="24"/>
        </w:rPr>
        <w:t xml:space="preserve"> č. 1/kh11</w:t>
      </w:r>
      <w:r w:rsidR="008B4783">
        <w:rPr>
          <w:rFonts w:ascii="Times New Roman" w:hAnsi="Times New Roman"/>
          <w:sz w:val="24"/>
        </w:rPr>
        <w:t xml:space="preserve"> a č. 2/kh11</w:t>
      </w:r>
      <w:r w:rsidR="00B31EF5">
        <w:rPr>
          <w:rFonts w:ascii="Times New Roman" w:hAnsi="Times New Roman"/>
          <w:sz w:val="24"/>
        </w:rPr>
        <w:t>:</w:t>
      </w:r>
    </w:p>
    <w:p w:rsidR="00D01D04" w:rsidRDefault="00D01D04" w:rsidP="00707970">
      <w:pPr>
        <w:pStyle w:val="Closing"/>
        <w:jc w:val="both"/>
        <w:rPr>
          <w:rFonts w:ascii="Times New Roman" w:hAnsi="Times New Roman"/>
          <w:sz w:val="24"/>
        </w:rPr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22"/>
        <w:contextualSpacing w:val="0"/>
        <w:jc w:val="both"/>
      </w:pPr>
      <w:r>
        <w:t>U povinně volitelných předmětů „Makromolekulární chemie“ a „Fyzika polymerů“ více konkretizovat některá z předkládaných základních</w:t>
      </w:r>
      <w:r>
        <w:rPr>
          <w:spacing w:val="-2"/>
        </w:rPr>
        <w:t xml:space="preserve"> </w:t>
      </w:r>
      <w:r>
        <w:t>témat.</w:t>
      </w:r>
    </w:p>
    <w:p w:rsidR="00D01D04" w:rsidRP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1560" w:hanging="1014"/>
        <w:jc w:val="both"/>
        <w:rPr>
          <w:i/>
        </w:rPr>
      </w:pPr>
      <w:r w:rsidRPr="00D01D04">
        <w:rPr>
          <w:i/>
        </w:rPr>
        <w:t xml:space="preserve">U povinně volitelných předmětů „Makromolekulární chemie“ a „Fyzika polymerů“ byla </w:t>
      </w:r>
    </w:p>
    <w:p w:rsid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1560" w:hanging="1014"/>
        <w:jc w:val="both"/>
        <w:rPr>
          <w:i/>
        </w:rPr>
      </w:pPr>
      <w:r w:rsidRPr="00D01D04">
        <w:rPr>
          <w:i/>
        </w:rPr>
        <w:t>provedena konkretizace některých z předkládaných základních témat, jak požadováno.</w:t>
      </w:r>
    </w:p>
    <w:p w:rsidR="002721F0" w:rsidRPr="00D01D04" w:rsidRDefault="002721F0" w:rsidP="002721F0">
      <w:pPr>
        <w:pStyle w:val="NormalWeb"/>
        <w:tabs>
          <w:tab w:val="left" w:pos="142"/>
        </w:tabs>
        <w:spacing w:before="0" w:beforeAutospacing="0" w:after="0" w:afterAutospacing="0"/>
        <w:ind w:left="1560" w:hanging="1014"/>
        <w:jc w:val="both"/>
        <w:rPr>
          <w:i/>
        </w:rPr>
      </w:pPr>
      <w:r w:rsidRPr="00D01D04">
        <w:rPr>
          <w:i/>
        </w:rPr>
        <w:t xml:space="preserve">U povinně volitelného předmětu „Fyzika polymerů“ byla provedena oprava termínu </w:t>
      </w:r>
    </w:p>
    <w:p w:rsidR="002721F0" w:rsidRPr="00D01D04" w:rsidRDefault="002721F0" w:rsidP="002721F0">
      <w:pPr>
        <w:pStyle w:val="NormalWeb"/>
        <w:tabs>
          <w:tab w:val="left" w:pos="142"/>
        </w:tabs>
        <w:spacing w:before="0" w:beforeAutospacing="0" w:after="0" w:afterAutospacing="0"/>
        <w:ind w:left="1560" w:hanging="1014"/>
        <w:jc w:val="both"/>
        <w:rPr>
          <w:i/>
        </w:rPr>
      </w:pPr>
      <w:r w:rsidRPr="00D01D04">
        <w:rPr>
          <w:i/>
        </w:rPr>
        <w:t>„molekulární hmotnost“ na „molární hmotnost“.</w:t>
      </w:r>
    </w:p>
    <w:p w:rsidR="002721F0" w:rsidRPr="00D01D04" w:rsidRDefault="002721F0" w:rsidP="00D01D04">
      <w:pPr>
        <w:pStyle w:val="NormalWeb"/>
        <w:tabs>
          <w:tab w:val="left" w:pos="142"/>
        </w:tabs>
        <w:spacing w:before="0" w:beforeAutospacing="0" w:after="0" w:afterAutospacing="0"/>
        <w:ind w:left="1560" w:hanging="1014"/>
        <w:jc w:val="both"/>
        <w:rPr>
          <w:i/>
        </w:rPr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14"/>
        <w:contextualSpacing w:val="0"/>
        <w:jc w:val="both"/>
      </w:pPr>
      <w:r>
        <w:t>Konkrétněji specifikovat povinnost absolvování části studia na zahraniční instituci nebo na mezinárodním tvůrčím projektu, zejména pak formulaci „nebo jiná forma přímé účasti studenta na mezinárodní</w:t>
      </w:r>
      <w:r>
        <w:rPr>
          <w:spacing w:val="-3"/>
        </w:rPr>
        <w:t xml:space="preserve"> </w:t>
      </w:r>
      <w:r>
        <w:t>spolupráci“.</w:t>
      </w:r>
    </w:p>
    <w:p w:rsidR="00D01D04" w:rsidRDefault="00D01D04" w:rsidP="007C7943">
      <w:pPr>
        <w:pStyle w:val="ListParagraph"/>
        <w:widowControl w:val="0"/>
        <w:tabs>
          <w:tab w:val="left" w:pos="825"/>
        </w:tabs>
        <w:autoSpaceDE w:val="0"/>
        <w:autoSpaceDN w:val="0"/>
        <w:ind w:left="567" w:right="114"/>
        <w:contextualSpacing w:val="0"/>
        <w:jc w:val="both"/>
        <w:rPr>
          <w:i/>
        </w:rPr>
      </w:pPr>
      <w:r w:rsidRPr="00D01D04">
        <w:rPr>
          <w:i/>
        </w:rPr>
        <w:t>Akreditační spis byl ve dvou následujících částech upraven tak, aby daná povinnost byla konkrétněji specifikována, jak požadováno (viz níže).</w:t>
      </w:r>
    </w:p>
    <w:p w:rsidR="00D01D04" w:rsidRPr="00D01D04" w:rsidRDefault="00D01D04" w:rsidP="007C7943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u w:val="single"/>
        </w:rPr>
      </w:pPr>
      <w:r w:rsidRPr="00D01D04">
        <w:rPr>
          <w:i/>
          <w:u w:val="single"/>
        </w:rPr>
        <w:t>Pravidla a podmínky pro tvorbu studijních plánů</w:t>
      </w:r>
    </w:p>
    <w:p w:rsidR="00D01D04" w:rsidRPr="00D01D04" w:rsidRDefault="00D01D04" w:rsidP="007C7943">
      <w:pPr>
        <w:shd w:val="clear" w:color="auto" w:fill="FFFFFF"/>
        <w:ind w:left="567"/>
        <w:jc w:val="both"/>
        <w:rPr>
          <w:i/>
        </w:rPr>
      </w:pPr>
      <w:r w:rsidRPr="00D01D04">
        <w:rPr>
          <w:i/>
        </w:rPr>
        <w:t>„Povinnou součástí Individuálního studijního plánu jsou dva požadavky pro řádné ukončení studia, a to následující:</w:t>
      </w:r>
    </w:p>
    <w:p w:rsidR="00D01D04" w:rsidRPr="00D01D04" w:rsidRDefault="00D01D04" w:rsidP="00D01D04">
      <w:pPr>
        <w:pStyle w:val="ListParagraph"/>
        <w:numPr>
          <w:ilvl w:val="0"/>
          <w:numId w:val="7"/>
        </w:numPr>
        <w:shd w:val="clear" w:color="auto" w:fill="FFFFFF"/>
        <w:jc w:val="both"/>
        <w:rPr>
          <w:i/>
        </w:rPr>
      </w:pPr>
      <w:r w:rsidRPr="00D01D04">
        <w:rPr>
          <w:i/>
        </w:rPr>
        <w:t xml:space="preserve">doložení nejméně dvou publikací v časopisech evidovaných v databázi Web of Science s příznakem article (podmínkou je akceptace v tisku), kdy alespoň u jedné z nich je doktorand uveden jako první autor (viz. Článek 37 SZŘ UTB a VP FT UTB), </w:t>
      </w:r>
    </w:p>
    <w:p w:rsidR="00D01D04" w:rsidRPr="00D01D04" w:rsidRDefault="00D01D04" w:rsidP="00D01D04">
      <w:pPr>
        <w:pStyle w:val="ListParagraph"/>
        <w:numPr>
          <w:ilvl w:val="0"/>
          <w:numId w:val="7"/>
        </w:numPr>
        <w:shd w:val="clear" w:color="auto" w:fill="FFFFFF"/>
        <w:jc w:val="both"/>
        <w:rPr>
          <w:i/>
        </w:rPr>
      </w:pPr>
      <w:r w:rsidRPr="00D01D04">
        <w:rPr>
          <w:i/>
        </w:rPr>
        <w:t>absolvování studijního pobytu na zahraniční instituci v délce nejméně jednoho měsíce dle Nařízení vlády č. 274/2016 Sb. o standardech pro akreditace ve vysokém školství (v části 2, hlava 2, písmeno H. 3).“</w:t>
      </w:r>
    </w:p>
    <w:p w:rsid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360"/>
        <w:jc w:val="both"/>
        <w:rPr>
          <w:i/>
          <w:color w:val="FF0000"/>
          <w:u w:val="single"/>
        </w:rPr>
      </w:pPr>
    </w:p>
    <w:p w:rsid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360"/>
        <w:jc w:val="both"/>
        <w:rPr>
          <w:i/>
          <w:color w:val="FF0000"/>
          <w:u w:val="single"/>
        </w:rPr>
      </w:pPr>
    </w:p>
    <w:p w:rsidR="00D01D04" w:rsidRP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360"/>
        <w:jc w:val="both"/>
        <w:rPr>
          <w:i/>
          <w:u w:val="single"/>
        </w:rPr>
      </w:pPr>
      <w:r>
        <w:rPr>
          <w:i/>
          <w:color w:val="FF0000"/>
          <w:u w:val="single"/>
        </w:rPr>
        <w:lastRenderedPageBreak/>
        <w:br/>
      </w:r>
      <w:r w:rsidRPr="00D01D04">
        <w:rPr>
          <w:i/>
          <w:u w:val="single"/>
        </w:rPr>
        <w:t>Požadavky na absolvování stáží </w:t>
      </w:r>
    </w:p>
    <w:p w:rsidR="00D01D04" w:rsidRP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360"/>
        <w:jc w:val="both"/>
        <w:rPr>
          <w:i/>
          <w:u w:val="single"/>
        </w:rPr>
      </w:pPr>
      <w:r w:rsidRPr="00D01D04">
        <w:rPr>
          <w:i/>
        </w:rPr>
        <w:t>„</w:t>
      </w:r>
      <w:r w:rsidRPr="00D01D04">
        <w:rPr>
          <w:i/>
          <w:spacing w:val="-2"/>
        </w:rPr>
        <w:t>Součástí studijních povinností v doktorském studijním programu je povinnost absolvovat část studia na zahraniční instituci v délce nejméně jednoho měsíce.“.</w:t>
      </w:r>
    </w:p>
    <w:p w:rsidR="00D01D04" w:rsidRPr="00D01D04" w:rsidRDefault="00D01D04" w:rsidP="00D01D04">
      <w:pPr>
        <w:pStyle w:val="ListParagraph"/>
        <w:widowControl w:val="0"/>
        <w:tabs>
          <w:tab w:val="left" w:pos="825"/>
        </w:tabs>
        <w:autoSpaceDE w:val="0"/>
        <w:autoSpaceDN w:val="0"/>
        <w:ind w:left="426" w:right="114"/>
        <w:contextualSpacing w:val="0"/>
        <w:jc w:val="both"/>
        <w:rPr>
          <w:i/>
        </w:rPr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22"/>
        <w:contextualSpacing w:val="0"/>
        <w:jc w:val="both"/>
      </w:pPr>
      <w:r>
        <w:t>Důkladněji vysvětlit preferenci samostudia před přímou výukou (jinou než individuální</w:t>
      </w:r>
      <w:r>
        <w:rPr>
          <w:spacing w:val="-1"/>
        </w:rPr>
        <w:t xml:space="preserve"> </w:t>
      </w:r>
      <w:r>
        <w:t>konzultace).</w:t>
      </w:r>
    </w:p>
    <w:p w:rsidR="00D01D04" w:rsidRPr="00D01D04" w:rsidRDefault="00D01D04" w:rsidP="00D01D04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b/>
          <w:i/>
        </w:rPr>
      </w:pPr>
      <w:r w:rsidRPr="00D01D04">
        <w:rPr>
          <w:i/>
        </w:rPr>
        <w:t>Kontaktní forma výuky (jiná než individuální konzultace) se předpokládá pouze u jediného povinného dvousemestrálního předmětu Odborná komunikace v angličtině, o celkovém rozsahu přímé seminární výuky 112h (podrobný popis je uveden v kartě daného povinného předmětu). U všech ostatních volitelných předmětů se předpokládá jejich realizace formou samostudia, kde kontaktní forma výuky bude realizována především konzultacemi (či demonstrací) se specifickým důrazem na individuální práci studentů a práci s textem (podrobný popis je opět uveden v kartách volitelných předmětů). Široká nabídka</w:t>
      </w:r>
      <w:r w:rsidR="002721F0">
        <w:rPr>
          <w:i/>
        </w:rPr>
        <w:t>,</w:t>
      </w:r>
      <w:r w:rsidRPr="00D01D04">
        <w:rPr>
          <w:i/>
        </w:rPr>
        <w:t xml:space="preserve"> celkem 31 volitelných předmětů realizovaných formou individuálních konzultací</w:t>
      </w:r>
      <w:r w:rsidR="002721F0">
        <w:rPr>
          <w:i/>
        </w:rPr>
        <w:t>,</w:t>
      </w:r>
      <w:r w:rsidRPr="00D01D04">
        <w:rPr>
          <w:i/>
        </w:rPr>
        <w:t xml:space="preserve"> bude umožňovat velmi intenzivní rozvoj vzdělání a tvůrčího potenciálu každého studenta, a to s ohledem na nejnovější trendy v oboru, jejich individuální potřeby, přednosti a vědecké zaměření vycházející z připravované disertační práce. Individuální konzultace budou dále umožňovat jak rozpoznání míry pochopení základních témat, principů a pojmů vyučujícími daných předmětů, tak vytvářet dostatečný prostor studentům pro zodpovězení jejich otázek vycházejících ze studia povinné a doporučené literatury.</w:t>
      </w:r>
    </w:p>
    <w:p w:rsidR="00D01D04" w:rsidRDefault="00D01D04" w:rsidP="00D01D04">
      <w:pPr>
        <w:pStyle w:val="ListParagraph"/>
        <w:widowControl w:val="0"/>
        <w:tabs>
          <w:tab w:val="left" w:pos="825"/>
        </w:tabs>
        <w:autoSpaceDE w:val="0"/>
        <w:autoSpaceDN w:val="0"/>
        <w:ind w:left="426" w:right="122"/>
        <w:contextualSpacing w:val="0"/>
        <w:jc w:val="both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15"/>
        <w:contextualSpacing w:val="0"/>
        <w:jc w:val="both"/>
      </w:pPr>
      <w:r>
        <w:t>Zejména u povinně volitelných předmětů zvážit případný přínos přímé výuky i jinou formou než konzultační – např. formou přednášek (viz sebehodnotící zpráva, standardy 3.1 –</w:t>
      </w:r>
      <w:r>
        <w:rPr>
          <w:spacing w:val="-5"/>
        </w:rPr>
        <w:t xml:space="preserve"> </w:t>
      </w:r>
      <w:r>
        <w:t>3.4).</w:t>
      </w:r>
    </w:p>
    <w:p w:rsidR="00BE1E85" w:rsidRPr="00BE1E85" w:rsidRDefault="00BE1E85" w:rsidP="00BE1E85">
      <w:pPr>
        <w:ind w:left="567"/>
        <w:jc w:val="both"/>
        <w:rPr>
          <w:i/>
        </w:rPr>
      </w:pPr>
      <w:r w:rsidRPr="00BE1E85">
        <w:rPr>
          <w:i/>
        </w:rPr>
        <w:t xml:space="preserve">Doplnění individuální výuky o příležitostné přednášky (či přednáškové bloky) s jistým pravidelným charakterem, které by byly realizovaný odborníky z ČR a zahraničí, lze považovat za velmi přínosné. V tomto roce byl například na FT UTB ve Zlíně zrealizován pro doktorandy třídenní přednáškový cyklus prof. Ing. Jana Rody, CSc. z Ústavu polymerů VŠCHT Praha na téma „Základy makromolekulární chemie – příprava </w:t>
      </w:r>
      <w:r w:rsidRPr="00BE1E85">
        <w:rPr>
          <w:i/>
          <w:lang w:val="en-US"/>
        </w:rPr>
        <w:t>&amp; vlastnosti polymerů</w:t>
      </w:r>
      <w:r w:rsidRPr="00BE1E85">
        <w:rPr>
          <w:i/>
        </w:rPr>
        <w:t>“. V této činnosti bychom rádi pokračovali i nadále. Vzhledem k tomu však, že v současné době není žádný z odborných předmětů koncipován jako povinný (byť si student musí povinně zvolit min. 2 ze 4 nosných předmětů a minimálně 1 z 27 doplňkových předmětů), počet přijímaných studentů je relativně nízký (v porovnání s magisterským studijním programem) a celá koncepce výuky je orientována zejména na individuální rozvoj studentů, se v současné době zavedení kontaktní výuky ve formě pravidelných přednášek či seminářů u daných volitelných předmětů nepředpokládá</w:t>
      </w:r>
      <w:r w:rsidRPr="00BE1E85">
        <w:rPr>
          <w:i/>
          <w:lang w:val="en-US"/>
        </w:rPr>
        <w:t>.</w:t>
      </w:r>
      <w:r w:rsidRPr="00BE1E85">
        <w:rPr>
          <w:i/>
        </w:rPr>
        <w:t xml:space="preserve"> </w:t>
      </w:r>
    </w:p>
    <w:p w:rsidR="00BE1E85" w:rsidRDefault="00BE1E85" w:rsidP="00BE1E85">
      <w:pPr>
        <w:pStyle w:val="ListParagraph"/>
        <w:widowControl w:val="0"/>
        <w:tabs>
          <w:tab w:val="left" w:pos="825"/>
        </w:tabs>
        <w:autoSpaceDE w:val="0"/>
        <w:autoSpaceDN w:val="0"/>
        <w:ind w:left="426" w:right="115"/>
        <w:contextualSpacing w:val="0"/>
        <w:jc w:val="both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21"/>
        <w:contextualSpacing w:val="0"/>
        <w:jc w:val="both"/>
      </w:pPr>
      <w:r>
        <w:t>U každého předmětu, zejména pak u povinně volitelných předmětů, uvést mezi povinnou literaturou alespoň jeden zdroj mladší roku</w:t>
      </w:r>
      <w:r>
        <w:rPr>
          <w:spacing w:val="-1"/>
        </w:rPr>
        <w:t xml:space="preserve"> </w:t>
      </w:r>
      <w:r>
        <w:t>2009.</w:t>
      </w:r>
    </w:p>
    <w:p w:rsidR="00BE1E85" w:rsidRDefault="00BE1E85" w:rsidP="00BE1E85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</w:rPr>
      </w:pPr>
      <w:r w:rsidRPr="00BE1E85">
        <w:rPr>
          <w:i/>
        </w:rPr>
        <w:t>U každé karty předmětu, která neobsahovala v povinné literatuře alespoň jeden zdroj mladší roku 2009 bylo provedeno doplnění, jak požadováno (podrobněji, viz níže):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i/>
          <w:sz w:val="16"/>
          <w:szCs w:val="16"/>
          <w:u w:val="single"/>
        </w:rPr>
        <w:t>Fyzika polymerů</w:t>
      </w:r>
      <w:r w:rsidR="00445579" w:rsidRPr="004B7DAA">
        <w:rPr>
          <w:i/>
          <w:sz w:val="16"/>
          <w:szCs w:val="16"/>
          <w:u w:val="single"/>
        </w:rPr>
        <w:t xml:space="preserve"> (Physics of Polymers)</w:t>
      </w:r>
      <w:r w:rsidRPr="004B7DAA">
        <w:rPr>
          <w:i/>
          <w:sz w:val="16"/>
          <w:szCs w:val="16"/>
          <w:u w:val="single"/>
        </w:rPr>
        <w:t>:</w:t>
      </w:r>
      <w:r w:rsidRPr="004B7DAA">
        <w:rPr>
          <w:i/>
          <w:sz w:val="16"/>
          <w:szCs w:val="16"/>
        </w:rPr>
        <w:t xml:space="preserve">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rPr>
          <w:i/>
          <w:sz w:val="16"/>
          <w:szCs w:val="16"/>
        </w:rPr>
      </w:pPr>
      <w:r w:rsidRPr="004B7DAA">
        <w:rPr>
          <w:i/>
          <w:sz w:val="16"/>
          <w:szCs w:val="16"/>
        </w:rPr>
        <w:t xml:space="preserve">SHAW, M.T., </w:t>
      </w:r>
      <w:r w:rsidRPr="004B7DAA">
        <w:rPr>
          <w:rStyle w:val="a-declarative"/>
          <w:i/>
          <w:sz w:val="16"/>
          <w:szCs w:val="16"/>
        </w:rPr>
        <w:t xml:space="preserve">MACKNIGHT, W.J. </w:t>
      </w:r>
      <w:r w:rsidRPr="004B7DAA">
        <w:rPr>
          <w:i/>
          <w:sz w:val="16"/>
          <w:szCs w:val="16"/>
        </w:rPr>
        <w:t>Introduction to Polymer Viscoelasticity (4th Edition). Hoboken: Wiley, 2018.</w:t>
      </w:r>
      <w:r w:rsidRPr="004B7DAA">
        <w:rPr>
          <w:i/>
          <w:sz w:val="16"/>
          <w:szCs w:val="16"/>
        </w:rPr>
        <w:br/>
      </w:r>
      <w:r w:rsidRPr="004B7DAA">
        <w:rPr>
          <w:bCs/>
          <w:i/>
          <w:sz w:val="16"/>
          <w:szCs w:val="16"/>
        </w:rPr>
        <w:t xml:space="preserve">UTRACKI, L.A., JAMIESON, A.M. </w:t>
      </w:r>
      <w:r w:rsidRPr="004B7DAA">
        <w:rPr>
          <w:i/>
          <w:sz w:val="16"/>
          <w:szCs w:val="16"/>
        </w:rPr>
        <w:t>Polymer Physics: From Suspensions to Nanocomposites and Beyond. Hoboken: Wiley, 2010.</w:t>
      </w:r>
      <w:r w:rsidRPr="004B7DAA">
        <w:rPr>
          <w:i/>
          <w:sz w:val="16"/>
          <w:szCs w:val="16"/>
        </w:rPr>
        <w:br/>
      </w:r>
      <w:r w:rsidRPr="004B7DAA">
        <w:rPr>
          <w:bCs/>
          <w:i/>
          <w:sz w:val="16"/>
          <w:szCs w:val="16"/>
        </w:rPr>
        <w:t xml:space="preserve">VAN KREVELEN, D.W., </w:t>
      </w:r>
      <w:hyperlink r:id="rId7" w:history="1">
        <w:r w:rsidRPr="004B7DAA">
          <w:rPr>
            <w:bCs/>
            <w:i/>
            <w:sz w:val="16"/>
            <w:szCs w:val="16"/>
          </w:rPr>
          <w:t>TE NIJENHUIS, K.</w:t>
        </w:r>
      </w:hyperlink>
      <w:r w:rsidRPr="004B7DAA">
        <w:rPr>
          <w:bCs/>
          <w:i/>
          <w:sz w:val="16"/>
          <w:szCs w:val="16"/>
        </w:rPr>
        <w:t xml:space="preserve"> </w:t>
      </w:r>
      <w:r w:rsidRPr="004B7DAA">
        <w:rPr>
          <w:i/>
          <w:sz w:val="16"/>
          <w:szCs w:val="16"/>
        </w:rPr>
        <w:t>Properties of Polymers: Their Correlation with Chemical Structure; their Numerical Estimation and Prediction from Additive Group Contributions (4th Edition). Amsterdam: Elsevier, 2009.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i/>
          <w:sz w:val="16"/>
          <w:szCs w:val="16"/>
          <w:u w:val="single"/>
        </w:rPr>
        <w:t>Makromolekulární chemie</w:t>
      </w:r>
      <w:r w:rsidR="00445579" w:rsidRPr="004B7DAA">
        <w:rPr>
          <w:i/>
          <w:sz w:val="16"/>
          <w:szCs w:val="16"/>
          <w:u w:val="single"/>
        </w:rPr>
        <w:t xml:space="preserve"> (Macromolecular Chemistry)</w:t>
      </w:r>
      <w:r w:rsidRPr="004B7DAA">
        <w:rPr>
          <w:i/>
          <w:sz w:val="16"/>
          <w:szCs w:val="16"/>
          <w:u w:val="single"/>
        </w:rPr>
        <w:t>:</w:t>
      </w:r>
      <w:r w:rsidRPr="004B7DAA">
        <w:rPr>
          <w:i/>
          <w:sz w:val="16"/>
          <w:szCs w:val="16"/>
        </w:rPr>
        <w:t xml:space="preserve">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rStyle w:val="author"/>
          <w:i/>
          <w:sz w:val="16"/>
          <w:szCs w:val="16"/>
        </w:rPr>
        <w:t>KOLTZENBURG, S., MASKOS, M.</w:t>
      </w:r>
      <w:r w:rsidRPr="004B7DAA">
        <w:rPr>
          <w:rStyle w:val="a-color-secondary"/>
          <w:i/>
          <w:sz w:val="16"/>
          <w:szCs w:val="16"/>
        </w:rPr>
        <w:t xml:space="preserve">, </w:t>
      </w:r>
      <w:r w:rsidRPr="004B7DAA">
        <w:rPr>
          <w:rStyle w:val="author"/>
          <w:i/>
          <w:sz w:val="16"/>
          <w:szCs w:val="16"/>
        </w:rPr>
        <w:t xml:space="preserve">NUYKEN, O. </w:t>
      </w:r>
      <w:r w:rsidRPr="004B7DAA">
        <w:rPr>
          <w:rStyle w:val="a-size-extra-large"/>
          <w:i/>
          <w:sz w:val="16"/>
          <w:szCs w:val="16"/>
        </w:rPr>
        <w:t xml:space="preserve">Polymer Chemistry. </w:t>
      </w:r>
      <w:r w:rsidRPr="004B7DAA">
        <w:rPr>
          <w:i/>
          <w:sz w:val="16"/>
          <w:szCs w:val="16"/>
        </w:rPr>
        <w:t>Berlin: Springer, 2017.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i/>
          <w:sz w:val="16"/>
          <w:szCs w:val="16"/>
        </w:rPr>
        <w:t xml:space="preserve">NICHOLSON, J.W. </w:t>
      </w:r>
      <w:hyperlink r:id="rId8" w:history="1">
        <w:r w:rsidRPr="004B7DAA">
          <w:rPr>
            <w:rStyle w:val="a-size-medium"/>
            <w:i/>
            <w:sz w:val="16"/>
            <w:szCs w:val="16"/>
          </w:rPr>
          <w:t>The Chemistry of Polymers</w:t>
        </w:r>
        <w:r w:rsidRPr="004B7DAA">
          <w:rPr>
            <w:rStyle w:val="Hyperlink"/>
            <w:i/>
            <w:color w:val="auto"/>
            <w:sz w:val="16"/>
            <w:szCs w:val="16"/>
          </w:rPr>
          <w:t xml:space="preserve"> </w:t>
        </w:r>
      </w:hyperlink>
      <w:r w:rsidRPr="004B7DAA">
        <w:rPr>
          <w:i/>
          <w:sz w:val="16"/>
          <w:szCs w:val="16"/>
        </w:rPr>
        <w:t>(5th edition). Croydon: Royal Society of Chemistry, 2017.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Zpracovatelské inženýrství polymerů</w:t>
      </w:r>
      <w:r w:rsidR="00445579" w:rsidRPr="004B7DAA">
        <w:rPr>
          <w:i/>
          <w:sz w:val="16"/>
          <w:szCs w:val="16"/>
          <w:u w:val="single"/>
        </w:rPr>
        <w:t xml:space="preserve"> (Polymer Engineering)</w:t>
      </w:r>
      <w:r w:rsidR="002A1EB0" w:rsidRPr="004B7DAA">
        <w:rPr>
          <w:i/>
          <w:sz w:val="16"/>
          <w:szCs w:val="16"/>
          <w:u w:val="single"/>
        </w:rPr>
        <w:t>: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rStyle w:val="a-declarative"/>
          <w:i/>
          <w:sz w:val="16"/>
          <w:szCs w:val="16"/>
        </w:rPr>
        <w:t xml:space="preserve">MÜNSTEDT, H. </w:t>
      </w:r>
      <w:r w:rsidRPr="004B7DAA">
        <w:rPr>
          <w:rStyle w:val="a-size-extra-large"/>
          <w:bCs/>
          <w:i/>
          <w:sz w:val="16"/>
          <w:szCs w:val="16"/>
        </w:rPr>
        <w:t>Elastic Behavior of Polymer Melts: Rheology and Processing, Munich:</w:t>
      </w:r>
      <w:r w:rsidRPr="004B7DAA">
        <w:rPr>
          <w:i/>
          <w:sz w:val="16"/>
          <w:szCs w:val="16"/>
        </w:rPr>
        <w:t xml:space="preserve"> Hanser 2019.</w:t>
      </w:r>
    </w:p>
    <w:p w:rsidR="00F6468B" w:rsidRPr="004B7DAA" w:rsidRDefault="00F6468B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lastRenderedPageBreak/>
        <w:t>Analytické metody a chemie povrchů</w:t>
      </w:r>
      <w:r w:rsidR="00445579" w:rsidRPr="004B7DAA">
        <w:rPr>
          <w:i/>
          <w:sz w:val="16"/>
          <w:szCs w:val="16"/>
          <w:u w:val="single"/>
        </w:rPr>
        <w:t xml:space="preserve"> (Analytical Methods and Surface Chemistry)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i/>
          <w:sz w:val="16"/>
          <w:szCs w:val="16"/>
        </w:rPr>
        <w:t>GOLDSTEIN, J.I., NEWBURY, D.E., MICHAEL, J.R., RITCHIE, N.W.M, SCOTT, J.H.J, JOY, D.C. Scanning Electron Microscopy and X-Ray Microanalysis (4th ed.). New York: Springer, 2018.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Biopolymery</w:t>
      </w:r>
      <w:r w:rsidR="00445579" w:rsidRPr="004B7DAA">
        <w:rPr>
          <w:i/>
          <w:sz w:val="16"/>
          <w:szCs w:val="16"/>
          <w:u w:val="single"/>
        </w:rPr>
        <w:t xml:space="preserve"> (Biopolymers)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rStyle w:val="author-data"/>
          <w:rFonts w:eastAsiaTheme="majorEastAsia"/>
          <w:i/>
          <w:sz w:val="16"/>
          <w:szCs w:val="16"/>
        </w:rPr>
        <w:t>PADINJAKKARA, A.</w:t>
      </w:r>
      <w:r w:rsidRPr="004B7DAA">
        <w:rPr>
          <w:i/>
          <w:sz w:val="16"/>
          <w:szCs w:val="16"/>
        </w:rPr>
        <w:t xml:space="preserve">, </w:t>
      </w:r>
      <w:r w:rsidRPr="004B7DAA">
        <w:rPr>
          <w:rStyle w:val="author-data"/>
          <w:rFonts w:eastAsiaTheme="majorEastAsia"/>
          <w:i/>
          <w:sz w:val="16"/>
          <w:szCs w:val="16"/>
        </w:rPr>
        <w:t>THANKAPPAN, A.</w:t>
      </w:r>
      <w:r w:rsidRPr="004B7DAA">
        <w:rPr>
          <w:i/>
          <w:sz w:val="16"/>
          <w:szCs w:val="16"/>
        </w:rPr>
        <w:t xml:space="preserve">, </w:t>
      </w:r>
      <w:r w:rsidRPr="004B7DAA">
        <w:rPr>
          <w:rStyle w:val="author-data"/>
          <w:rFonts w:eastAsiaTheme="majorEastAsia"/>
          <w:i/>
          <w:sz w:val="16"/>
          <w:szCs w:val="16"/>
        </w:rPr>
        <w:t xml:space="preserve">SOUZA, F.G.JR.. THOMAS, S. </w:t>
      </w:r>
      <w:r w:rsidRPr="004B7DAA">
        <w:rPr>
          <w:i/>
          <w:sz w:val="16"/>
          <w:szCs w:val="16"/>
        </w:rPr>
        <w:t>Biopolymers and biomaterials. Waretown: Apple Academic Press, 2019.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rStyle w:val="author-data"/>
          <w:rFonts w:eastAsiaTheme="majorEastAsia"/>
          <w:i/>
          <w:sz w:val="16"/>
          <w:szCs w:val="16"/>
        </w:rPr>
        <w:t>NIAOUNAKIS, M.</w:t>
      </w:r>
      <w:r w:rsidRPr="004B7DAA">
        <w:rPr>
          <w:bCs/>
          <w:i/>
          <w:sz w:val="16"/>
          <w:szCs w:val="16"/>
        </w:rPr>
        <w:t xml:space="preserve"> </w:t>
      </w:r>
      <w:r w:rsidRPr="004B7DAA">
        <w:rPr>
          <w:i/>
          <w:sz w:val="16"/>
          <w:szCs w:val="16"/>
        </w:rPr>
        <w:t>Biopolymers: Processing and Products. Waltham: Elsevier, 2015.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Elektrické a magnetické vlastnosti materiálů</w:t>
      </w:r>
      <w:r w:rsidR="00445579" w:rsidRPr="004B7DAA">
        <w:rPr>
          <w:i/>
          <w:sz w:val="16"/>
          <w:szCs w:val="16"/>
          <w:u w:val="single"/>
        </w:rPr>
        <w:t xml:space="preserve"> (Electrical and Magnetics Properties of Materials)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shd w:val="clear" w:color="auto" w:fill="FFFFFF"/>
        <w:ind w:left="567"/>
        <w:jc w:val="both"/>
        <w:rPr>
          <w:i/>
          <w:sz w:val="16"/>
          <w:szCs w:val="16"/>
        </w:rPr>
      </w:pPr>
      <w:r w:rsidRPr="004B7DAA">
        <w:rPr>
          <w:i/>
          <w:caps/>
          <w:sz w:val="16"/>
          <w:szCs w:val="16"/>
        </w:rPr>
        <w:t>Kittel, C.</w:t>
      </w:r>
      <w:r w:rsidRPr="004B7DAA">
        <w:rPr>
          <w:i/>
          <w:sz w:val="16"/>
          <w:szCs w:val="16"/>
        </w:rPr>
        <w:t> </w:t>
      </w:r>
      <w:r w:rsidRPr="004B7DAA">
        <w:rPr>
          <w:i/>
          <w:iCs/>
          <w:sz w:val="16"/>
          <w:szCs w:val="16"/>
        </w:rPr>
        <w:t>Introduction to Solid State Physics (8th Edition)</w:t>
      </w:r>
      <w:r w:rsidRPr="004B7DAA">
        <w:rPr>
          <w:i/>
          <w:sz w:val="16"/>
          <w:szCs w:val="16"/>
        </w:rPr>
        <w:t>. New York: Wiley, 2012. ISBN 9788126535187. 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r w:rsidRPr="004B7DAA">
        <w:rPr>
          <w:i/>
          <w:caps/>
          <w:sz w:val="16"/>
          <w:szCs w:val="16"/>
        </w:rPr>
        <w:t xml:space="preserve">Serway, R.A., Jewett, J.W. </w:t>
      </w:r>
      <w:r w:rsidRPr="004B7DAA">
        <w:rPr>
          <w:i/>
          <w:iCs/>
          <w:sz w:val="16"/>
          <w:szCs w:val="16"/>
        </w:rPr>
        <w:t xml:space="preserve">Physics for Scientists and Engineers. Boston: </w:t>
      </w:r>
      <w:r w:rsidRPr="004B7DAA">
        <w:rPr>
          <w:i/>
          <w:sz w:val="16"/>
          <w:szCs w:val="16"/>
        </w:rPr>
        <w:t xml:space="preserve">Cengage Learning, 2018. </w:t>
      </w:r>
      <w:r w:rsidRPr="004B7DAA">
        <w:rPr>
          <w:bCs/>
          <w:i/>
          <w:sz w:val="16"/>
          <w:szCs w:val="16"/>
        </w:rPr>
        <w:t>ISBN:</w:t>
      </w:r>
      <w:r w:rsidRPr="004B7DAA">
        <w:rPr>
          <w:i/>
          <w:sz w:val="16"/>
          <w:szCs w:val="16"/>
        </w:rPr>
        <w:t xml:space="preserve"> 1337553271.</w:t>
      </w:r>
    </w:p>
    <w:p w:rsidR="00F6468B" w:rsidRPr="004B7DAA" w:rsidRDefault="00F6468B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sz w:val="16"/>
          <w:szCs w:val="16"/>
        </w:rPr>
      </w:pPr>
      <w:r w:rsidRPr="004B7DAA">
        <w:rPr>
          <w:i/>
          <w:sz w:val="16"/>
          <w:szCs w:val="16"/>
          <w:u w:val="single"/>
        </w:rPr>
        <w:t>Fyzikální chemie (Physical Chemistry):</w:t>
      </w:r>
    </w:p>
    <w:p w:rsidR="00F6468B" w:rsidRPr="004B7DAA" w:rsidRDefault="00F6468B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sz w:val="16"/>
          <w:szCs w:val="16"/>
        </w:rPr>
      </w:pPr>
      <w:r w:rsidRPr="004B7DAA">
        <w:rPr>
          <w:sz w:val="16"/>
          <w:szCs w:val="16"/>
        </w:rPr>
        <w:t>AT</w:t>
      </w:r>
      <w:r w:rsidRPr="004B7DAA">
        <w:rPr>
          <w:caps/>
          <w:sz w:val="16"/>
          <w:szCs w:val="16"/>
        </w:rPr>
        <w:t>kins, P., JULIO, de P., KEELER, J. </w:t>
      </w:r>
      <w:r w:rsidRPr="004B7DAA">
        <w:rPr>
          <w:i/>
          <w:sz w:val="16"/>
          <w:szCs w:val="16"/>
        </w:rPr>
        <w:t>Atkins´Physical Chemistry</w:t>
      </w:r>
      <w:r w:rsidRPr="004B7DAA">
        <w:rPr>
          <w:sz w:val="16"/>
          <w:szCs w:val="16"/>
        </w:rPr>
        <w:t>. 11th Ed. New York: Oxford University Press, 2018. ISBN 0198769865.</w:t>
      </w:r>
    </w:p>
    <w:p w:rsidR="00780AFC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Instrumentální metody v analýze a testování polymerů</w:t>
      </w:r>
      <w:r w:rsidR="00445579" w:rsidRPr="004B7DAA">
        <w:rPr>
          <w:i/>
          <w:sz w:val="16"/>
          <w:szCs w:val="16"/>
          <w:u w:val="single"/>
        </w:rPr>
        <w:t xml:space="preserve"> (Instrumental Methods of Polymers)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bCs/>
          <w:i/>
          <w:sz w:val="16"/>
          <w:szCs w:val="16"/>
        </w:rPr>
        <w:t>GRELLMANN, W., SEIDLER, S.</w:t>
      </w:r>
      <w:r w:rsidRPr="004B7DAA">
        <w:rPr>
          <w:i/>
          <w:sz w:val="16"/>
          <w:szCs w:val="16"/>
        </w:rPr>
        <w:t xml:space="preserve"> </w:t>
      </w:r>
      <w:r w:rsidRPr="004B7DAA">
        <w:rPr>
          <w:bCs/>
          <w:i/>
          <w:sz w:val="16"/>
          <w:szCs w:val="16"/>
        </w:rPr>
        <w:t>Polymer Testing (2nd Edition). Cincinnati: Hanser, 2013. Dostupné z:</w:t>
      </w:r>
    </w:p>
    <w:p w:rsidR="00BE1E85" w:rsidRPr="004B7DAA" w:rsidRDefault="001B6BB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</w:rPr>
      </w:pPr>
      <w:hyperlink r:id="rId9" w:history="1">
        <w:r w:rsidR="00BE1E85" w:rsidRPr="004B7DAA">
          <w:rPr>
            <w:rStyle w:val="Hyperlink"/>
            <w:i/>
            <w:color w:val="auto"/>
            <w:sz w:val="16"/>
            <w:szCs w:val="16"/>
          </w:rPr>
          <w:t>http://app.knovel.com/web/toc.v/cid:kpPTE00012/viewerType:toc/</w:t>
        </w:r>
      </w:hyperlink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Koloidní a povrchová chemie</w:t>
      </w:r>
      <w:r w:rsidR="00445579" w:rsidRPr="004B7DAA">
        <w:rPr>
          <w:i/>
          <w:sz w:val="16"/>
          <w:szCs w:val="16"/>
          <w:u w:val="single"/>
        </w:rPr>
        <w:t xml:space="preserve"> (Colloid and Surface Chemistry)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rPr>
          <w:i/>
          <w:sz w:val="16"/>
          <w:szCs w:val="16"/>
        </w:rPr>
      </w:pPr>
      <w:r w:rsidRPr="004B7DAA">
        <w:rPr>
          <w:rStyle w:val="a-size-medium"/>
          <w:i/>
          <w:sz w:val="16"/>
          <w:szCs w:val="16"/>
        </w:rPr>
        <w:t xml:space="preserve">KONTOGEORGIS, G. M., KIIL, S. Introduction to Applied Colloid and Surface Chemistry. </w:t>
      </w:r>
      <w:r w:rsidRPr="004B7DAA">
        <w:rPr>
          <w:i/>
          <w:sz w:val="16"/>
          <w:szCs w:val="16"/>
        </w:rPr>
        <w:t>Chichester: Wiley, 2016.</w:t>
      </w:r>
      <w:r w:rsidRPr="004B7DAA">
        <w:rPr>
          <w:i/>
          <w:sz w:val="16"/>
          <w:szCs w:val="16"/>
        </w:rPr>
        <w:br/>
      </w:r>
      <w:r w:rsidRPr="004B7DAA">
        <w:rPr>
          <w:rStyle w:val="a-size-medium"/>
          <w:i/>
          <w:sz w:val="16"/>
          <w:szCs w:val="16"/>
        </w:rPr>
        <w:t xml:space="preserve">BUCAK, S., RENDE, D. Colloid and Surface Chemistry: A Laboratory Guide for Exploration of the Nano World. </w:t>
      </w:r>
      <w:r w:rsidRPr="004B7DAA">
        <w:rPr>
          <w:i/>
          <w:sz w:val="16"/>
          <w:szCs w:val="16"/>
        </w:rPr>
        <w:t>Boca Raton: Taylor &amp; Francis, 2013.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Obalové materiály</w:t>
      </w:r>
      <w:r w:rsidR="00445579" w:rsidRPr="004B7DAA">
        <w:rPr>
          <w:i/>
          <w:sz w:val="16"/>
          <w:szCs w:val="16"/>
          <w:u w:val="single"/>
        </w:rPr>
        <w:t xml:space="preserve"> (Materials for Packaging)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ind w:left="567"/>
        <w:rPr>
          <w:rStyle w:val="author"/>
          <w:i/>
          <w:sz w:val="16"/>
          <w:szCs w:val="16"/>
        </w:rPr>
      </w:pPr>
      <w:r w:rsidRPr="004B7DAA">
        <w:rPr>
          <w:rStyle w:val="author"/>
          <w:i/>
          <w:sz w:val="16"/>
          <w:szCs w:val="16"/>
        </w:rPr>
        <w:t>SELKE, S.E.M.</w:t>
      </w:r>
      <w:r w:rsidRPr="004B7DAA">
        <w:rPr>
          <w:rStyle w:val="a-color-secondary"/>
          <w:i/>
          <w:sz w:val="16"/>
          <w:szCs w:val="16"/>
        </w:rPr>
        <w:t xml:space="preserve">, </w:t>
      </w:r>
      <w:r w:rsidRPr="004B7DAA">
        <w:rPr>
          <w:rStyle w:val="author"/>
          <w:i/>
          <w:sz w:val="16"/>
          <w:szCs w:val="16"/>
        </w:rPr>
        <w:t xml:space="preserve">CULTER, J.D. </w:t>
      </w:r>
      <w:r w:rsidRPr="004B7DAA">
        <w:rPr>
          <w:i/>
          <w:sz w:val="16"/>
          <w:szCs w:val="16"/>
        </w:rPr>
        <w:t>Plastics Packaging: Properties, Processing, Applications, and Regulations (3rd edition</w:t>
      </w:r>
      <w:r w:rsidRPr="004B7DAA">
        <w:rPr>
          <w:rStyle w:val="author"/>
          <w:i/>
          <w:sz w:val="16"/>
          <w:szCs w:val="16"/>
        </w:rPr>
        <w:t>). Cincinnati: Hanser, 2016.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rPr>
          <w:rStyle w:val="author"/>
          <w:i/>
          <w:sz w:val="16"/>
          <w:szCs w:val="16"/>
        </w:rPr>
      </w:pPr>
      <w:r w:rsidRPr="004B7DAA">
        <w:rPr>
          <w:rStyle w:val="author"/>
          <w:i/>
          <w:sz w:val="16"/>
          <w:szCs w:val="16"/>
        </w:rPr>
        <w:t>ROBERTSON, G.L.</w:t>
      </w:r>
      <w:r w:rsidRPr="004B7DAA">
        <w:rPr>
          <w:rStyle w:val="a-declarative"/>
          <w:i/>
          <w:sz w:val="16"/>
          <w:szCs w:val="16"/>
        </w:rPr>
        <w:t xml:space="preserve"> </w:t>
      </w:r>
      <w:r w:rsidRPr="004B7DAA">
        <w:rPr>
          <w:i/>
          <w:sz w:val="16"/>
          <w:szCs w:val="16"/>
        </w:rPr>
        <w:t>Food Packaging: Principles and Practice, (3rd edition</w:t>
      </w:r>
      <w:r w:rsidRPr="004B7DAA">
        <w:rPr>
          <w:rStyle w:val="author"/>
          <w:i/>
          <w:sz w:val="16"/>
          <w:szCs w:val="16"/>
        </w:rPr>
        <w:t>), Boca Raton: Taylor &amp; Francis, 2013.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Opticky a elektricky aktivní polymery</w:t>
      </w:r>
      <w:r w:rsidR="00445579" w:rsidRPr="004B7DAA">
        <w:rPr>
          <w:i/>
          <w:sz w:val="16"/>
          <w:szCs w:val="16"/>
          <w:u w:val="single"/>
        </w:rPr>
        <w:t xml:space="preserve"> (Optically and Electrically Active Polymers)</w:t>
      </w:r>
      <w:r w:rsidRPr="004B7DAA">
        <w:rPr>
          <w:i/>
          <w:sz w:val="16"/>
          <w:szCs w:val="16"/>
          <w:u w:val="single"/>
        </w:rPr>
        <w:t xml:space="preserve">: 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rStyle w:val="author"/>
          <w:i/>
          <w:sz w:val="16"/>
          <w:szCs w:val="16"/>
        </w:rPr>
        <w:t>DUTTA</w:t>
      </w:r>
      <w:r w:rsidRPr="004B7DAA">
        <w:rPr>
          <w:rStyle w:val="a-color-secondary"/>
          <w:i/>
          <w:sz w:val="16"/>
          <w:szCs w:val="16"/>
        </w:rPr>
        <w:t xml:space="preserve">, </w:t>
      </w:r>
      <w:r w:rsidRPr="004B7DAA">
        <w:rPr>
          <w:rStyle w:val="author"/>
          <w:i/>
          <w:sz w:val="16"/>
          <w:szCs w:val="16"/>
        </w:rPr>
        <w:t>P.K.K., KUMAR, V.</w:t>
      </w:r>
      <w:r w:rsidRPr="004B7DAA">
        <w:rPr>
          <w:rStyle w:val="contribution"/>
          <w:rFonts w:eastAsia="SimSun"/>
          <w:i/>
          <w:sz w:val="16"/>
          <w:szCs w:val="16"/>
        </w:rPr>
        <w:t xml:space="preserve"> </w:t>
      </w:r>
      <w:r w:rsidRPr="004B7DAA">
        <w:rPr>
          <w:bCs/>
          <w:i/>
          <w:sz w:val="16"/>
          <w:szCs w:val="16"/>
        </w:rPr>
        <w:t>Optically Active Polymers: A Systematic Study on Syntheses and Properties. ISBN:</w:t>
      </w:r>
      <w:r w:rsidRPr="004B7DAA">
        <w:rPr>
          <w:i/>
          <w:sz w:val="16"/>
          <w:szCs w:val="16"/>
        </w:rPr>
        <w:t xml:space="preserve"> 981102605X, Springer (2017).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rStyle w:val="author"/>
          <w:i/>
          <w:sz w:val="16"/>
          <w:szCs w:val="16"/>
        </w:rPr>
        <w:t>CARPI, F.</w:t>
      </w:r>
      <w:r w:rsidRPr="004B7DAA">
        <w:rPr>
          <w:rStyle w:val="contribution"/>
          <w:rFonts w:eastAsia="SimSun"/>
          <w:i/>
          <w:sz w:val="16"/>
          <w:szCs w:val="16"/>
        </w:rPr>
        <w:t xml:space="preserve">  </w:t>
      </w:r>
      <w:r w:rsidRPr="004B7DAA">
        <w:rPr>
          <w:rStyle w:val="a-size-extra-large"/>
          <w:bCs/>
          <w:i/>
          <w:sz w:val="16"/>
          <w:szCs w:val="16"/>
        </w:rPr>
        <w:t xml:space="preserve">Electromechanically Active Polymers: A Concise Reference. </w:t>
      </w:r>
      <w:r w:rsidRPr="004B7DAA">
        <w:rPr>
          <w:rStyle w:val="a-size-base"/>
          <w:bCs/>
          <w:i/>
          <w:sz w:val="16"/>
          <w:szCs w:val="16"/>
        </w:rPr>
        <w:t>ISBN:</w:t>
      </w:r>
      <w:r w:rsidRPr="004B7DAA">
        <w:rPr>
          <w:i/>
          <w:sz w:val="16"/>
          <w:szCs w:val="16"/>
        </w:rPr>
        <w:t xml:space="preserve"> </w:t>
      </w:r>
      <w:r w:rsidRPr="004B7DAA">
        <w:rPr>
          <w:rStyle w:val="a-size-base"/>
          <w:i/>
          <w:sz w:val="16"/>
          <w:szCs w:val="16"/>
        </w:rPr>
        <w:t xml:space="preserve">3319315285, </w:t>
      </w:r>
      <w:r w:rsidRPr="004B7DAA">
        <w:rPr>
          <w:i/>
          <w:sz w:val="16"/>
          <w:szCs w:val="16"/>
        </w:rPr>
        <w:t>Springer (2016).</w:t>
      </w:r>
    </w:p>
    <w:p w:rsidR="004B7DAA" w:rsidRPr="004B7DAA" w:rsidRDefault="004B7DAA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Organická chemie (Organic Chemistry)</w:t>
      </w:r>
    </w:p>
    <w:p w:rsidR="004B7DAA" w:rsidRPr="004B7DAA" w:rsidRDefault="004B7DAA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caps/>
          <w:color w:val="000000"/>
          <w:sz w:val="16"/>
          <w:szCs w:val="16"/>
        </w:rPr>
        <w:t xml:space="preserve">Wade, L.G.,  Simek, J.W. </w:t>
      </w:r>
      <w:r w:rsidRPr="004B7DAA">
        <w:rPr>
          <w:i/>
          <w:iCs/>
          <w:color w:val="000000"/>
          <w:sz w:val="16"/>
          <w:szCs w:val="16"/>
        </w:rPr>
        <w:t>Organic Chemistry (9th Edition)</w:t>
      </w:r>
      <w:r w:rsidRPr="004B7DAA">
        <w:rPr>
          <w:iCs/>
          <w:color w:val="000000"/>
          <w:sz w:val="16"/>
          <w:szCs w:val="16"/>
        </w:rPr>
        <w:t>. London: Pearson, 2016. ISBN: 978-0321971371.</w:t>
      </w:r>
    </w:p>
    <w:p w:rsidR="00F26177" w:rsidRDefault="00F26177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F26177">
        <w:rPr>
          <w:i/>
          <w:sz w:val="16"/>
          <w:szCs w:val="16"/>
          <w:u w:val="single"/>
        </w:rPr>
        <w:t>Struktura a vlastnosti pevných látek</w:t>
      </w:r>
      <w:r>
        <w:rPr>
          <w:i/>
          <w:sz w:val="16"/>
          <w:szCs w:val="16"/>
          <w:u w:val="single"/>
        </w:rPr>
        <w:t xml:space="preserve"> (</w:t>
      </w:r>
      <w:r w:rsidRPr="00F26177">
        <w:rPr>
          <w:i/>
          <w:sz w:val="16"/>
          <w:szCs w:val="16"/>
          <w:u w:val="single"/>
        </w:rPr>
        <w:t>Structure and Characteristics of Solids</w:t>
      </w:r>
      <w:r>
        <w:rPr>
          <w:i/>
          <w:sz w:val="16"/>
          <w:szCs w:val="16"/>
          <w:u w:val="single"/>
        </w:rPr>
        <w:t>)</w:t>
      </w:r>
    </w:p>
    <w:p w:rsidR="00F26177" w:rsidRPr="00F26177" w:rsidRDefault="00F26177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sz w:val="16"/>
          <w:szCs w:val="16"/>
        </w:rPr>
      </w:pPr>
      <w:r w:rsidRPr="00F26177">
        <w:rPr>
          <w:sz w:val="16"/>
          <w:szCs w:val="16"/>
        </w:rPr>
        <w:t xml:space="preserve">TILLEY, R.J.D. </w:t>
      </w:r>
      <w:r w:rsidRPr="00F26177">
        <w:rPr>
          <w:i/>
          <w:sz w:val="16"/>
          <w:szCs w:val="16"/>
        </w:rPr>
        <w:t>Understanding Solids: The Science of Materials (2nd Edition)</w:t>
      </w:r>
      <w:r w:rsidRPr="00F26177">
        <w:rPr>
          <w:sz w:val="16"/>
          <w:szCs w:val="16"/>
        </w:rPr>
        <w:t>. Chichester: John Wiley, 2013. ISBN: 978-1118423462.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i/>
          <w:sz w:val="16"/>
          <w:szCs w:val="16"/>
          <w:u w:val="single"/>
        </w:rPr>
        <w:t>Termické metody a relaxační chování polymerů</w:t>
      </w:r>
      <w:r w:rsidR="00445579" w:rsidRPr="004B7DAA">
        <w:rPr>
          <w:i/>
          <w:sz w:val="16"/>
          <w:szCs w:val="16"/>
          <w:u w:val="single"/>
        </w:rPr>
        <w:t xml:space="preserve"> (Thermal Methods and Relaxation Behavior of Polymers)</w:t>
      </w:r>
      <w:r w:rsidRPr="004B7DAA">
        <w:rPr>
          <w:i/>
          <w:sz w:val="16"/>
          <w:szCs w:val="16"/>
          <w:u w:val="single"/>
        </w:rPr>
        <w:t>: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rFonts w:eastAsia="Calibri"/>
          <w:i/>
          <w:sz w:val="16"/>
          <w:szCs w:val="16"/>
        </w:rPr>
        <w:t>Wagner, M.</w:t>
      </w:r>
      <w:r w:rsidRPr="004B7DAA">
        <w:rPr>
          <w:bCs/>
          <w:i/>
          <w:kern w:val="36"/>
          <w:sz w:val="16"/>
          <w:szCs w:val="16"/>
        </w:rPr>
        <w:t xml:space="preserve"> </w:t>
      </w:r>
      <w:r w:rsidRPr="004B7DAA">
        <w:rPr>
          <w:rFonts w:eastAsia="Calibri"/>
          <w:i/>
          <w:sz w:val="16"/>
          <w:szCs w:val="16"/>
        </w:rPr>
        <w:t>Thermal Analysis in Practice: Fundamental Aspects</w:t>
      </w:r>
      <w:r w:rsidRPr="004B7DAA">
        <w:rPr>
          <w:i/>
          <w:sz w:val="16"/>
          <w:szCs w:val="16"/>
        </w:rPr>
        <w:t xml:space="preserve">. Hanser, 2017. </w:t>
      </w:r>
      <w:r w:rsidRPr="004B7DAA">
        <w:rPr>
          <w:rStyle w:val="a-size-base"/>
          <w:bCs/>
          <w:i/>
          <w:sz w:val="16"/>
          <w:szCs w:val="16"/>
        </w:rPr>
        <w:t>ISBN</w:t>
      </w:r>
      <w:r w:rsidRPr="004B7DAA">
        <w:rPr>
          <w:i/>
          <w:sz w:val="16"/>
          <w:szCs w:val="16"/>
        </w:rPr>
        <w:t xml:space="preserve"> </w:t>
      </w:r>
      <w:r w:rsidRPr="004B7DAA">
        <w:rPr>
          <w:rStyle w:val="a-size-base"/>
          <w:i/>
          <w:sz w:val="16"/>
          <w:szCs w:val="16"/>
        </w:rPr>
        <w:t>1569906432.</w:t>
      </w:r>
    </w:p>
    <w:p w:rsidR="00BE1E85" w:rsidRPr="004B7DAA" w:rsidRDefault="00BE1E85" w:rsidP="00D036FE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  <w:sz w:val="16"/>
          <w:szCs w:val="16"/>
          <w:u w:val="single"/>
        </w:rPr>
      </w:pPr>
      <w:r w:rsidRPr="004B7DAA">
        <w:rPr>
          <w:rStyle w:val="author"/>
          <w:i/>
          <w:sz w:val="16"/>
          <w:szCs w:val="16"/>
        </w:rPr>
        <w:t xml:space="preserve">Crompton, T. R. </w:t>
      </w:r>
      <w:r w:rsidRPr="004B7DAA">
        <w:rPr>
          <w:i/>
          <w:sz w:val="16"/>
          <w:szCs w:val="16"/>
        </w:rPr>
        <w:t xml:space="preserve">Thermal Methods of Polymer Analysis. </w:t>
      </w:r>
      <w:r w:rsidRPr="004B7DAA">
        <w:rPr>
          <w:rStyle w:val="author"/>
          <w:i/>
          <w:sz w:val="16"/>
          <w:szCs w:val="16"/>
        </w:rPr>
        <w:t>Smithers Rapra Technology, 2013. ISBN 1847356613.</w:t>
      </w:r>
    </w:p>
    <w:p w:rsidR="00BE1E85" w:rsidRDefault="00BE1E85" w:rsidP="002A1EB0">
      <w:pPr>
        <w:widowControl w:val="0"/>
        <w:tabs>
          <w:tab w:val="left" w:pos="825"/>
        </w:tabs>
        <w:autoSpaceDE w:val="0"/>
        <w:autoSpaceDN w:val="0"/>
        <w:ind w:right="121"/>
        <w:jc w:val="both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21"/>
        <w:contextualSpacing w:val="0"/>
        <w:jc w:val="both"/>
      </w:pPr>
      <w:r>
        <w:t>U závěrečných prací vytvářených jako soubor komentovaných publikačních výstupů nastavit požadavek tak, aby student musel jednoznačně prokázat schopnost vytvoření kvalitního, rozsáhlejšího odborného</w:t>
      </w:r>
      <w:r>
        <w:rPr>
          <w:spacing w:val="-4"/>
        </w:rPr>
        <w:t xml:space="preserve"> </w:t>
      </w:r>
      <w:r>
        <w:t>textu.</w:t>
      </w:r>
    </w:p>
    <w:p w:rsidR="002A1EB0" w:rsidRPr="002A1EB0" w:rsidRDefault="002A1EB0" w:rsidP="002A1EB0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</w:rPr>
      </w:pPr>
      <w:r w:rsidRPr="002A1EB0">
        <w:rPr>
          <w:i/>
        </w:rPr>
        <w:t>S účinnosti od 1. 9.</w:t>
      </w:r>
      <w:r w:rsidR="002721F0">
        <w:rPr>
          <w:i/>
        </w:rPr>
        <w:t xml:space="preserve"> </w:t>
      </w:r>
      <w:r w:rsidRPr="002A1EB0">
        <w:rPr>
          <w:i/>
        </w:rPr>
        <w:t>2019 je, dle Vnitřní normy FT UTB ve Zlíně  PD/04/2019 (</w:t>
      </w:r>
      <w:hyperlink r:id="rId10" w:history="1">
        <w:r w:rsidRPr="00136A3E">
          <w:rPr>
            <w:rStyle w:val="Hyperlink"/>
            <w:i/>
          </w:rPr>
          <w:t>https://ft.utb.cz/mdocs-posts/pd-04-2019-predkladani-disertacnich-praci-a-prihlasek-k-obhajobe-disertacni-prace/</w:t>
        </w:r>
      </w:hyperlink>
      <w:r w:rsidRPr="002A1EB0">
        <w:rPr>
          <w:i/>
        </w:rPr>
        <w:t xml:space="preserve">), student nově povinen předložit disertační práci v elektronické formě, na kterou předseda Oborové rady, či jím pověřený člen Oborové komise, vypracuje stanovisko. Toto stanovisko </w:t>
      </w:r>
      <w:r w:rsidRPr="002A1EB0">
        <w:rPr>
          <w:i/>
          <w:lang w:val="en-US"/>
        </w:rPr>
        <w:t xml:space="preserve">“… </w:t>
      </w:r>
      <w:r w:rsidRPr="002A1EB0">
        <w:rPr>
          <w:i/>
        </w:rPr>
        <w:t xml:space="preserve">definuje především, zda práce splňuje obvyklé standardy kladené na disertační práce v daném vědním oboru a zda student splnil všechny požadavky kladené na disertační práci. V případě negativního stanoviska jsou jeho součástí taxativně vyjmenované nedostatky, které je student povinen odstranit a požádat předsedu o opětovné stanovisko. Po vydání kladného stanoviska předsedy oborové rady může student předložit přihlášku k obhajobě disertační práce na VaV.“. Díky tomuto nově zavedenému kontrolnímu mechanismu bude možné lépe a efektivněji zajišťovat u všech typů předkládaných disertačních prací odpovídající úroveň a kvalitu.    </w:t>
      </w:r>
    </w:p>
    <w:p w:rsidR="002A1EB0" w:rsidRDefault="002A1EB0" w:rsidP="002A1EB0">
      <w:pPr>
        <w:pStyle w:val="ListParagraph"/>
        <w:widowControl w:val="0"/>
        <w:tabs>
          <w:tab w:val="left" w:pos="825"/>
        </w:tabs>
        <w:autoSpaceDE w:val="0"/>
        <w:autoSpaceDN w:val="0"/>
        <w:ind w:left="426" w:right="121"/>
        <w:contextualSpacing w:val="0"/>
        <w:jc w:val="both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14"/>
        <w:contextualSpacing w:val="0"/>
        <w:jc w:val="both"/>
      </w:pPr>
      <w:r>
        <w:t>U předmětu Fyzikální chemie v povinné literatuře uvést jen vydání z roku 2008 Pouchlý J: Fyzikální chemie makromolekulárních a koloidních</w:t>
      </w:r>
      <w:r>
        <w:rPr>
          <w:spacing w:val="-9"/>
        </w:rPr>
        <w:t xml:space="preserve"> </w:t>
      </w:r>
      <w:r>
        <w:t>soustav.</w:t>
      </w:r>
    </w:p>
    <w:p w:rsidR="002A1EB0" w:rsidRDefault="002A1EB0" w:rsidP="002A1EB0">
      <w:pPr>
        <w:pStyle w:val="ListParagraph"/>
        <w:widowControl w:val="0"/>
        <w:tabs>
          <w:tab w:val="left" w:pos="825"/>
        </w:tabs>
        <w:autoSpaceDE w:val="0"/>
        <w:autoSpaceDN w:val="0"/>
        <w:ind w:left="567" w:right="114"/>
        <w:contextualSpacing w:val="0"/>
        <w:jc w:val="both"/>
        <w:rPr>
          <w:i/>
        </w:rPr>
      </w:pPr>
      <w:r w:rsidRPr="002A1EB0">
        <w:rPr>
          <w:i/>
        </w:rPr>
        <w:t>Požadovaná změna byla provedena.</w:t>
      </w:r>
    </w:p>
    <w:p w:rsidR="009134AA" w:rsidRPr="002A1EB0" w:rsidRDefault="009134AA" w:rsidP="002A1EB0">
      <w:pPr>
        <w:pStyle w:val="ListParagraph"/>
        <w:widowControl w:val="0"/>
        <w:tabs>
          <w:tab w:val="left" w:pos="825"/>
        </w:tabs>
        <w:autoSpaceDE w:val="0"/>
        <w:autoSpaceDN w:val="0"/>
        <w:ind w:left="567" w:right="114"/>
        <w:contextualSpacing w:val="0"/>
        <w:jc w:val="both"/>
        <w:rPr>
          <w:i/>
        </w:rPr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21"/>
        <w:contextualSpacing w:val="0"/>
        <w:jc w:val="both"/>
      </w:pPr>
      <w:r>
        <w:t>Provést revizi a případně zredukovat obsáhlý seznam povinné literatury u některých předmětů.</w:t>
      </w:r>
    </w:p>
    <w:p w:rsidR="002A1EB0" w:rsidRPr="002A1EB0" w:rsidRDefault="002A1EB0" w:rsidP="002A1EB0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</w:rPr>
      </w:pPr>
      <w:r w:rsidRPr="002A1EB0">
        <w:rPr>
          <w:i/>
        </w:rPr>
        <w:t xml:space="preserve">Byla provedena požadovaná revize, jejímž výsledkem bylo přesunutí vybraných literárních zdrojů z povinné do doporučené literatury, a to u předmětů “Modelování polymerních procesů“ a “Obecná a aplikovaná reologie“.  </w:t>
      </w: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19"/>
        <w:contextualSpacing w:val="0"/>
        <w:jc w:val="both"/>
      </w:pPr>
      <w:bookmarkStart w:id="0" w:name="_GoBack"/>
      <w:bookmarkEnd w:id="0"/>
      <w:r>
        <w:lastRenderedPageBreak/>
        <w:t>Doplnit chybějící C-I karty garantů předmětů Fyzika polymerů a Teorie technologických</w:t>
      </w:r>
      <w:r>
        <w:rPr>
          <w:spacing w:val="-1"/>
        </w:rPr>
        <w:t xml:space="preserve"> </w:t>
      </w:r>
      <w:r>
        <w:t>procesů.</w:t>
      </w:r>
    </w:p>
    <w:p w:rsidR="00C34802" w:rsidRPr="00C34802" w:rsidRDefault="00C34802" w:rsidP="00C34802">
      <w:pPr>
        <w:pStyle w:val="NormalWeb"/>
        <w:tabs>
          <w:tab w:val="left" w:pos="142"/>
        </w:tabs>
        <w:spacing w:before="0" w:beforeAutospacing="0" w:after="0" w:afterAutospacing="0"/>
        <w:ind w:left="426" w:hanging="426"/>
        <w:jc w:val="both"/>
        <w:rPr>
          <w:i/>
        </w:rPr>
      </w:pPr>
      <w:r>
        <w:rPr>
          <w:color w:val="FF0000"/>
        </w:rPr>
        <w:t xml:space="preserve">          </w:t>
      </w:r>
      <w:r w:rsidRPr="00C34802">
        <w:rPr>
          <w:i/>
        </w:rPr>
        <w:t>C-I karty garantů pro oba dané předměty byly doplněny, jak požadováno.</w:t>
      </w:r>
    </w:p>
    <w:p w:rsidR="00C34802" w:rsidRDefault="00C34802" w:rsidP="00C34802">
      <w:pPr>
        <w:pStyle w:val="ListParagraph"/>
        <w:widowControl w:val="0"/>
        <w:tabs>
          <w:tab w:val="left" w:pos="825"/>
        </w:tabs>
        <w:autoSpaceDE w:val="0"/>
        <w:autoSpaceDN w:val="0"/>
        <w:ind w:left="426" w:right="119"/>
        <w:contextualSpacing w:val="0"/>
        <w:jc w:val="both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4"/>
          <w:tab w:val="left" w:pos="825"/>
        </w:tabs>
        <w:autoSpaceDE w:val="0"/>
        <w:autoSpaceDN w:val="0"/>
        <w:ind w:left="426"/>
        <w:contextualSpacing w:val="0"/>
      </w:pPr>
      <w:r>
        <w:t>Deklarovat u všech členů oborové rady naplnění standardu</w:t>
      </w:r>
      <w:r>
        <w:rPr>
          <w:spacing w:val="-6"/>
        </w:rPr>
        <w:t xml:space="preserve"> </w:t>
      </w:r>
      <w:r>
        <w:t>E10.</w:t>
      </w:r>
    </w:p>
    <w:p w:rsidR="00C34802" w:rsidRPr="00C34802" w:rsidRDefault="00C34802" w:rsidP="00C34802">
      <w:pPr>
        <w:pStyle w:val="NormalWeb"/>
        <w:tabs>
          <w:tab w:val="left" w:pos="142"/>
        </w:tabs>
        <w:spacing w:before="0" w:beforeAutospacing="0" w:after="0" w:afterAutospacing="0"/>
        <w:ind w:left="567"/>
        <w:jc w:val="both"/>
        <w:rPr>
          <w:i/>
        </w:rPr>
      </w:pPr>
      <w:r w:rsidRPr="00C34802">
        <w:rPr>
          <w:i/>
        </w:rPr>
        <w:t>Akreditační spis byl doplněn o deklaraci, že všichni interní členové Oborové rady jsou akademickými pracovníky FT UTB ve Zlíně, kteří na UTB ve Zlíně působí na základě pracovního poměru s celkovým součtem týdenní pracovní doby odpovídajícím alespoň polovině stanovené týdenní pracovní doby podle § 79 zákoníku práce. Standard E10 je tak možné považovat za splněný, neboť u externích členů oborové rady (tj. u odborníků mimo UTB ve Zlíně) uvádění informací o jejich pracovním či služebním poměru není požadováno.</w:t>
      </w:r>
    </w:p>
    <w:p w:rsidR="00C34802" w:rsidRDefault="00C34802" w:rsidP="00C34802">
      <w:pPr>
        <w:pStyle w:val="ListParagraph"/>
        <w:widowControl w:val="0"/>
        <w:tabs>
          <w:tab w:val="left" w:pos="824"/>
          <w:tab w:val="left" w:pos="825"/>
        </w:tabs>
        <w:autoSpaceDE w:val="0"/>
        <w:autoSpaceDN w:val="0"/>
        <w:ind w:left="426"/>
        <w:contextualSpacing w:val="0"/>
      </w:pPr>
    </w:p>
    <w:p w:rsidR="00B31EF5" w:rsidRDefault="00B31EF5" w:rsidP="00B31EF5">
      <w:pPr>
        <w:pStyle w:val="ListParagraph"/>
        <w:widowControl w:val="0"/>
        <w:numPr>
          <w:ilvl w:val="0"/>
          <w:numId w:val="4"/>
        </w:numPr>
        <w:tabs>
          <w:tab w:val="left" w:pos="825"/>
        </w:tabs>
        <w:autoSpaceDE w:val="0"/>
        <w:autoSpaceDN w:val="0"/>
        <w:ind w:left="426" w:right="116"/>
        <w:contextualSpacing w:val="0"/>
        <w:jc w:val="both"/>
      </w:pPr>
      <w:r>
        <w:t xml:space="preserve">Doplnit do akreditačního spisu, jakým způsobem bude zajištěno plnění Nařízení vlády č. 274 o standardech pro akreditace ve vysokém školství v části 2, hlava 2, písm. </w:t>
      </w:r>
      <w:r w:rsidR="00B61731">
        <w:t>H. 3, u studentů</w:t>
      </w:r>
      <w:r>
        <w:t xml:space="preserve"> kombinované formy studia (povinnost absolvovat části studia na zahraniční instituci v délce nejméně jednoho měsíce nebo účast na mezinárodním tvůrčím projektu s výsledky publikovanými nebo prezentovanými v zahraničí nebo jiná forma přímé účasti studenta na mezinárodní</w:t>
      </w:r>
      <w:r>
        <w:rPr>
          <w:spacing w:val="-3"/>
        </w:rPr>
        <w:t xml:space="preserve"> </w:t>
      </w:r>
      <w:r>
        <w:t>spolupráci).</w:t>
      </w:r>
    </w:p>
    <w:p w:rsidR="00C34802" w:rsidRDefault="00C34802" w:rsidP="00C34802">
      <w:pPr>
        <w:widowControl w:val="0"/>
        <w:tabs>
          <w:tab w:val="left" w:pos="825"/>
        </w:tabs>
        <w:autoSpaceDE w:val="0"/>
        <w:autoSpaceDN w:val="0"/>
        <w:ind w:left="567" w:right="116"/>
        <w:jc w:val="both"/>
      </w:pPr>
      <w:r w:rsidRPr="00C34802">
        <w:rPr>
          <w:i/>
        </w:rPr>
        <w:t>Akreditační spis byl v části Požadavky na absolvování stáží modifikován následujícím způsobem, aby bylo patrné, jak bude zajištěno plnění daného Nařízení vlády: „</w:t>
      </w:r>
      <w:r w:rsidRPr="00C34802">
        <w:rPr>
          <w:i/>
          <w:spacing w:val="-2"/>
        </w:rPr>
        <w:t xml:space="preserve">Součástí studijních povinností v doktorském studijním programu je povinnost absolvovat část studia na zahraniční instituci v délce nejméně jednoho měsíce. Tato povinnost vychází z </w:t>
      </w:r>
      <w:r w:rsidRPr="00C34802">
        <w:rPr>
          <w:i/>
        </w:rPr>
        <w:t>Nařízení vlády č. 274/2016 Sb. a její plnění je zajištěno VP FT UTB (PD/04/2019,</w:t>
      </w:r>
      <w:r w:rsidRPr="00C34802">
        <w:t xml:space="preserve"> </w:t>
      </w:r>
      <w:hyperlink r:id="rId11" w:history="1">
        <w:hyperlink r:id="rId12" w:history="1">
          <w:r w:rsidR="00136A3E" w:rsidRPr="00136A3E">
            <w:rPr>
              <w:rStyle w:val="Hyperlink"/>
              <w:i/>
            </w:rPr>
            <w:t>https://ft.utb.cz/mdocs-posts/pd-04-2019-predkladani-disertacnich-praci-a-prihlasek-k-obhajobe-disertacni-prace/</w:t>
          </w:r>
          <w:r w:rsidR="00136A3E" w:rsidRPr="0003451F">
            <w:rPr>
              <w:rStyle w:val="Hyperlink"/>
            </w:rPr>
            <w:t>)</w:t>
          </w:r>
        </w:hyperlink>
      </w:hyperlink>
      <w:r w:rsidRPr="00C34802">
        <w:rPr>
          <w:i/>
        </w:rPr>
        <w:t>.</w:t>
      </w:r>
      <w:r w:rsidRPr="00C34802">
        <w:rPr>
          <w:i/>
          <w:spacing w:val="-2"/>
        </w:rPr>
        <w:t>“. Dle daného předpisu, který je platný od 1.</w:t>
      </w:r>
      <w:r>
        <w:rPr>
          <w:i/>
          <w:spacing w:val="-2"/>
        </w:rPr>
        <w:t xml:space="preserve"> </w:t>
      </w:r>
      <w:r w:rsidRPr="00C34802">
        <w:rPr>
          <w:i/>
          <w:spacing w:val="-2"/>
        </w:rPr>
        <w:t>9.</w:t>
      </w:r>
      <w:r>
        <w:rPr>
          <w:i/>
          <w:spacing w:val="-2"/>
        </w:rPr>
        <w:t xml:space="preserve"> </w:t>
      </w:r>
      <w:r w:rsidRPr="00C34802">
        <w:rPr>
          <w:i/>
          <w:spacing w:val="-2"/>
        </w:rPr>
        <w:t>2019, musí student deklarovat splnění tohoto požadavku písemně. Kontrolní činnost pak vykonává nejprve školitel, který průvodní dopis studenta musí schválit a následně pak předseda Oborové rady.</w:t>
      </w:r>
    </w:p>
    <w:p w:rsidR="00B31EF5" w:rsidRDefault="00B31EF5" w:rsidP="00B31EF5">
      <w:pPr>
        <w:pStyle w:val="NormalWeb"/>
        <w:spacing w:before="0" w:beforeAutospacing="0" w:after="0" w:afterAutospacing="0"/>
        <w:ind w:left="426"/>
        <w:jc w:val="both"/>
        <w:rPr>
          <w:i/>
          <w:color w:val="000000" w:themeColor="text1"/>
        </w:rPr>
      </w:pPr>
    </w:p>
    <w:p w:rsidR="00B31EF5" w:rsidRDefault="00B31EF5" w:rsidP="00CD21F1">
      <w:pPr>
        <w:pStyle w:val="NormalWeb"/>
        <w:spacing w:before="0" w:beforeAutospacing="0" w:after="0" w:afterAutospacing="0"/>
        <w:ind w:left="142"/>
        <w:jc w:val="both"/>
        <w:rPr>
          <w:i/>
          <w:color w:val="000000" w:themeColor="text1"/>
        </w:rPr>
      </w:pPr>
    </w:p>
    <w:p w:rsidR="00B31EF5" w:rsidRPr="00421F1A" w:rsidRDefault="00B31EF5" w:rsidP="00B31EF5">
      <w:pPr>
        <w:pStyle w:val="NormalWeb"/>
        <w:spacing w:before="0" w:beforeAutospacing="0" w:after="0" w:afterAutospacing="0"/>
        <w:ind w:left="426"/>
        <w:jc w:val="both"/>
        <w:rPr>
          <w:i/>
          <w:color w:val="000000" w:themeColor="text1"/>
        </w:rPr>
      </w:pPr>
    </w:p>
    <w:p w:rsidR="009F195D" w:rsidRPr="009F195D" w:rsidRDefault="009F195D" w:rsidP="009F195D">
      <w:pPr>
        <w:pStyle w:val="NormalWeb"/>
        <w:tabs>
          <w:tab w:val="left" w:pos="142"/>
        </w:tabs>
        <w:spacing w:before="0" w:beforeAutospacing="0" w:after="0" w:afterAutospacing="0"/>
        <w:ind w:left="720"/>
        <w:jc w:val="both"/>
        <w:rPr>
          <w:i/>
          <w:color w:val="000000" w:themeColor="text1"/>
        </w:rPr>
      </w:pPr>
    </w:p>
    <w:p w:rsidR="009F195D" w:rsidRPr="00EF00F8" w:rsidRDefault="00EF00F8" w:rsidP="00EF00F8">
      <w:pPr>
        <w:pStyle w:val="Closing"/>
        <w:jc w:val="both"/>
        <w:rPr>
          <w:rFonts w:ascii="Times New Roman" w:hAnsi="Times New Roman"/>
          <w:color w:val="000000" w:themeColor="text1"/>
          <w:sz w:val="24"/>
        </w:rPr>
      </w:pPr>
      <w:r w:rsidRPr="00EF00F8">
        <w:rPr>
          <w:rFonts w:ascii="Times New Roman" w:hAnsi="Times New Roman"/>
          <w:color w:val="000000" w:themeColor="text1"/>
          <w:sz w:val="24"/>
        </w:rPr>
        <w:t>Všechny tyto připomínky byly do žádosti o akreditaci zapracov</w:t>
      </w:r>
      <w:r>
        <w:rPr>
          <w:rFonts w:ascii="Times New Roman" w:hAnsi="Times New Roman"/>
          <w:color w:val="000000" w:themeColor="text1"/>
          <w:sz w:val="24"/>
        </w:rPr>
        <w:t>ány</w:t>
      </w:r>
      <w:r w:rsidRPr="00EF00F8">
        <w:rPr>
          <w:rFonts w:ascii="Times New Roman" w:hAnsi="Times New Roman"/>
          <w:color w:val="000000" w:themeColor="text1"/>
          <w:sz w:val="24"/>
        </w:rPr>
        <w:t>.</w:t>
      </w:r>
    </w:p>
    <w:p w:rsidR="007C7182" w:rsidRDefault="007C7182" w:rsidP="008E06B0">
      <w:pPr>
        <w:pStyle w:val="Closing"/>
        <w:rPr>
          <w:rFonts w:ascii="Times New Roman" w:hAnsi="Times New Roman"/>
          <w:sz w:val="24"/>
        </w:rPr>
      </w:pPr>
    </w:p>
    <w:p w:rsidR="007C7182" w:rsidRDefault="007C7182" w:rsidP="008E06B0">
      <w:pPr>
        <w:pStyle w:val="Closing"/>
        <w:rPr>
          <w:rFonts w:ascii="Times New Roman" w:hAnsi="Times New Roman"/>
          <w:sz w:val="24"/>
        </w:rPr>
      </w:pPr>
    </w:p>
    <w:p w:rsidR="007C7182" w:rsidRDefault="007C7182" w:rsidP="008E06B0">
      <w:pPr>
        <w:pStyle w:val="Closing"/>
        <w:rPr>
          <w:rFonts w:ascii="Times New Roman" w:hAnsi="Times New Roman"/>
          <w:sz w:val="24"/>
        </w:rPr>
      </w:pPr>
    </w:p>
    <w:p w:rsidR="007C7182" w:rsidRDefault="007C7182" w:rsidP="008E06B0">
      <w:pPr>
        <w:pStyle w:val="Closing"/>
        <w:rPr>
          <w:rFonts w:ascii="Times New Roman" w:hAnsi="Times New Roman"/>
          <w:sz w:val="24"/>
        </w:rPr>
      </w:pPr>
    </w:p>
    <w:p w:rsidR="008E06B0" w:rsidRDefault="002957C9" w:rsidP="008E06B0">
      <w:pPr>
        <w:pStyle w:val="Closing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 pozdravem</w:t>
      </w:r>
    </w:p>
    <w:p w:rsidR="008E06B0" w:rsidRDefault="008E06B0" w:rsidP="008E06B0">
      <w:pPr>
        <w:pStyle w:val="Signature"/>
        <w:tabs>
          <w:tab w:val="center" w:pos="6663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8E06B0" w:rsidRPr="00FB0872" w:rsidRDefault="008E06B0" w:rsidP="008E06B0">
      <w:pPr>
        <w:pStyle w:val="Signature"/>
        <w:tabs>
          <w:tab w:val="center" w:pos="70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doc</w:t>
      </w:r>
      <w:r w:rsidRPr="00FB0872">
        <w:rPr>
          <w:rFonts w:ascii="Times New Roman" w:hAnsi="Times New Roman"/>
          <w:sz w:val="24"/>
        </w:rPr>
        <w:t xml:space="preserve">. Ing. </w:t>
      </w:r>
      <w:r>
        <w:rPr>
          <w:rFonts w:ascii="Times New Roman" w:hAnsi="Times New Roman"/>
          <w:sz w:val="24"/>
        </w:rPr>
        <w:t>Roman Čermák, Ph.D.</w:t>
      </w:r>
    </w:p>
    <w:p w:rsidR="008E06B0" w:rsidRPr="00FB0872" w:rsidRDefault="008E06B0" w:rsidP="008E06B0">
      <w:pPr>
        <w:pStyle w:val="Podpisfunkce"/>
        <w:tabs>
          <w:tab w:val="center" w:pos="708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děkan</w:t>
      </w:r>
    </w:p>
    <w:p w:rsidR="008E06B0" w:rsidRPr="00FB0872" w:rsidRDefault="008E06B0" w:rsidP="008E06B0">
      <w:pPr>
        <w:pStyle w:val="Closing"/>
        <w:rPr>
          <w:rFonts w:ascii="Times New Roman" w:hAnsi="Times New Roman"/>
          <w:iCs/>
          <w:sz w:val="20"/>
        </w:rPr>
      </w:pPr>
    </w:p>
    <w:sectPr w:rsidR="008E06B0" w:rsidRPr="00FB0872" w:rsidSect="00EA0ECA">
      <w:headerReference w:type="default" r:id="rId13"/>
      <w:footerReference w:type="even" r:id="rId14"/>
      <w:footerReference w:type="default" r:id="rId15"/>
      <w:pgSz w:w="11906" w:h="16838"/>
      <w:pgMar w:top="1809" w:right="991" w:bottom="1417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BB5" w:rsidRDefault="001B6BB5" w:rsidP="006F55A5">
      <w:r>
        <w:separator/>
      </w:r>
    </w:p>
  </w:endnote>
  <w:endnote w:type="continuationSeparator" w:id="0">
    <w:p w:rsidR="001B6BB5" w:rsidRDefault="001B6BB5" w:rsidP="006F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rlin CE">
    <w:altName w:val="Corbel"/>
    <w:charset w:val="00"/>
    <w:family w:val="auto"/>
    <w:pitch w:val="variable"/>
    <w:sig w:usb0="00000001" w:usb1="00000000" w:usb2="00000000" w:usb3="00000000" w:csb0="00000083" w:csb1="00000000"/>
  </w:font>
  <w:font w:name="J Baskerville TxN">
    <w:charset w:val="00"/>
    <w:family w:val="auto"/>
    <w:pitch w:val="variable"/>
    <w:sig w:usb0="00000001" w:usb1="40000000" w:usb2="00000000" w:usb3="00000000" w:csb0="000000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2552"/>
      <w:gridCol w:w="36"/>
      <w:gridCol w:w="23"/>
      <w:gridCol w:w="2067"/>
      <w:gridCol w:w="142"/>
      <w:gridCol w:w="164"/>
      <w:gridCol w:w="88"/>
      <w:gridCol w:w="969"/>
      <w:gridCol w:w="159"/>
      <w:gridCol w:w="255"/>
      <w:gridCol w:w="20"/>
      <w:gridCol w:w="1287"/>
      <w:gridCol w:w="194"/>
      <w:gridCol w:w="196"/>
      <w:gridCol w:w="678"/>
      <w:gridCol w:w="89"/>
      <w:gridCol w:w="59"/>
      <w:gridCol w:w="20"/>
      <w:gridCol w:w="74"/>
    </w:tblGrid>
    <w:tr w:rsidR="00962414" w:rsidTr="00256ADA">
      <w:trPr>
        <w:cantSplit/>
        <w:trHeight w:hRule="exact" w:val="58"/>
      </w:trPr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552" w:type="dxa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  <w:ind w:left="-65"/>
          </w:pPr>
        </w:p>
      </w:tc>
      <w:tc>
        <w:tcPr>
          <w:tcW w:w="36" w:type="dxa"/>
          <w:tcBorders>
            <w:top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3" w:type="dxa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067" w:type="dxa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306" w:type="dxa"/>
          <w:gridSpan w:val="2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88" w:type="dxa"/>
          <w:tcBorders>
            <w:top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1383" w:type="dxa"/>
          <w:gridSpan w:val="3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ax"/>
          </w:pPr>
        </w:p>
      </w:tc>
      <w:tc>
        <w:tcPr>
          <w:tcW w:w="20" w:type="dxa"/>
          <w:tcBorders>
            <w:top w:val="single" w:sz="2" w:space="0" w:color="auto"/>
          </w:tcBorders>
        </w:tcPr>
        <w:p w:rsidR="00962414" w:rsidRDefault="00962414" w:rsidP="00256ADA">
          <w:pPr>
            <w:pStyle w:val="Footer"/>
            <w:ind w:left="-27" w:firstLine="27"/>
          </w:pPr>
        </w:p>
      </w:tc>
      <w:tc>
        <w:tcPr>
          <w:tcW w:w="1677" w:type="dxa"/>
          <w:gridSpan w:val="3"/>
          <w:tcBorders>
            <w:top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678" w:type="dxa"/>
          <w:tcBorders>
            <w:top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148" w:type="dxa"/>
          <w:gridSpan w:val="2"/>
          <w:tcBorders>
            <w:top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0" w:type="dxa"/>
          <w:tcBorders>
            <w:top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74" w:type="dxa"/>
          <w:tcBorders>
            <w:top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email"/>
          </w:pPr>
        </w:p>
      </w:tc>
    </w:tr>
    <w:tr w:rsidR="00962414" w:rsidRPr="00E23B14" w:rsidTr="00256ADA">
      <w:trPr>
        <w:gridAfter w:val="3"/>
        <w:wAfter w:w="153" w:type="dxa"/>
        <w:cantSplit/>
        <w:trHeight w:hRule="exact" w:val="225"/>
      </w:trPr>
      <w:tc>
        <w:tcPr>
          <w:tcW w:w="142" w:type="dxa"/>
          <w:noWrap/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552" w:type="dxa"/>
          <w:noWrap/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náměstí T. G. Masaryka 275, 762 72 Zlín</w:t>
          </w:r>
        </w:p>
      </w:tc>
      <w:tc>
        <w:tcPr>
          <w:tcW w:w="36" w:type="dxa"/>
          <w:tcBorders>
            <w:right w:val="single" w:sz="2" w:space="0" w:color="auto"/>
          </w:tcBorders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3" w:type="dxa"/>
          <w:tcBorders>
            <w:left w:val="single" w:sz="2" w:space="0" w:color="auto"/>
          </w:tcBorders>
          <w:noWrap/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067" w:type="dxa"/>
          <w:noWrap/>
          <w:vAlign w:val="center"/>
        </w:tcPr>
        <w:p w:rsidR="00962414" w:rsidRPr="00E23B14" w:rsidRDefault="00962414" w:rsidP="00256ADA">
          <w:pPr>
            <w:pStyle w:val="Telefon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 xml:space="preserve">  Vyřizuje: Ing. Lada Vojáčková</w:t>
          </w:r>
        </w:p>
      </w:tc>
      <w:tc>
        <w:tcPr>
          <w:tcW w:w="142" w:type="dxa"/>
          <w:tcBorders>
            <w:left w:val="single" w:sz="2" w:space="0" w:color="auto"/>
          </w:tcBorders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21" w:type="dxa"/>
          <w:gridSpan w:val="3"/>
          <w:noWrap/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Tel.:57 603 1304</w:t>
          </w:r>
        </w:p>
      </w:tc>
      <w:tc>
        <w:tcPr>
          <w:tcW w:w="159" w:type="dxa"/>
          <w:tcBorders>
            <w:right w:val="single" w:sz="2" w:space="0" w:color="auto"/>
          </w:tcBorders>
          <w:vAlign w:val="center"/>
        </w:tcPr>
        <w:p w:rsidR="00962414" w:rsidRPr="00E23B14" w:rsidRDefault="00962414" w:rsidP="00256ADA">
          <w:pPr>
            <w:pStyle w:val="Telefon"/>
            <w:rPr>
              <w:rFonts w:ascii="Arial Narrow" w:hAnsi="Arial Narrow"/>
              <w:szCs w:val="16"/>
            </w:rPr>
          </w:pPr>
        </w:p>
      </w:tc>
      <w:tc>
        <w:tcPr>
          <w:tcW w:w="1562" w:type="dxa"/>
          <w:gridSpan w:val="3"/>
          <w:tcBorders>
            <w:right w:val="single" w:sz="2" w:space="0" w:color="auto"/>
          </w:tcBorders>
          <w:vAlign w:val="center"/>
        </w:tcPr>
        <w:p w:rsidR="00962414" w:rsidRPr="00E23B14" w:rsidRDefault="00962414" w:rsidP="00256ADA">
          <w:pPr>
            <w:pStyle w:val="Footer"/>
            <w:tabs>
              <w:tab w:val="clear" w:pos="4536"/>
            </w:tabs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 xml:space="preserve">  vojackova@ft.utb.cz</w:t>
          </w:r>
        </w:p>
      </w:tc>
      <w:tc>
        <w:tcPr>
          <w:tcW w:w="194" w:type="dxa"/>
          <w:tcBorders>
            <w:left w:val="single" w:sz="2" w:space="0" w:color="auto"/>
          </w:tcBorders>
          <w:vAlign w:val="center"/>
        </w:tcPr>
        <w:p w:rsidR="00962414" w:rsidRPr="00E23B14" w:rsidRDefault="00962414" w:rsidP="00256ADA">
          <w:pPr>
            <w:pStyle w:val="Footer"/>
            <w:rPr>
              <w:rFonts w:ascii="Arial Narrow" w:hAnsi="Arial Narrow"/>
              <w:sz w:val="16"/>
              <w:szCs w:val="16"/>
              <w:lang w:val="en-US"/>
            </w:rPr>
          </w:pPr>
        </w:p>
      </w:tc>
      <w:tc>
        <w:tcPr>
          <w:tcW w:w="963" w:type="dxa"/>
          <w:gridSpan w:val="3"/>
          <w:tcBorders>
            <w:left w:val="nil"/>
          </w:tcBorders>
          <w:noWrap/>
          <w:vAlign w:val="center"/>
        </w:tcPr>
        <w:p w:rsidR="00962414" w:rsidRPr="00E23B14" w:rsidRDefault="00962414" w:rsidP="00256ADA">
          <w:pPr>
            <w:pStyle w:val="email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>www.ft.utb.cz</w:t>
          </w:r>
        </w:p>
      </w:tc>
    </w:tr>
    <w:tr w:rsidR="00962414" w:rsidTr="00256ADA">
      <w:trPr>
        <w:cantSplit/>
        <w:trHeight w:hRule="exact" w:val="58"/>
      </w:trPr>
      <w:tc>
        <w:tcPr>
          <w:tcW w:w="142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2552" w:type="dxa"/>
          <w:tcBorders>
            <w:bottom w:val="single" w:sz="2" w:space="0" w:color="auto"/>
          </w:tcBorders>
          <w:noWrap/>
          <w:vAlign w:val="center"/>
        </w:tcPr>
        <w:p w:rsidR="00962414" w:rsidRDefault="00962414" w:rsidP="00256ADA">
          <w:pPr>
            <w:pStyle w:val="Footer"/>
            <w:ind w:left="-65"/>
          </w:pPr>
        </w:p>
      </w:tc>
      <w:tc>
        <w:tcPr>
          <w:tcW w:w="36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23" w:type="dxa"/>
          <w:tcBorders>
            <w:bottom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067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306" w:type="dxa"/>
          <w:gridSpan w:val="2"/>
          <w:tcBorders>
            <w:bottom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88" w:type="dxa"/>
          <w:tcBorders>
            <w:bottom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1383" w:type="dxa"/>
          <w:gridSpan w:val="3"/>
          <w:tcBorders>
            <w:bottom w:val="single" w:sz="2" w:space="0" w:color="auto"/>
          </w:tcBorders>
        </w:tcPr>
        <w:p w:rsidR="00962414" w:rsidRDefault="00962414" w:rsidP="00256ADA">
          <w:pPr>
            <w:pStyle w:val="Fax"/>
          </w:pPr>
        </w:p>
      </w:tc>
      <w:tc>
        <w:tcPr>
          <w:tcW w:w="20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  <w:ind w:left="-27" w:firstLine="27"/>
          </w:pPr>
        </w:p>
      </w:tc>
      <w:tc>
        <w:tcPr>
          <w:tcW w:w="1677" w:type="dxa"/>
          <w:gridSpan w:val="3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678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Footer"/>
          </w:pPr>
        </w:p>
      </w:tc>
      <w:tc>
        <w:tcPr>
          <w:tcW w:w="148" w:type="dxa"/>
          <w:gridSpan w:val="2"/>
          <w:tcBorders>
            <w:bottom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20" w:type="dxa"/>
          <w:tcBorders>
            <w:bottom w:val="single" w:sz="2" w:space="0" w:color="auto"/>
          </w:tcBorders>
          <w:vAlign w:val="center"/>
        </w:tcPr>
        <w:p w:rsidR="00962414" w:rsidRDefault="00962414" w:rsidP="00256ADA">
          <w:pPr>
            <w:pStyle w:val="Footer"/>
          </w:pPr>
        </w:p>
      </w:tc>
      <w:tc>
        <w:tcPr>
          <w:tcW w:w="74" w:type="dxa"/>
          <w:tcBorders>
            <w:bottom w:val="single" w:sz="2" w:space="0" w:color="auto"/>
          </w:tcBorders>
        </w:tcPr>
        <w:p w:rsidR="00962414" w:rsidRDefault="00962414" w:rsidP="00256ADA">
          <w:pPr>
            <w:pStyle w:val="email"/>
          </w:pPr>
        </w:p>
      </w:tc>
    </w:tr>
  </w:tbl>
  <w:p w:rsidR="00962414" w:rsidRDefault="009624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9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2"/>
      <w:gridCol w:w="2126"/>
      <w:gridCol w:w="142"/>
      <w:gridCol w:w="142"/>
      <w:gridCol w:w="2126"/>
      <w:gridCol w:w="284"/>
      <w:gridCol w:w="164"/>
      <w:gridCol w:w="88"/>
      <w:gridCol w:w="969"/>
      <w:gridCol w:w="159"/>
      <w:gridCol w:w="255"/>
      <w:gridCol w:w="20"/>
      <w:gridCol w:w="1287"/>
      <w:gridCol w:w="194"/>
      <w:gridCol w:w="196"/>
      <w:gridCol w:w="678"/>
      <w:gridCol w:w="89"/>
      <w:gridCol w:w="437"/>
      <w:gridCol w:w="20"/>
      <w:gridCol w:w="74"/>
    </w:tblGrid>
    <w:tr w:rsidR="00172A5A" w:rsidTr="00A33D8C">
      <w:trPr>
        <w:cantSplit/>
        <w:trHeight w:hRule="exact" w:val="58"/>
      </w:trPr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126" w:type="dxa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  <w:ind w:left="-65"/>
          </w:pPr>
        </w:p>
      </w:tc>
      <w:tc>
        <w:tcPr>
          <w:tcW w:w="142" w:type="dxa"/>
          <w:tcBorders>
            <w:top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142" w:type="dxa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126" w:type="dxa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448" w:type="dxa"/>
          <w:gridSpan w:val="2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88" w:type="dxa"/>
          <w:tcBorders>
            <w:top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1383" w:type="dxa"/>
          <w:gridSpan w:val="3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ax"/>
          </w:pPr>
        </w:p>
      </w:tc>
      <w:tc>
        <w:tcPr>
          <w:tcW w:w="20" w:type="dxa"/>
          <w:tcBorders>
            <w:top w:val="single" w:sz="2" w:space="0" w:color="auto"/>
          </w:tcBorders>
        </w:tcPr>
        <w:p w:rsidR="00172A5A" w:rsidRDefault="00172A5A" w:rsidP="00256ADA">
          <w:pPr>
            <w:pStyle w:val="Footer"/>
            <w:ind w:left="-27" w:firstLine="27"/>
          </w:pPr>
        </w:p>
      </w:tc>
      <w:tc>
        <w:tcPr>
          <w:tcW w:w="1677" w:type="dxa"/>
          <w:gridSpan w:val="3"/>
          <w:tcBorders>
            <w:top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678" w:type="dxa"/>
          <w:tcBorders>
            <w:top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526" w:type="dxa"/>
          <w:gridSpan w:val="2"/>
          <w:tcBorders>
            <w:top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0" w:type="dxa"/>
          <w:tcBorders>
            <w:top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74" w:type="dxa"/>
          <w:tcBorders>
            <w:top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email"/>
          </w:pPr>
        </w:p>
      </w:tc>
    </w:tr>
    <w:tr w:rsidR="00172A5A" w:rsidRPr="00E23B14" w:rsidTr="00A33D8C">
      <w:trPr>
        <w:gridAfter w:val="3"/>
        <w:wAfter w:w="531" w:type="dxa"/>
        <w:cantSplit/>
        <w:trHeight w:hRule="exact" w:val="225"/>
      </w:trPr>
      <w:tc>
        <w:tcPr>
          <w:tcW w:w="142" w:type="dxa"/>
          <w:noWrap/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126" w:type="dxa"/>
          <w:noWrap/>
          <w:vAlign w:val="center"/>
        </w:tcPr>
        <w:p w:rsidR="00172A5A" w:rsidRPr="00E23B14" w:rsidRDefault="00A33D8C" w:rsidP="00A33D8C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Vavrečkova </w:t>
          </w:r>
          <w:r w:rsidR="00172A5A" w:rsidRPr="00E23B14">
            <w:rPr>
              <w:rFonts w:ascii="Arial Narrow" w:hAnsi="Arial Narrow"/>
              <w:sz w:val="16"/>
              <w:szCs w:val="16"/>
            </w:rPr>
            <w:t xml:space="preserve"> 275, </w:t>
          </w:r>
          <w:r>
            <w:rPr>
              <w:rFonts w:ascii="Arial Narrow" w:hAnsi="Arial Narrow"/>
              <w:sz w:val="16"/>
              <w:szCs w:val="16"/>
            </w:rPr>
            <w:t xml:space="preserve"> 760 01 </w:t>
          </w:r>
          <w:r w:rsidR="00172A5A" w:rsidRPr="00E23B14">
            <w:rPr>
              <w:rFonts w:ascii="Arial Narrow" w:hAnsi="Arial Narrow"/>
              <w:sz w:val="16"/>
              <w:szCs w:val="16"/>
            </w:rPr>
            <w:t xml:space="preserve"> Zlín</w:t>
          </w:r>
        </w:p>
      </w:tc>
      <w:tc>
        <w:tcPr>
          <w:tcW w:w="142" w:type="dxa"/>
          <w:tcBorders>
            <w:right w:val="single" w:sz="2" w:space="0" w:color="auto"/>
          </w:tcBorders>
          <w:vAlign w:val="center"/>
        </w:tcPr>
        <w:p w:rsidR="00172A5A" w:rsidRPr="00E23B14" w:rsidRDefault="00172A5A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42" w:type="dxa"/>
          <w:tcBorders>
            <w:left w:val="single" w:sz="2" w:space="0" w:color="auto"/>
          </w:tcBorders>
          <w:noWrap/>
          <w:vAlign w:val="center"/>
        </w:tcPr>
        <w:p w:rsidR="00172A5A" w:rsidRPr="00E23B14" w:rsidRDefault="00172A5A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2126" w:type="dxa"/>
          <w:noWrap/>
          <w:vAlign w:val="center"/>
        </w:tcPr>
        <w:p w:rsidR="00172A5A" w:rsidRPr="00E23B14" w:rsidRDefault="00172A5A" w:rsidP="00256ADA">
          <w:pPr>
            <w:pStyle w:val="Telefon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 xml:space="preserve">  Vyřizuje: Ing. Lada Vojáčková</w:t>
          </w:r>
        </w:p>
      </w:tc>
      <w:tc>
        <w:tcPr>
          <w:tcW w:w="284" w:type="dxa"/>
          <w:tcBorders>
            <w:left w:val="single" w:sz="2" w:space="0" w:color="auto"/>
          </w:tcBorders>
          <w:vAlign w:val="center"/>
        </w:tcPr>
        <w:p w:rsidR="00172A5A" w:rsidRPr="00E23B14" w:rsidRDefault="00172A5A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221" w:type="dxa"/>
          <w:gridSpan w:val="3"/>
          <w:noWrap/>
          <w:vAlign w:val="center"/>
        </w:tcPr>
        <w:p w:rsidR="00172A5A" w:rsidRPr="00E23B14" w:rsidRDefault="00172A5A" w:rsidP="00256ADA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>Tel.:57 603 1304</w:t>
          </w:r>
        </w:p>
      </w:tc>
      <w:tc>
        <w:tcPr>
          <w:tcW w:w="159" w:type="dxa"/>
          <w:tcBorders>
            <w:right w:val="single" w:sz="2" w:space="0" w:color="auto"/>
          </w:tcBorders>
          <w:vAlign w:val="center"/>
        </w:tcPr>
        <w:p w:rsidR="00172A5A" w:rsidRPr="00E23B14" w:rsidRDefault="00172A5A" w:rsidP="00256ADA">
          <w:pPr>
            <w:pStyle w:val="Telefon"/>
            <w:rPr>
              <w:rFonts w:ascii="Arial Narrow" w:hAnsi="Arial Narrow"/>
              <w:szCs w:val="16"/>
            </w:rPr>
          </w:pPr>
        </w:p>
      </w:tc>
      <w:tc>
        <w:tcPr>
          <w:tcW w:w="1562" w:type="dxa"/>
          <w:gridSpan w:val="3"/>
          <w:tcBorders>
            <w:right w:val="single" w:sz="2" w:space="0" w:color="auto"/>
          </w:tcBorders>
          <w:vAlign w:val="center"/>
        </w:tcPr>
        <w:p w:rsidR="00172A5A" w:rsidRPr="00E23B14" w:rsidRDefault="00172A5A" w:rsidP="00256ADA">
          <w:pPr>
            <w:pStyle w:val="Footer"/>
            <w:tabs>
              <w:tab w:val="clear" w:pos="4536"/>
            </w:tabs>
            <w:rPr>
              <w:rFonts w:ascii="Arial Narrow" w:hAnsi="Arial Narrow"/>
              <w:sz w:val="16"/>
              <w:szCs w:val="16"/>
            </w:rPr>
          </w:pPr>
          <w:r w:rsidRPr="00E23B14">
            <w:rPr>
              <w:rFonts w:ascii="Arial Narrow" w:hAnsi="Arial Narrow"/>
              <w:sz w:val="16"/>
              <w:szCs w:val="16"/>
            </w:rPr>
            <w:t xml:space="preserve">  vojackova@ft.utb.cz</w:t>
          </w:r>
        </w:p>
      </w:tc>
      <w:tc>
        <w:tcPr>
          <w:tcW w:w="194" w:type="dxa"/>
          <w:tcBorders>
            <w:left w:val="single" w:sz="2" w:space="0" w:color="auto"/>
          </w:tcBorders>
          <w:vAlign w:val="center"/>
        </w:tcPr>
        <w:p w:rsidR="00172A5A" w:rsidRPr="00E23B14" w:rsidRDefault="00172A5A" w:rsidP="00256ADA">
          <w:pPr>
            <w:pStyle w:val="Footer"/>
            <w:rPr>
              <w:rFonts w:ascii="Arial Narrow" w:hAnsi="Arial Narrow"/>
              <w:sz w:val="16"/>
              <w:szCs w:val="16"/>
              <w:lang w:val="en-US"/>
            </w:rPr>
          </w:pPr>
        </w:p>
      </w:tc>
      <w:tc>
        <w:tcPr>
          <w:tcW w:w="963" w:type="dxa"/>
          <w:gridSpan w:val="3"/>
          <w:tcBorders>
            <w:left w:val="nil"/>
          </w:tcBorders>
          <w:noWrap/>
          <w:vAlign w:val="center"/>
        </w:tcPr>
        <w:p w:rsidR="00172A5A" w:rsidRPr="00E23B14" w:rsidRDefault="00172A5A" w:rsidP="00256ADA">
          <w:pPr>
            <w:pStyle w:val="email"/>
            <w:rPr>
              <w:rFonts w:ascii="Arial Narrow" w:hAnsi="Arial Narrow"/>
              <w:szCs w:val="16"/>
            </w:rPr>
          </w:pPr>
          <w:r w:rsidRPr="00E23B14">
            <w:rPr>
              <w:rFonts w:ascii="Arial Narrow" w:hAnsi="Arial Narrow"/>
              <w:szCs w:val="16"/>
            </w:rPr>
            <w:t>www.ft.utb.cz</w:t>
          </w:r>
        </w:p>
      </w:tc>
    </w:tr>
    <w:tr w:rsidR="00172A5A" w:rsidTr="00A33D8C">
      <w:trPr>
        <w:cantSplit/>
        <w:trHeight w:hRule="exact" w:val="58"/>
      </w:trPr>
      <w:tc>
        <w:tcPr>
          <w:tcW w:w="142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2126" w:type="dxa"/>
          <w:tcBorders>
            <w:bottom w:val="single" w:sz="2" w:space="0" w:color="auto"/>
          </w:tcBorders>
          <w:noWrap/>
          <w:vAlign w:val="center"/>
        </w:tcPr>
        <w:p w:rsidR="00172A5A" w:rsidRDefault="00172A5A" w:rsidP="00256ADA">
          <w:pPr>
            <w:pStyle w:val="Footer"/>
            <w:ind w:left="-65"/>
          </w:pPr>
        </w:p>
      </w:tc>
      <w:tc>
        <w:tcPr>
          <w:tcW w:w="142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142" w:type="dxa"/>
          <w:tcBorders>
            <w:bottom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126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448" w:type="dxa"/>
          <w:gridSpan w:val="2"/>
          <w:tcBorders>
            <w:bottom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88" w:type="dxa"/>
          <w:tcBorders>
            <w:bottom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1383" w:type="dxa"/>
          <w:gridSpan w:val="3"/>
          <w:tcBorders>
            <w:bottom w:val="single" w:sz="2" w:space="0" w:color="auto"/>
          </w:tcBorders>
        </w:tcPr>
        <w:p w:rsidR="00172A5A" w:rsidRDefault="00172A5A" w:rsidP="00256ADA">
          <w:pPr>
            <w:pStyle w:val="Fax"/>
          </w:pPr>
        </w:p>
      </w:tc>
      <w:tc>
        <w:tcPr>
          <w:tcW w:w="20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  <w:ind w:left="-27" w:firstLine="27"/>
          </w:pPr>
        </w:p>
      </w:tc>
      <w:tc>
        <w:tcPr>
          <w:tcW w:w="1677" w:type="dxa"/>
          <w:gridSpan w:val="3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678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Footer"/>
          </w:pPr>
        </w:p>
      </w:tc>
      <w:tc>
        <w:tcPr>
          <w:tcW w:w="526" w:type="dxa"/>
          <w:gridSpan w:val="2"/>
          <w:tcBorders>
            <w:bottom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20" w:type="dxa"/>
          <w:tcBorders>
            <w:bottom w:val="single" w:sz="2" w:space="0" w:color="auto"/>
          </w:tcBorders>
          <w:vAlign w:val="center"/>
        </w:tcPr>
        <w:p w:rsidR="00172A5A" w:rsidRDefault="00172A5A" w:rsidP="00256ADA">
          <w:pPr>
            <w:pStyle w:val="Footer"/>
          </w:pPr>
        </w:p>
      </w:tc>
      <w:tc>
        <w:tcPr>
          <w:tcW w:w="74" w:type="dxa"/>
          <w:tcBorders>
            <w:bottom w:val="single" w:sz="2" w:space="0" w:color="auto"/>
          </w:tcBorders>
        </w:tcPr>
        <w:p w:rsidR="00172A5A" w:rsidRDefault="00172A5A" w:rsidP="00256ADA">
          <w:pPr>
            <w:pStyle w:val="email"/>
          </w:pPr>
        </w:p>
      </w:tc>
    </w:tr>
  </w:tbl>
  <w:p w:rsidR="00172A5A" w:rsidRDefault="00172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BB5" w:rsidRDefault="001B6BB5" w:rsidP="006F55A5">
      <w:r>
        <w:separator/>
      </w:r>
    </w:p>
  </w:footnote>
  <w:footnote w:type="continuationSeparator" w:id="0">
    <w:p w:rsidR="001B6BB5" w:rsidRDefault="001B6BB5" w:rsidP="006F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55A5" w:rsidRDefault="006F55A5">
    <w:pPr>
      <w:pStyle w:val="Header"/>
    </w:pPr>
  </w:p>
  <w:p w:rsidR="006F55A5" w:rsidRDefault="006F55A5">
    <w:pPr>
      <w:pStyle w:val="Header"/>
    </w:pPr>
    <w:r w:rsidRPr="006F55A5">
      <w:rPr>
        <w:noProof/>
        <w:lang w:val="en-US" w:eastAsia="en-US"/>
      </w:rPr>
      <w:drawing>
        <wp:inline distT="0" distB="0" distL="0" distR="0">
          <wp:extent cx="2676525" cy="466725"/>
          <wp:effectExtent l="0" t="0" r="9525" b="9525"/>
          <wp:docPr id="2" name="obrázek 2" descr="ft_logo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t_logo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55A5" w:rsidRDefault="006F55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58"/>
    <w:multiLevelType w:val="hybridMultilevel"/>
    <w:tmpl w:val="5FF23848"/>
    <w:lvl w:ilvl="0" w:tplc="6234CB36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B61D3"/>
    <w:multiLevelType w:val="hybridMultilevel"/>
    <w:tmpl w:val="81029B0E"/>
    <w:lvl w:ilvl="0" w:tplc="0C9C032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27041A"/>
    <w:multiLevelType w:val="hybridMultilevel"/>
    <w:tmpl w:val="526082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E0399"/>
    <w:multiLevelType w:val="hybridMultilevel"/>
    <w:tmpl w:val="57D035E8"/>
    <w:lvl w:ilvl="0" w:tplc="91840F5C">
      <w:numFmt w:val="bullet"/>
      <w:lvlText w:val="-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cs-CZ" w:eastAsia="cs-CZ" w:bidi="cs-CZ"/>
      </w:rPr>
    </w:lvl>
    <w:lvl w:ilvl="1" w:tplc="B644C106">
      <w:numFmt w:val="bullet"/>
      <w:lvlText w:val="•"/>
      <w:lvlJc w:val="left"/>
      <w:pPr>
        <w:ind w:left="1686" w:hanging="348"/>
      </w:pPr>
      <w:rPr>
        <w:rFonts w:hint="default"/>
        <w:lang w:val="cs-CZ" w:eastAsia="cs-CZ" w:bidi="cs-CZ"/>
      </w:rPr>
    </w:lvl>
    <w:lvl w:ilvl="2" w:tplc="AE7A27D8">
      <w:numFmt w:val="bullet"/>
      <w:lvlText w:val="•"/>
      <w:lvlJc w:val="left"/>
      <w:pPr>
        <w:ind w:left="2533" w:hanging="348"/>
      </w:pPr>
      <w:rPr>
        <w:rFonts w:hint="default"/>
        <w:lang w:val="cs-CZ" w:eastAsia="cs-CZ" w:bidi="cs-CZ"/>
      </w:rPr>
    </w:lvl>
    <w:lvl w:ilvl="3" w:tplc="E4D2DC26">
      <w:numFmt w:val="bullet"/>
      <w:lvlText w:val="•"/>
      <w:lvlJc w:val="left"/>
      <w:pPr>
        <w:ind w:left="3379" w:hanging="348"/>
      </w:pPr>
      <w:rPr>
        <w:rFonts w:hint="default"/>
        <w:lang w:val="cs-CZ" w:eastAsia="cs-CZ" w:bidi="cs-CZ"/>
      </w:rPr>
    </w:lvl>
    <w:lvl w:ilvl="4" w:tplc="1AB63F8C">
      <w:numFmt w:val="bullet"/>
      <w:lvlText w:val="•"/>
      <w:lvlJc w:val="left"/>
      <w:pPr>
        <w:ind w:left="4226" w:hanging="348"/>
      </w:pPr>
      <w:rPr>
        <w:rFonts w:hint="default"/>
        <w:lang w:val="cs-CZ" w:eastAsia="cs-CZ" w:bidi="cs-CZ"/>
      </w:rPr>
    </w:lvl>
    <w:lvl w:ilvl="5" w:tplc="4112D156">
      <w:numFmt w:val="bullet"/>
      <w:lvlText w:val="•"/>
      <w:lvlJc w:val="left"/>
      <w:pPr>
        <w:ind w:left="5073" w:hanging="348"/>
      </w:pPr>
      <w:rPr>
        <w:rFonts w:hint="default"/>
        <w:lang w:val="cs-CZ" w:eastAsia="cs-CZ" w:bidi="cs-CZ"/>
      </w:rPr>
    </w:lvl>
    <w:lvl w:ilvl="6" w:tplc="84009302">
      <w:numFmt w:val="bullet"/>
      <w:lvlText w:val="•"/>
      <w:lvlJc w:val="left"/>
      <w:pPr>
        <w:ind w:left="5919" w:hanging="348"/>
      </w:pPr>
      <w:rPr>
        <w:rFonts w:hint="default"/>
        <w:lang w:val="cs-CZ" w:eastAsia="cs-CZ" w:bidi="cs-CZ"/>
      </w:rPr>
    </w:lvl>
    <w:lvl w:ilvl="7" w:tplc="21028FAA">
      <w:numFmt w:val="bullet"/>
      <w:lvlText w:val="•"/>
      <w:lvlJc w:val="left"/>
      <w:pPr>
        <w:ind w:left="6766" w:hanging="348"/>
      </w:pPr>
      <w:rPr>
        <w:rFonts w:hint="default"/>
        <w:lang w:val="cs-CZ" w:eastAsia="cs-CZ" w:bidi="cs-CZ"/>
      </w:rPr>
    </w:lvl>
    <w:lvl w:ilvl="8" w:tplc="D6C4A7E4">
      <w:numFmt w:val="bullet"/>
      <w:lvlText w:val="•"/>
      <w:lvlJc w:val="left"/>
      <w:pPr>
        <w:ind w:left="7613" w:hanging="348"/>
      </w:pPr>
      <w:rPr>
        <w:rFonts w:hint="default"/>
        <w:lang w:val="cs-CZ" w:eastAsia="cs-CZ" w:bidi="cs-CZ"/>
      </w:rPr>
    </w:lvl>
  </w:abstractNum>
  <w:abstractNum w:abstractNumId="4" w15:restartNumberingAfterBreak="0">
    <w:nsid w:val="29444103"/>
    <w:multiLevelType w:val="hybridMultilevel"/>
    <w:tmpl w:val="109EC2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546E18"/>
    <w:multiLevelType w:val="hybridMultilevel"/>
    <w:tmpl w:val="ACA6D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364F8"/>
    <w:multiLevelType w:val="hybridMultilevel"/>
    <w:tmpl w:val="173225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5A5"/>
    <w:rsid w:val="000045B1"/>
    <w:rsid w:val="000217B4"/>
    <w:rsid w:val="00025B18"/>
    <w:rsid w:val="000E62B2"/>
    <w:rsid w:val="0012403E"/>
    <w:rsid w:val="00136A3E"/>
    <w:rsid w:val="0014213E"/>
    <w:rsid w:val="00172A5A"/>
    <w:rsid w:val="00186E71"/>
    <w:rsid w:val="00192F7C"/>
    <w:rsid w:val="001A4D08"/>
    <w:rsid w:val="001B6BB5"/>
    <w:rsid w:val="001C421B"/>
    <w:rsid w:val="001C622B"/>
    <w:rsid w:val="002166FA"/>
    <w:rsid w:val="00254BE9"/>
    <w:rsid w:val="002558B3"/>
    <w:rsid w:val="00256ADA"/>
    <w:rsid w:val="00267FB0"/>
    <w:rsid w:val="002721F0"/>
    <w:rsid w:val="002723A6"/>
    <w:rsid w:val="00281C14"/>
    <w:rsid w:val="00291BAD"/>
    <w:rsid w:val="00293E94"/>
    <w:rsid w:val="002957C9"/>
    <w:rsid w:val="002A1EB0"/>
    <w:rsid w:val="002A476C"/>
    <w:rsid w:val="002D3349"/>
    <w:rsid w:val="003518CE"/>
    <w:rsid w:val="00361255"/>
    <w:rsid w:val="00372ED7"/>
    <w:rsid w:val="00397DEB"/>
    <w:rsid w:val="003B78F0"/>
    <w:rsid w:val="003E0C14"/>
    <w:rsid w:val="003E503C"/>
    <w:rsid w:val="0041292B"/>
    <w:rsid w:val="00421F1A"/>
    <w:rsid w:val="00431E66"/>
    <w:rsid w:val="004337F8"/>
    <w:rsid w:val="00445579"/>
    <w:rsid w:val="00447B3D"/>
    <w:rsid w:val="004A3500"/>
    <w:rsid w:val="004A3C48"/>
    <w:rsid w:val="004B32D5"/>
    <w:rsid w:val="004B7DAA"/>
    <w:rsid w:val="004E62AC"/>
    <w:rsid w:val="004F041E"/>
    <w:rsid w:val="00527956"/>
    <w:rsid w:val="0054581D"/>
    <w:rsid w:val="0056349D"/>
    <w:rsid w:val="00577CA9"/>
    <w:rsid w:val="0058651A"/>
    <w:rsid w:val="00590B73"/>
    <w:rsid w:val="005A1718"/>
    <w:rsid w:val="005F0F79"/>
    <w:rsid w:val="005F600E"/>
    <w:rsid w:val="00621725"/>
    <w:rsid w:val="006345B5"/>
    <w:rsid w:val="0064366F"/>
    <w:rsid w:val="00675848"/>
    <w:rsid w:val="006F55A5"/>
    <w:rsid w:val="006F5DF6"/>
    <w:rsid w:val="00703B63"/>
    <w:rsid w:val="00707970"/>
    <w:rsid w:val="00710CD4"/>
    <w:rsid w:val="007273E7"/>
    <w:rsid w:val="007312AA"/>
    <w:rsid w:val="00765763"/>
    <w:rsid w:val="00780AFC"/>
    <w:rsid w:val="007B2BF0"/>
    <w:rsid w:val="007B5BF7"/>
    <w:rsid w:val="007C7182"/>
    <w:rsid w:val="007C7943"/>
    <w:rsid w:val="007E741D"/>
    <w:rsid w:val="008526E5"/>
    <w:rsid w:val="00886A0A"/>
    <w:rsid w:val="008B45B7"/>
    <w:rsid w:val="008B4783"/>
    <w:rsid w:val="008E06B0"/>
    <w:rsid w:val="008E33F2"/>
    <w:rsid w:val="008E6416"/>
    <w:rsid w:val="008F22F9"/>
    <w:rsid w:val="009134AA"/>
    <w:rsid w:val="00915733"/>
    <w:rsid w:val="00921558"/>
    <w:rsid w:val="00956354"/>
    <w:rsid w:val="00960EAA"/>
    <w:rsid w:val="00962414"/>
    <w:rsid w:val="009632C4"/>
    <w:rsid w:val="00970FDF"/>
    <w:rsid w:val="0097176B"/>
    <w:rsid w:val="00972795"/>
    <w:rsid w:val="009B1E68"/>
    <w:rsid w:val="009B5199"/>
    <w:rsid w:val="009F195D"/>
    <w:rsid w:val="00A134D8"/>
    <w:rsid w:val="00A2195A"/>
    <w:rsid w:val="00A21B5D"/>
    <w:rsid w:val="00A33D8C"/>
    <w:rsid w:val="00A341F6"/>
    <w:rsid w:val="00A344B4"/>
    <w:rsid w:val="00A943F0"/>
    <w:rsid w:val="00AC4600"/>
    <w:rsid w:val="00AD6FC0"/>
    <w:rsid w:val="00AE190D"/>
    <w:rsid w:val="00B06A52"/>
    <w:rsid w:val="00B10F73"/>
    <w:rsid w:val="00B24D47"/>
    <w:rsid w:val="00B31EF5"/>
    <w:rsid w:val="00B41179"/>
    <w:rsid w:val="00B43406"/>
    <w:rsid w:val="00B61731"/>
    <w:rsid w:val="00B719AB"/>
    <w:rsid w:val="00B80852"/>
    <w:rsid w:val="00B94FD4"/>
    <w:rsid w:val="00BA74F2"/>
    <w:rsid w:val="00BB0BBF"/>
    <w:rsid w:val="00BB6042"/>
    <w:rsid w:val="00BB70C2"/>
    <w:rsid w:val="00BE1E85"/>
    <w:rsid w:val="00C217F8"/>
    <w:rsid w:val="00C257A2"/>
    <w:rsid w:val="00C34802"/>
    <w:rsid w:val="00C53605"/>
    <w:rsid w:val="00C765C9"/>
    <w:rsid w:val="00C86F57"/>
    <w:rsid w:val="00CA56C1"/>
    <w:rsid w:val="00CB292C"/>
    <w:rsid w:val="00CC164F"/>
    <w:rsid w:val="00CD069D"/>
    <w:rsid w:val="00CD0C29"/>
    <w:rsid w:val="00CD21F1"/>
    <w:rsid w:val="00D01D04"/>
    <w:rsid w:val="00D036FE"/>
    <w:rsid w:val="00D0448D"/>
    <w:rsid w:val="00D765DB"/>
    <w:rsid w:val="00DA68C6"/>
    <w:rsid w:val="00DB7722"/>
    <w:rsid w:val="00DF2185"/>
    <w:rsid w:val="00DF7AAC"/>
    <w:rsid w:val="00E262E4"/>
    <w:rsid w:val="00E50D5D"/>
    <w:rsid w:val="00E77CD7"/>
    <w:rsid w:val="00E85B73"/>
    <w:rsid w:val="00E86F3B"/>
    <w:rsid w:val="00EA0ECA"/>
    <w:rsid w:val="00EC1AE5"/>
    <w:rsid w:val="00EC3550"/>
    <w:rsid w:val="00EE1C9A"/>
    <w:rsid w:val="00EE34EA"/>
    <w:rsid w:val="00EF00F8"/>
    <w:rsid w:val="00EF2B44"/>
    <w:rsid w:val="00F26177"/>
    <w:rsid w:val="00F2711B"/>
    <w:rsid w:val="00F2768C"/>
    <w:rsid w:val="00F5544A"/>
    <w:rsid w:val="00F56BA7"/>
    <w:rsid w:val="00F64199"/>
    <w:rsid w:val="00F6468B"/>
    <w:rsid w:val="00F85A64"/>
    <w:rsid w:val="00FD3040"/>
    <w:rsid w:val="00FE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BE90E8-B7F0-427F-8995-935BB261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E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F55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next w:val="Normal"/>
    <w:link w:val="Heading6Char"/>
    <w:qFormat/>
    <w:rsid w:val="006F55A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n">
    <w:name w:val="oddělění"/>
    <w:basedOn w:val="Normal"/>
    <w:rsid w:val="006F55A5"/>
    <w:rPr>
      <w:rFonts w:ascii="Berlin CE" w:hAnsi="Berlin CE"/>
      <w:sz w:val="20"/>
    </w:rPr>
  </w:style>
  <w:style w:type="paragraph" w:customStyle="1" w:styleId="znaky">
    <w:name w:val="značky"/>
    <w:basedOn w:val="Normal"/>
    <w:rsid w:val="006F55A5"/>
    <w:rPr>
      <w:rFonts w:ascii="J Baskerville TxN" w:hAnsi="J Baskerville TxN"/>
      <w:sz w:val="20"/>
    </w:rPr>
  </w:style>
  <w:style w:type="paragraph" w:styleId="Header">
    <w:name w:val="header"/>
    <w:basedOn w:val="Normal"/>
    <w:link w:val="HeaderChar"/>
    <w:unhideWhenUsed/>
    <w:rsid w:val="006F55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55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6F55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55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5A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lefon">
    <w:name w:val="Telefon"/>
    <w:basedOn w:val="Footer"/>
    <w:next w:val="Footer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</w:rPr>
  </w:style>
  <w:style w:type="paragraph" w:customStyle="1" w:styleId="email">
    <w:name w:val="email"/>
    <w:basedOn w:val="Footer"/>
    <w:next w:val="Footer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  <w:lang w:val="en-US"/>
    </w:rPr>
  </w:style>
  <w:style w:type="paragraph" w:customStyle="1" w:styleId="Fax">
    <w:name w:val="Fax"/>
    <w:basedOn w:val="Footer"/>
    <w:rsid w:val="006F55A5"/>
    <w:pPr>
      <w:widowControl w:val="0"/>
      <w:tabs>
        <w:tab w:val="clear" w:pos="4536"/>
        <w:tab w:val="clear" w:pos="9072"/>
      </w:tabs>
    </w:pPr>
    <w:rPr>
      <w:rFonts w:ascii="Berlin CE" w:hAnsi="Berlin CE"/>
      <w:sz w:val="16"/>
    </w:rPr>
  </w:style>
  <w:style w:type="character" w:customStyle="1" w:styleId="Heading3Char">
    <w:name w:val="Heading 3 Char"/>
    <w:basedOn w:val="DefaultParagraphFont"/>
    <w:link w:val="Heading3"/>
    <w:semiHidden/>
    <w:rsid w:val="006F55A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Heading6Char">
    <w:name w:val="Heading 6 Char"/>
    <w:basedOn w:val="DefaultParagraphFont"/>
    <w:link w:val="Heading6"/>
    <w:rsid w:val="006F55A5"/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Odst-odsaz-Pred">
    <w:name w:val="Odst-odsaz-Pred"/>
    <w:basedOn w:val="Normal"/>
    <w:next w:val="Normal"/>
    <w:rsid w:val="006F55A5"/>
    <w:pPr>
      <w:spacing w:before="240"/>
      <w:ind w:firstLine="340"/>
      <w:jc w:val="both"/>
    </w:pPr>
  </w:style>
  <w:style w:type="character" w:styleId="Hyperlink">
    <w:name w:val="Hyperlink"/>
    <w:basedOn w:val="DefaultParagraphFont"/>
    <w:rsid w:val="00962414"/>
    <w:rPr>
      <w:strike w:val="0"/>
      <w:dstrike w:val="0"/>
      <w:color w:val="0000F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4F041E"/>
    <w:pPr>
      <w:ind w:left="720"/>
      <w:contextualSpacing/>
    </w:pPr>
  </w:style>
  <w:style w:type="paragraph" w:styleId="Signature">
    <w:name w:val="Signature"/>
    <w:basedOn w:val="Normal"/>
    <w:next w:val="Podpisfunkce"/>
    <w:link w:val="SignatureChar"/>
    <w:rsid w:val="008E06B0"/>
    <w:pPr>
      <w:keepNext/>
    </w:pPr>
    <w:rPr>
      <w:rFonts w:ascii="J Baskerville TxN" w:eastAsia="SimSun" w:hAnsi="J Baskerville TxN"/>
      <w:sz w:val="20"/>
    </w:rPr>
  </w:style>
  <w:style w:type="character" w:customStyle="1" w:styleId="SignatureChar">
    <w:name w:val="Signature Char"/>
    <w:basedOn w:val="DefaultParagraphFont"/>
    <w:link w:val="Signature"/>
    <w:rsid w:val="008E06B0"/>
    <w:rPr>
      <w:rFonts w:ascii="J Baskerville TxN" w:eastAsia="SimSun" w:hAnsi="J Baskerville TxN" w:cs="Times New Roman"/>
      <w:sz w:val="20"/>
      <w:szCs w:val="24"/>
      <w:lang w:eastAsia="cs-CZ"/>
    </w:rPr>
  </w:style>
  <w:style w:type="paragraph" w:customStyle="1" w:styleId="Podpisfunkce">
    <w:name w:val="Podpis_funkce"/>
    <w:basedOn w:val="Signature"/>
    <w:next w:val="Closing"/>
    <w:rsid w:val="008E06B0"/>
  </w:style>
  <w:style w:type="paragraph" w:styleId="Closing">
    <w:name w:val="Closing"/>
    <w:basedOn w:val="Normal"/>
    <w:link w:val="ClosingChar"/>
    <w:rsid w:val="008E06B0"/>
    <w:pPr>
      <w:widowControl w:val="0"/>
    </w:pPr>
    <w:rPr>
      <w:rFonts w:ascii="J Baskerville TxN" w:eastAsia="SimSun" w:hAnsi="J Baskerville TxN"/>
      <w:sz w:val="8"/>
    </w:rPr>
  </w:style>
  <w:style w:type="character" w:customStyle="1" w:styleId="ClosingChar">
    <w:name w:val="Closing Char"/>
    <w:basedOn w:val="DefaultParagraphFont"/>
    <w:link w:val="Closing"/>
    <w:rsid w:val="008E06B0"/>
    <w:rPr>
      <w:rFonts w:ascii="J Baskerville TxN" w:eastAsia="SimSun" w:hAnsi="J Baskerville TxN" w:cs="Times New Roman"/>
      <w:sz w:val="8"/>
      <w:szCs w:val="24"/>
      <w:lang w:eastAsia="cs-CZ"/>
    </w:rPr>
  </w:style>
  <w:style w:type="paragraph" w:customStyle="1" w:styleId="Adresapjemce">
    <w:name w:val="Adresa_příjemce"/>
    <w:basedOn w:val="Normal"/>
    <w:rsid w:val="008E06B0"/>
    <w:pPr>
      <w:widowControl w:val="0"/>
    </w:pPr>
    <w:rPr>
      <w:rFonts w:ascii="J Baskerville TxN" w:eastAsia="SimSun" w:hAnsi="J Baskerville TxN"/>
      <w:sz w:val="20"/>
    </w:rPr>
  </w:style>
  <w:style w:type="paragraph" w:styleId="NormalWeb">
    <w:name w:val="Normal (Web)"/>
    <w:basedOn w:val="Normal"/>
    <w:uiPriority w:val="99"/>
    <w:unhideWhenUsed/>
    <w:rsid w:val="007C7182"/>
    <w:pPr>
      <w:spacing w:before="100" w:beforeAutospacing="1" w:after="100" w:afterAutospacing="1"/>
    </w:pPr>
  </w:style>
  <w:style w:type="character" w:styleId="CommentReference">
    <w:name w:val="annotation reference"/>
    <w:uiPriority w:val="99"/>
    <w:semiHidden/>
    <w:unhideWhenUsed/>
    <w:rsid w:val="009F1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95D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95D"/>
    <w:rPr>
      <w:rFonts w:ascii="Calibri" w:eastAsia="Calibri" w:hAnsi="Calibri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E1E8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a-declarative">
    <w:name w:val="a-declarative"/>
    <w:rsid w:val="00BE1E85"/>
  </w:style>
  <w:style w:type="character" w:customStyle="1" w:styleId="author-data">
    <w:name w:val="author-data"/>
    <w:rsid w:val="00BE1E85"/>
  </w:style>
  <w:style w:type="character" w:customStyle="1" w:styleId="a-color-secondary">
    <w:name w:val="a-color-secondary"/>
    <w:rsid w:val="00BE1E85"/>
  </w:style>
  <w:style w:type="character" w:customStyle="1" w:styleId="a-size-medium">
    <w:name w:val="a-size-medium"/>
    <w:rsid w:val="00BE1E85"/>
  </w:style>
  <w:style w:type="character" w:customStyle="1" w:styleId="author">
    <w:name w:val="author"/>
    <w:rsid w:val="00BE1E85"/>
  </w:style>
  <w:style w:type="character" w:customStyle="1" w:styleId="a-size-extra-large">
    <w:name w:val="a-size-extra-large"/>
    <w:rsid w:val="00BE1E85"/>
  </w:style>
  <w:style w:type="character" w:customStyle="1" w:styleId="contribution">
    <w:name w:val="contribution"/>
    <w:rsid w:val="00BE1E85"/>
  </w:style>
  <w:style w:type="character" w:customStyle="1" w:styleId="a-size-base">
    <w:name w:val="a-size-base"/>
    <w:rsid w:val="00BE1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2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Chemistry-Polymers-John-W-Nicholson/dp/1782628320/ref=sr_1_6?keywords=Chemistry+of+Polymers&amp;qid=1567604272&amp;s=books&amp;sr=1-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mazon.com/s/ref=dp_byline_sr_book_2?ie=UTF8&amp;field-author=te+Nijenhuis%2C+Klaas&amp;text=te+Nijenhuis%2C+Klaas&amp;sort=relevancerank&amp;search-alias=books" TargetMode="External"/><Relationship Id="rId12" Type="http://schemas.openxmlformats.org/officeDocument/2006/relationships/hyperlink" Target="https://ft.utb.cz/mdocs-posts/pd-04-2019-predkladani-disertacnich-praci-a-prihlasek-k-obhajobe-disertacni-prace/)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t.utb.cz/mdocs-posts/pd-04-2019-predkladani-disertacnich-praci-a-prihlasek-k-obhajobe-disertacni-prace/)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ft.utb.cz/mdocs-posts/pd-04-2019-predkladani-disertacnich-praci-a-prihlasek-k-obhajobe-disertacni-prac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.knovel.com/web/toc.v/cid:kpPTE00012/viewerType:toc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utb</cp:lastModifiedBy>
  <cp:revision>18</cp:revision>
  <cp:lastPrinted>2019-09-06T12:13:00Z</cp:lastPrinted>
  <dcterms:created xsi:type="dcterms:W3CDTF">2019-08-27T11:24:00Z</dcterms:created>
  <dcterms:modified xsi:type="dcterms:W3CDTF">2019-09-09T17:09:00Z</dcterms:modified>
</cp:coreProperties>
</file>