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8AF" w:rsidRDefault="000578AF" w:rsidP="007C1E3A">
      <w:pPr>
        <w:spacing w:after="0"/>
        <w:rPr>
          <w:sz w:val="22"/>
        </w:rPr>
      </w:pPr>
      <w:bookmarkStart w:id="0" w:name="_GoBack"/>
      <w:bookmarkEnd w:id="0"/>
    </w:p>
    <w:p w:rsidR="007C1E3A" w:rsidRDefault="007C1E3A" w:rsidP="007C1E3A">
      <w:pPr>
        <w:spacing w:after="0"/>
        <w:rPr>
          <w:sz w:val="22"/>
        </w:rPr>
      </w:pPr>
    </w:p>
    <w:p w:rsidR="007C1E3A" w:rsidRDefault="007C1E3A" w:rsidP="007C1E3A">
      <w:pPr>
        <w:spacing w:after="0"/>
        <w:rPr>
          <w:sz w:val="22"/>
        </w:rPr>
      </w:pPr>
    </w:p>
    <w:p w:rsidR="007C1E3A" w:rsidRDefault="007C1E3A" w:rsidP="007C1E3A">
      <w:pPr>
        <w:spacing w:after="0"/>
        <w:rPr>
          <w:sz w:val="22"/>
        </w:rPr>
      </w:pPr>
    </w:p>
    <w:p w:rsidR="007C1E3A" w:rsidRDefault="007C1E3A" w:rsidP="007C1E3A">
      <w:pPr>
        <w:spacing w:after="0"/>
        <w:rPr>
          <w:sz w:val="22"/>
        </w:rPr>
      </w:pPr>
    </w:p>
    <w:p w:rsidR="007C1E3A" w:rsidRDefault="007C1E3A" w:rsidP="007C1E3A">
      <w:pPr>
        <w:spacing w:after="0"/>
        <w:rPr>
          <w:sz w:val="22"/>
        </w:rPr>
      </w:pPr>
    </w:p>
    <w:p w:rsidR="007C1E3A" w:rsidRDefault="007C1E3A" w:rsidP="007C1E3A">
      <w:pPr>
        <w:spacing w:after="0"/>
        <w:rPr>
          <w:sz w:val="22"/>
        </w:rPr>
      </w:pPr>
    </w:p>
    <w:p w:rsidR="007C1E3A" w:rsidRDefault="007C1E3A" w:rsidP="007C1E3A">
      <w:pPr>
        <w:spacing w:after="0"/>
        <w:rPr>
          <w:sz w:val="22"/>
        </w:rPr>
      </w:pPr>
    </w:p>
    <w:p w:rsidR="007C1E3A" w:rsidRDefault="007C1E3A" w:rsidP="007C1E3A">
      <w:pPr>
        <w:spacing w:after="0"/>
        <w:rPr>
          <w:sz w:val="22"/>
        </w:rPr>
      </w:pPr>
    </w:p>
    <w:p w:rsidR="007C1E3A" w:rsidRDefault="007C1E3A" w:rsidP="007C1E3A">
      <w:pPr>
        <w:spacing w:after="0"/>
        <w:rPr>
          <w:sz w:val="22"/>
        </w:rPr>
      </w:pPr>
    </w:p>
    <w:p w:rsidR="007C1E3A" w:rsidRPr="007C1E3A" w:rsidRDefault="007C1E3A" w:rsidP="007C1E3A">
      <w:pPr>
        <w:autoSpaceDE/>
        <w:autoSpaceDN/>
        <w:spacing w:before="120" w:after="0"/>
        <w:jc w:val="center"/>
        <w:outlineLvl w:val="0"/>
        <w:rPr>
          <w:rFonts w:ascii="Arial Black" w:hAnsi="Arial Black" w:cs="Times New Roman"/>
          <w:b/>
          <w:spacing w:val="100"/>
          <w:kern w:val="0"/>
          <w:sz w:val="56"/>
          <w:szCs w:val="56"/>
        </w:rPr>
      </w:pPr>
    </w:p>
    <w:p w:rsidR="007C1E3A" w:rsidRPr="007C1E3A" w:rsidRDefault="007C1E3A" w:rsidP="007C1E3A">
      <w:pPr>
        <w:autoSpaceDE/>
        <w:autoSpaceDN/>
        <w:spacing w:before="120" w:after="0"/>
        <w:outlineLvl w:val="0"/>
        <w:rPr>
          <w:rFonts w:asciiTheme="minorHAnsi" w:hAnsiTheme="minorHAnsi" w:cstheme="minorHAnsi"/>
          <w:b/>
          <w:color w:val="C00000"/>
          <w:spacing w:val="100"/>
          <w:kern w:val="0"/>
          <w:sz w:val="56"/>
          <w:szCs w:val="56"/>
        </w:rPr>
      </w:pPr>
      <w:bookmarkStart w:id="1" w:name="_Toc55032666"/>
      <w:bookmarkStart w:id="2" w:name="_Toc55032726"/>
      <w:bookmarkStart w:id="3" w:name="_Toc55717478"/>
      <w:bookmarkStart w:id="4" w:name="_Toc56425799"/>
      <w:bookmarkStart w:id="5" w:name="_Toc57445909"/>
      <w:bookmarkStart w:id="6" w:name="_Toc59257627"/>
      <w:bookmarkStart w:id="7" w:name="_Toc60918603"/>
      <w:bookmarkStart w:id="8" w:name="_Toc61970388"/>
      <w:bookmarkStart w:id="9" w:name="_Toc69197"/>
      <w:bookmarkStart w:id="10" w:name="_Toc189546"/>
      <w:bookmarkStart w:id="11" w:name="_Toc29100916"/>
      <w:bookmarkStart w:id="12" w:name="_Toc30594746"/>
      <w:bookmarkStart w:id="13" w:name="_Toc30594884"/>
      <w:bookmarkStart w:id="14" w:name="_Toc30922141"/>
      <w:bookmarkStart w:id="15" w:name="_Toc30947795"/>
      <w:bookmarkStart w:id="16" w:name="_Toc31036361"/>
      <w:bookmarkStart w:id="17" w:name="_Toc31120302"/>
      <w:bookmarkStart w:id="18" w:name="_Toc32004597"/>
      <w:bookmarkStart w:id="19" w:name="_Toc32149317"/>
      <w:r w:rsidRPr="007C1E3A">
        <w:rPr>
          <w:rFonts w:asciiTheme="minorHAnsi" w:hAnsiTheme="minorHAnsi" w:cstheme="minorHAnsi"/>
          <w:b/>
          <w:color w:val="C00000"/>
          <w:spacing w:val="100"/>
          <w:kern w:val="0"/>
          <w:sz w:val="56"/>
          <w:szCs w:val="56"/>
        </w:rPr>
        <w:t>Pravidla rozpočtu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7C1E3A" w:rsidRPr="007C1E3A" w:rsidRDefault="007C1E3A" w:rsidP="007C1E3A">
      <w:pPr>
        <w:autoSpaceDE/>
        <w:autoSpaceDN/>
        <w:spacing w:before="120" w:after="0"/>
        <w:outlineLvl w:val="0"/>
        <w:rPr>
          <w:rFonts w:asciiTheme="minorHAnsi" w:hAnsiTheme="minorHAnsi" w:cstheme="minorHAnsi"/>
          <w:b/>
          <w:color w:val="C00000"/>
          <w:spacing w:val="100"/>
          <w:kern w:val="0"/>
          <w:sz w:val="56"/>
          <w:szCs w:val="56"/>
        </w:rPr>
      </w:pPr>
      <w:bookmarkStart w:id="20" w:name="_Toc55032667"/>
      <w:bookmarkStart w:id="21" w:name="_Toc55032727"/>
      <w:bookmarkStart w:id="22" w:name="_Toc55717479"/>
      <w:bookmarkStart w:id="23" w:name="_Toc56425800"/>
      <w:bookmarkStart w:id="24" w:name="_Toc57445910"/>
      <w:bookmarkStart w:id="25" w:name="_Toc59257628"/>
      <w:bookmarkStart w:id="26" w:name="_Toc60918604"/>
      <w:bookmarkStart w:id="27" w:name="_Toc61970389"/>
      <w:r w:rsidRPr="007C1E3A">
        <w:rPr>
          <w:rFonts w:asciiTheme="minorHAnsi" w:hAnsiTheme="minorHAnsi" w:cstheme="minorHAnsi"/>
          <w:b/>
          <w:color w:val="C00000"/>
          <w:spacing w:val="100"/>
          <w:kern w:val="0"/>
          <w:sz w:val="56"/>
          <w:szCs w:val="56"/>
        </w:rPr>
        <w:t>UTB ve Zlíně</w:t>
      </w:r>
      <w:bookmarkStart w:id="28" w:name="_Toc438663408"/>
      <w:bookmarkEnd w:id="20"/>
      <w:bookmarkEnd w:id="21"/>
      <w:bookmarkEnd w:id="22"/>
      <w:bookmarkEnd w:id="23"/>
      <w:bookmarkEnd w:id="24"/>
      <w:bookmarkEnd w:id="25"/>
      <w:bookmarkEnd w:id="26"/>
      <w:bookmarkEnd w:id="27"/>
      <w:r w:rsidRPr="007C1E3A">
        <w:rPr>
          <w:rFonts w:asciiTheme="minorHAnsi" w:hAnsiTheme="minorHAnsi" w:cstheme="minorHAnsi"/>
          <w:b/>
          <w:color w:val="C00000"/>
          <w:spacing w:val="100"/>
          <w:kern w:val="0"/>
          <w:sz w:val="56"/>
          <w:szCs w:val="56"/>
        </w:rPr>
        <w:t xml:space="preserve">  </w:t>
      </w:r>
    </w:p>
    <w:p w:rsidR="007C1E3A" w:rsidRPr="007C1E3A" w:rsidRDefault="007C1E3A" w:rsidP="007C1E3A">
      <w:pPr>
        <w:autoSpaceDE/>
        <w:autoSpaceDN/>
        <w:spacing w:before="120" w:after="0"/>
        <w:outlineLvl w:val="0"/>
        <w:rPr>
          <w:rFonts w:asciiTheme="minorHAnsi" w:hAnsiTheme="minorHAnsi" w:cstheme="minorHAnsi"/>
          <w:b/>
          <w:color w:val="C00000"/>
          <w:spacing w:val="100"/>
          <w:kern w:val="0"/>
          <w:sz w:val="56"/>
          <w:szCs w:val="56"/>
        </w:rPr>
      </w:pPr>
      <w:bookmarkStart w:id="29" w:name="_Toc55032668"/>
      <w:bookmarkStart w:id="30" w:name="_Toc55032728"/>
      <w:bookmarkStart w:id="31" w:name="_Toc55717480"/>
      <w:bookmarkStart w:id="32" w:name="_Toc56425801"/>
      <w:bookmarkStart w:id="33" w:name="_Toc57445911"/>
      <w:bookmarkStart w:id="34" w:name="_Toc59257629"/>
      <w:bookmarkStart w:id="35" w:name="_Toc60918605"/>
      <w:bookmarkStart w:id="36" w:name="_Toc61970390"/>
      <w:r w:rsidRPr="007C1E3A">
        <w:rPr>
          <w:rFonts w:asciiTheme="minorHAnsi" w:hAnsiTheme="minorHAnsi" w:cstheme="minorHAnsi"/>
          <w:b/>
          <w:color w:val="C00000"/>
          <w:spacing w:val="100"/>
          <w:kern w:val="0"/>
          <w:sz w:val="56"/>
          <w:szCs w:val="56"/>
        </w:rPr>
        <w:t>pro rok 20</w:t>
      </w:r>
      <w:bookmarkEnd w:id="9"/>
      <w:bookmarkEnd w:id="10"/>
      <w:r w:rsidRPr="007C1E3A">
        <w:rPr>
          <w:rFonts w:asciiTheme="minorHAnsi" w:hAnsiTheme="minorHAnsi" w:cstheme="minorHAnsi"/>
          <w:b/>
          <w:color w:val="C00000"/>
          <w:spacing w:val="100"/>
          <w:kern w:val="0"/>
          <w:sz w:val="56"/>
          <w:szCs w:val="56"/>
        </w:rPr>
        <w:t>21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:rsidR="007C1E3A" w:rsidRDefault="007C1E3A" w:rsidP="007C1E3A">
      <w:pPr>
        <w:autoSpaceDE/>
        <w:autoSpaceDN/>
        <w:spacing w:before="120" w:after="0"/>
        <w:outlineLvl w:val="0"/>
        <w:rPr>
          <w:rFonts w:asciiTheme="minorHAnsi" w:hAnsiTheme="minorHAnsi" w:cstheme="minorHAnsi"/>
          <w:b/>
          <w:color w:val="C00000"/>
          <w:spacing w:val="100"/>
          <w:kern w:val="0"/>
          <w:sz w:val="40"/>
          <w:szCs w:val="56"/>
        </w:rPr>
      </w:pPr>
    </w:p>
    <w:p w:rsidR="007C1E3A" w:rsidRPr="00336021" w:rsidRDefault="007C1E3A" w:rsidP="007C1E3A">
      <w:pPr>
        <w:autoSpaceDE/>
        <w:autoSpaceDN/>
        <w:spacing w:before="120" w:after="0"/>
        <w:outlineLvl w:val="0"/>
        <w:rPr>
          <w:rFonts w:asciiTheme="minorHAnsi" w:hAnsiTheme="minorHAnsi" w:cstheme="minorHAnsi"/>
          <w:b/>
          <w:color w:val="C00000"/>
          <w:spacing w:val="100"/>
          <w:kern w:val="0"/>
          <w:sz w:val="44"/>
          <w:szCs w:val="56"/>
        </w:rPr>
      </w:pPr>
      <w:r w:rsidRPr="00336021">
        <w:rPr>
          <w:rFonts w:asciiTheme="minorHAnsi" w:hAnsiTheme="minorHAnsi" w:cstheme="minorHAnsi"/>
          <w:b/>
          <w:color w:val="C00000"/>
          <w:spacing w:val="100"/>
          <w:kern w:val="0"/>
          <w:sz w:val="44"/>
          <w:szCs w:val="56"/>
        </w:rPr>
        <w:t>Dodatek č. 1</w:t>
      </w:r>
    </w:p>
    <w:bookmarkEnd w:id="28"/>
    <w:p w:rsidR="00336021" w:rsidRDefault="00336021" w:rsidP="007C1E3A">
      <w:pPr>
        <w:autoSpaceDE/>
        <w:autoSpaceDN/>
        <w:spacing w:before="120" w:after="0"/>
        <w:rPr>
          <w:rFonts w:cs="Times New Roman"/>
          <w:b/>
          <w:i/>
          <w:kern w:val="0"/>
          <w:sz w:val="24"/>
          <w:szCs w:val="24"/>
        </w:rPr>
      </w:pPr>
    </w:p>
    <w:p w:rsidR="00336021" w:rsidRDefault="007C1E3A" w:rsidP="007C1E3A">
      <w:pPr>
        <w:autoSpaceDE/>
        <w:autoSpaceDN/>
        <w:spacing w:before="120" w:after="0"/>
        <w:rPr>
          <w:rFonts w:cs="Times New Roman"/>
          <w:b/>
          <w:i/>
          <w:kern w:val="0"/>
          <w:sz w:val="24"/>
          <w:szCs w:val="24"/>
        </w:rPr>
      </w:pPr>
      <w:r w:rsidRPr="00336021">
        <w:rPr>
          <w:rFonts w:cs="Times New Roman"/>
          <w:b/>
          <w:i/>
          <w:kern w:val="0"/>
          <w:sz w:val="24"/>
          <w:szCs w:val="24"/>
        </w:rPr>
        <w:t xml:space="preserve">Materiál pro jednání Akademického senátu UTB </w:t>
      </w:r>
      <w:r w:rsidR="00336021">
        <w:rPr>
          <w:rFonts w:cs="Times New Roman"/>
          <w:b/>
          <w:i/>
          <w:kern w:val="0"/>
          <w:sz w:val="24"/>
          <w:szCs w:val="24"/>
        </w:rPr>
        <w:t>ve Zlíně</w:t>
      </w:r>
    </w:p>
    <w:p w:rsidR="007C1E3A" w:rsidRPr="00336021" w:rsidRDefault="007C1E3A" w:rsidP="007C1E3A">
      <w:pPr>
        <w:autoSpaceDE/>
        <w:autoSpaceDN/>
        <w:spacing w:before="120" w:after="0"/>
        <w:rPr>
          <w:rFonts w:cs="Times New Roman"/>
          <w:b/>
          <w:i/>
          <w:kern w:val="0"/>
          <w:sz w:val="24"/>
          <w:szCs w:val="24"/>
        </w:rPr>
      </w:pPr>
      <w:r w:rsidRPr="00336021">
        <w:rPr>
          <w:rFonts w:cs="Times New Roman"/>
          <w:b/>
          <w:i/>
          <w:kern w:val="0"/>
          <w:sz w:val="24"/>
          <w:szCs w:val="24"/>
        </w:rPr>
        <w:t xml:space="preserve">dne </w:t>
      </w:r>
      <w:r w:rsidR="00336021" w:rsidRPr="00336021">
        <w:rPr>
          <w:rFonts w:cs="Times New Roman"/>
          <w:b/>
          <w:i/>
          <w:kern w:val="0"/>
          <w:sz w:val="24"/>
          <w:szCs w:val="24"/>
        </w:rPr>
        <w:t>6</w:t>
      </w:r>
      <w:r w:rsidRPr="00336021">
        <w:rPr>
          <w:rFonts w:cs="Times New Roman"/>
          <w:b/>
          <w:i/>
          <w:kern w:val="0"/>
          <w:sz w:val="24"/>
          <w:szCs w:val="24"/>
        </w:rPr>
        <w:t>. dubna 2021.</w:t>
      </w:r>
    </w:p>
    <w:p w:rsidR="007C1E3A" w:rsidRPr="007C1E3A" w:rsidRDefault="007C1E3A" w:rsidP="007C1E3A">
      <w:pPr>
        <w:autoSpaceDE/>
        <w:autoSpaceDN/>
        <w:spacing w:after="0"/>
        <w:rPr>
          <w:rFonts w:ascii="Arial" w:hAnsi="Arial" w:cs="Times New Roman"/>
          <w:b/>
          <w:kern w:val="0"/>
          <w:sz w:val="28"/>
          <w:szCs w:val="24"/>
        </w:rPr>
      </w:pPr>
    </w:p>
    <w:p w:rsidR="007C1E3A" w:rsidRPr="007C1E3A" w:rsidRDefault="007C1E3A" w:rsidP="007C1E3A">
      <w:pPr>
        <w:autoSpaceDE/>
        <w:autoSpaceDN/>
        <w:spacing w:after="0"/>
        <w:rPr>
          <w:rFonts w:ascii="Arial" w:hAnsi="Arial" w:cs="Times New Roman"/>
          <w:b/>
          <w:kern w:val="0"/>
          <w:sz w:val="28"/>
          <w:szCs w:val="24"/>
        </w:rPr>
      </w:pPr>
    </w:p>
    <w:p w:rsidR="007C1E3A" w:rsidRPr="007C1E3A" w:rsidRDefault="007C1E3A" w:rsidP="007C1E3A">
      <w:pPr>
        <w:autoSpaceDE/>
        <w:autoSpaceDN/>
        <w:spacing w:after="0"/>
        <w:rPr>
          <w:rFonts w:cs="Times New Roman"/>
          <w:kern w:val="0"/>
          <w:sz w:val="24"/>
          <w:szCs w:val="24"/>
        </w:rPr>
      </w:pPr>
    </w:p>
    <w:p w:rsidR="007C1E3A" w:rsidRPr="007C1E3A" w:rsidRDefault="007C1E3A" w:rsidP="007C1E3A">
      <w:pPr>
        <w:autoSpaceDE/>
        <w:autoSpaceDN/>
        <w:spacing w:after="0"/>
        <w:rPr>
          <w:rFonts w:cs="Times New Roman"/>
          <w:kern w:val="0"/>
          <w:sz w:val="24"/>
          <w:szCs w:val="24"/>
        </w:rPr>
      </w:pPr>
    </w:p>
    <w:p w:rsidR="007C1E3A" w:rsidRPr="007C1E3A" w:rsidRDefault="007C1E3A" w:rsidP="007C1E3A">
      <w:pPr>
        <w:autoSpaceDE/>
        <w:autoSpaceDN/>
        <w:spacing w:after="0"/>
        <w:rPr>
          <w:rFonts w:cs="Times New Roman"/>
          <w:kern w:val="0"/>
          <w:sz w:val="24"/>
          <w:szCs w:val="24"/>
        </w:rPr>
      </w:pPr>
      <w:r w:rsidRPr="007C1E3A">
        <w:rPr>
          <w:rFonts w:cs="Times New Roman"/>
          <w:kern w:val="0"/>
          <w:sz w:val="24"/>
          <w:szCs w:val="24"/>
        </w:rPr>
        <w:t>-</w:t>
      </w:r>
    </w:p>
    <w:p w:rsidR="007C1E3A" w:rsidRPr="007C1E3A" w:rsidRDefault="007C1E3A" w:rsidP="007C1E3A">
      <w:pPr>
        <w:autoSpaceDE/>
        <w:autoSpaceDN/>
        <w:spacing w:after="0"/>
        <w:rPr>
          <w:rFonts w:cs="Times New Roman"/>
          <w:b/>
          <w:kern w:val="0"/>
          <w:sz w:val="28"/>
          <w:szCs w:val="24"/>
        </w:rPr>
      </w:pPr>
    </w:p>
    <w:p w:rsidR="007C1E3A" w:rsidRPr="007C1E3A" w:rsidRDefault="007C1E3A" w:rsidP="007C1E3A">
      <w:pPr>
        <w:autoSpaceDE/>
        <w:autoSpaceDN/>
        <w:spacing w:after="0"/>
        <w:rPr>
          <w:rFonts w:cs="Times New Roman"/>
          <w:b/>
          <w:kern w:val="0"/>
          <w:sz w:val="28"/>
          <w:szCs w:val="24"/>
        </w:rPr>
      </w:pPr>
    </w:p>
    <w:p w:rsidR="007C1E3A" w:rsidRDefault="007C1E3A" w:rsidP="007C1E3A">
      <w:pPr>
        <w:autoSpaceDE/>
        <w:autoSpaceDN/>
        <w:spacing w:after="0"/>
        <w:rPr>
          <w:rFonts w:cs="Times New Roman"/>
          <w:kern w:val="0"/>
          <w:sz w:val="28"/>
          <w:szCs w:val="24"/>
        </w:rPr>
      </w:pPr>
    </w:p>
    <w:p w:rsidR="00A86C87" w:rsidRDefault="00A86C87" w:rsidP="007C1E3A">
      <w:pPr>
        <w:autoSpaceDE/>
        <w:autoSpaceDN/>
        <w:spacing w:after="0"/>
        <w:rPr>
          <w:rFonts w:cs="Times New Roman"/>
          <w:kern w:val="0"/>
          <w:sz w:val="28"/>
          <w:szCs w:val="24"/>
        </w:rPr>
      </w:pPr>
    </w:p>
    <w:p w:rsidR="00A86C87" w:rsidRDefault="00A86C87" w:rsidP="007C1E3A">
      <w:pPr>
        <w:autoSpaceDE/>
        <w:autoSpaceDN/>
        <w:spacing w:after="0"/>
        <w:rPr>
          <w:rFonts w:cs="Times New Roman"/>
          <w:kern w:val="0"/>
          <w:sz w:val="28"/>
          <w:szCs w:val="24"/>
        </w:rPr>
      </w:pPr>
    </w:p>
    <w:p w:rsidR="00A86C87" w:rsidRPr="007C1E3A" w:rsidRDefault="00A86C87" w:rsidP="007C1E3A">
      <w:pPr>
        <w:autoSpaceDE/>
        <w:autoSpaceDN/>
        <w:spacing w:after="0"/>
        <w:rPr>
          <w:rFonts w:cs="Times New Roman"/>
          <w:kern w:val="0"/>
          <w:sz w:val="28"/>
          <w:szCs w:val="24"/>
        </w:rPr>
      </w:pPr>
    </w:p>
    <w:p w:rsidR="007C1E3A" w:rsidRPr="007C1E3A" w:rsidRDefault="007C1E3A" w:rsidP="007C1E3A">
      <w:pPr>
        <w:autoSpaceDE/>
        <w:autoSpaceDN/>
        <w:spacing w:after="0"/>
        <w:rPr>
          <w:rFonts w:cs="Times New Roman"/>
          <w:kern w:val="0"/>
          <w:sz w:val="24"/>
          <w:szCs w:val="24"/>
        </w:rPr>
      </w:pPr>
      <w:r w:rsidRPr="007C1E3A">
        <w:rPr>
          <w:rFonts w:cs="Times New Roman"/>
          <w:kern w:val="0"/>
          <w:sz w:val="24"/>
          <w:szCs w:val="24"/>
        </w:rPr>
        <w:t xml:space="preserve">Předkládá:    prof. Ing. Vladimír Sedlařík, Ph.D. </w:t>
      </w:r>
    </w:p>
    <w:p w:rsidR="007C1E3A" w:rsidRPr="007C1E3A" w:rsidRDefault="007C1E3A" w:rsidP="007C1E3A">
      <w:pPr>
        <w:autoSpaceDE/>
        <w:autoSpaceDN/>
        <w:spacing w:after="0"/>
        <w:rPr>
          <w:rFonts w:cs="Times New Roman"/>
          <w:kern w:val="0"/>
          <w:sz w:val="24"/>
          <w:szCs w:val="24"/>
        </w:rPr>
      </w:pPr>
      <w:r w:rsidRPr="007C1E3A">
        <w:rPr>
          <w:rFonts w:cs="Times New Roman"/>
          <w:kern w:val="0"/>
          <w:sz w:val="24"/>
          <w:szCs w:val="24"/>
        </w:rPr>
        <w:t xml:space="preserve">                     rektor</w:t>
      </w:r>
    </w:p>
    <w:p w:rsidR="007C1E3A" w:rsidRPr="007C1E3A" w:rsidRDefault="007C1E3A" w:rsidP="007C1E3A">
      <w:pPr>
        <w:autoSpaceDE/>
        <w:autoSpaceDN/>
        <w:spacing w:after="0"/>
        <w:rPr>
          <w:rFonts w:cs="Times New Roman"/>
          <w:kern w:val="0"/>
          <w:sz w:val="24"/>
          <w:szCs w:val="24"/>
        </w:rPr>
      </w:pPr>
    </w:p>
    <w:p w:rsidR="007C1E3A" w:rsidRPr="007C1E3A" w:rsidRDefault="007C1E3A" w:rsidP="007C1E3A">
      <w:pPr>
        <w:autoSpaceDE/>
        <w:autoSpaceDN/>
        <w:spacing w:after="0"/>
        <w:rPr>
          <w:rFonts w:cs="Times New Roman"/>
          <w:kern w:val="0"/>
          <w:sz w:val="24"/>
          <w:szCs w:val="24"/>
        </w:rPr>
      </w:pPr>
      <w:r w:rsidRPr="007C1E3A">
        <w:rPr>
          <w:rFonts w:cs="Times New Roman"/>
          <w:kern w:val="0"/>
          <w:sz w:val="24"/>
          <w:szCs w:val="24"/>
        </w:rPr>
        <w:t>Zpracoval:    RNDr. Alexander Černý</w:t>
      </w:r>
    </w:p>
    <w:p w:rsidR="007C1E3A" w:rsidRPr="007C1E3A" w:rsidRDefault="007C1E3A" w:rsidP="007C1E3A">
      <w:pPr>
        <w:autoSpaceDE/>
        <w:autoSpaceDN/>
        <w:spacing w:after="0"/>
        <w:rPr>
          <w:rFonts w:cs="Times New Roman"/>
          <w:kern w:val="0"/>
          <w:sz w:val="24"/>
          <w:szCs w:val="24"/>
        </w:rPr>
      </w:pPr>
      <w:r w:rsidRPr="007C1E3A">
        <w:rPr>
          <w:rFonts w:cs="Times New Roman"/>
          <w:kern w:val="0"/>
          <w:sz w:val="24"/>
          <w:szCs w:val="24"/>
        </w:rPr>
        <w:t xml:space="preserve">                     kvestor</w:t>
      </w:r>
    </w:p>
    <w:p w:rsidR="007C1E3A" w:rsidRPr="007C1E3A" w:rsidRDefault="007C1E3A" w:rsidP="007C1E3A">
      <w:pPr>
        <w:autoSpaceDE/>
        <w:autoSpaceDN/>
        <w:spacing w:after="0"/>
        <w:rPr>
          <w:rFonts w:ascii="Arial" w:hAnsi="Arial" w:cs="Times New Roman"/>
          <w:b/>
          <w:kern w:val="0"/>
          <w:sz w:val="28"/>
          <w:szCs w:val="24"/>
        </w:rPr>
      </w:pPr>
    </w:p>
    <w:p w:rsidR="007C1E3A" w:rsidRPr="007C1E3A" w:rsidRDefault="007C1E3A" w:rsidP="007C1E3A">
      <w:pPr>
        <w:autoSpaceDE/>
        <w:autoSpaceDN/>
        <w:spacing w:after="0"/>
        <w:rPr>
          <w:rFonts w:ascii="Arial" w:hAnsi="Arial" w:cs="Times New Roman"/>
          <w:b/>
          <w:kern w:val="0"/>
          <w:sz w:val="28"/>
          <w:szCs w:val="24"/>
        </w:rPr>
      </w:pPr>
    </w:p>
    <w:p w:rsidR="007C1E3A" w:rsidRPr="007C1E3A" w:rsidRDefault="007C1E3A" w:rsidP="007C1E3A">
      <w:pPr>
        <w:autoSpaceDE/>
        <w:autoSpaceDN/>
        <w:spacing w:after="0"/>
        <w:rPr>
          <w:rFonts w:ascii="Arial" w:hAnsi="Arial" w:cs="Times New Roman"/>
          <w:b/>
          <w:kern w:val="0"/>
          <w:sz w:val="28"/>
          <w:szCs w:val="24"/>
        </w:rPr>
        <w:sectPr w:rsidR="007C1E3A" w:rsidRPr="007C1E3A">
          <w:headerReference w:type="default" r:id="rId7"/>
          <w:footerReference w:type="default" r:id="rId8"/>
          <w:pgSz w:w="11906" w:h="16838"/>
          <w:pgMar w:top="1418" w:right="851" w:bottom="1418" w:left="1418" w:header="709" w:footer="709" w:gutter="0"/>
          <w:cols w:space="708"/>
          <w:docGrid w:linePitch="360"/>
        </w:sectPr>
      </w:pPr>
    </w:p>
    <w:p w:rsidR="000A4722" w:rsidRPr="006C192E" w:rsidRDefault="000A4722" w:rsidP="000A4722"/>
    <w:p w:rsidR="000A4722" w:rsidRPr="00A12DD3" w:rsidRDefault="000A4722" w:rsidP="00A11CFE">
      <w:pPr>
        <w:jc w:val="both"/>
        <w:rPr>
          <w:rFonts w:cs="Times New Roman"/>
          <w:b/>
          <w:spacing w:val="11"/>
          <w:sz w:val="24"/>
          <w:szCs w:val="24"/>
        </w:rPr>
      </w:pPr>
      <w:r w:rsidRPr="00A12DD3">
        <w:rPr>
          <w:rFonts w:cs="Times New Roman"/>
          <w:sz w:val="24"/>
          <w:szCs w:val="24"/>
        </w:rPr>
        <w:t xml:space="preserve">V návaznosti na § 18 zákona č. 111/1998 Sb., o vysokých </w:t>
      </w:r>
      <w:r w:rsidRPr="00A12DD3">
        <w:rPr>
          <w:rFonts w:cs="Times New Roman"/>
          <w:spacing w:val="11"/>
          <w:sz w:val="24"/>
          <w:szCs w:val="24"/>
        </w:rPr>
        <w:t xml:space="preserve">školách a o změně a doplnění dalších zákonů (zákon o vysokých školách), ve znění </w:t>
      </w:r>
      <w:r w:rsidRPr="00A12DD3">
        <w:rPr>
          <w:rFonts w:cs="Times New Roman"/>
          <w:spacing w:val="2"/>
          <w:sz w:val="24"/>
          <w:szCs w:val="24"/>
        </w:rPr>
        <w:t xml:space="preserve">pozdějších předpisů, </w:t>
      </w:r>
      <w:r w:rsidRPr="00A12DD3">
        <w:rPr>
          <w:rFonts w:cs="Times New Roman"/>
          <w:spacing w:val="11"/>
          <w:sz w:val="24"/>
          <w:szCs w:val="24"/>
        </w:rPr>
        <w:t xml:space="preserve">dále v návaznosti na Pravidla rozpočtu UTB pro rok 2021, předkládá se Akademickému senátu UTB </w:t>
      </w:r>
      <w:r w:rsidRPr="00A12DD3">
        <w:rPr>
          <w:rFonts w:cs="Times New Roman"/>
          <w:b/>
          <w:spacing w:val="11"/>
          <w:sz w:val="24"/>
          <w:szCs w:val="24"/>
        </w:rPr>
        <w:t>Dodatek č. 1 k Pravidl</w:t>
      </w:r>
      <w:r w:rsidR="008D7912">
        <w:rPr>
          <w:rFonts w:cs="Times New Roman"/>
          <w:b/>
          <w:spacing w:val="11"/>
          <w:sz w:val="24"/>
          <w:szCs w:val="24"/>
        </w:rPr>
        <w:t>ům</w:t>
      </w:r>
      <w:r w:rsidRPr="00A12DD3">
        <w:rPr>
          <w:rFonts w:cs="Times New Roman"/>
          <w:b/>
          <w:spacing w:val="11"/>
          <w:sz w:val="24"/>
          <w:szCs w:val="24"/>
        </w:rPr>
        <w:t xml:space="preserve"> rozpočtu UTB pro rok 2021.</w:t>
      </w:r>
    </w:p>
    <w:p w:rsidR="00A12DD3" w:rsidRDefault="00BE1BF8" w:rsidP="00A11CFE">
      <w:pPr>
        <w:jc w:val="both"/>
        <w:rPr>
          <w:rFonts w:eastAsiaTheme="minorHAnsi" w:cs="Times New Roman"/>
          <w:kern w:val="0"/>
          <w:sz w:val="24"/>
          <w:szCs w:val="22"/>
          <w:lang w:eastAsia="en-US"/>
        </w:rPr>
      </w:pPr>
      <w:r w:rsidRPr="00A12DD3">
        <w:rPr>
          <w:rFonts w:cs="Times New Roman"/>
          <w:sz w:val="24"/>
          <w:szCs w:val="24"/>
        </w:rPr>
        <w:t xml:space="preserve">Tento dodatek řeší </w:t>
      </w:r>
      <w:r w:rsidR="00A12DD3" w:rsidRPr="00A12DD3">
        <w:rPr>
          <w:rFonts w:cs="Times New Roman"/>
          <w:sz w:val="24"/>
          <w:szCs w:val="24"/>
        </w:rPr>
        <w:t xml:space="preserve">možnost zabezpečení finančních zdrojů pro pořízení (nákup) </w:t>
      </w:r>
      <w:r w:rsidR="00A12DD3" w:rsidRPr="00A12DD3">
        <w:rPr>
          <w:rFonts w:eastAsiaTheme="minorHAnsi" w:cs="Times New Roman"/>
          <w:kern w:val="0"/>
          <w:sz w:val="24"/>
          <w:szCs w:val="22"/>
          <w:lang w:eastAsia="en-US"/>
        </w:rPr>
        <w:t xml:space="preserve">multifunkčního sportoviště, které by z větší části uspokojilo potřeby pro zajištění a rozvoj sportovních aktivit na UTB. </w:t>
      </w:r>
    </w:p>
    <w:p w:rsidR="00FD181F" w:rsidRPr="00A12DD3" w:rsidRDefault="00FD181F" w:rsidP="00A11CFE">
      <w:pPr>
        <w:jc w:val="both"/>
        <w:rPr>
          <w:rFonts w:eastAsiaTheme="minorHAnsi" w:cs="Times New Roman"/>
          <w:kern w:val="0"/>
          <w:sz w:val="24"/>
          <w:szCs w:val="22"/>
          <w:lang w:eastAsia="en-US"/>
        </w:rPr>
      </w:pPr>
    </w:p>
    <w:p w:rsidR="00A12DD3" w:rsidRPr="00A12DD3" w:rsidRDefault="00A12DD3" w:rsidP="00A12DD3">
      <w:pPr>
        <w:autoSpaceDE/>
        <w:autoSpaceDN/>
        <w:spacing w:after="160" w:line="259" w:lineRule="auto"/>
        <w:jc w:val="both"/>
        <w:rPr>
          <w:rFonts w:eastAsiaTheme="minorHAnsi" w:cs="Times New Roman"/>
          <w:kern w:val="0"/>
          <w:sz w:val="24"/>
          <w:szCs w:val="22"/>
          <w:lang w:eastAsia="en-US"/>
        </w:rPr>
      </w:pPr>
      <w:r w:rsidRPr="00A12DD3">
        <w:rPr>
          <w:rFonts w:eastAsiaTheme="minorHAnsi" w:cs="Times New Roman"/>
          <w:kern w:val="0"/>
          <w:sz w:val="24"/>
          <w:szCs w:val="22"/>
          <w:lang w:eastAsia="en-US"/>
        </w:rPr>
        <w:t xml:space="preserve">V současné době </w:t>
      </w:r>
      <w:r w:rsidR="008D7912">
        <w:rPr>
          <w:rFonts w:eastAsiaTheme="minorHAnsi" w:cs="Times New Roman"/>
          <w:kern w:val="0"/>
          <w:sz w:val="24"/>
          <w:szCs w:val="22"/>
          <w:lang w:eastAsia="en-US"/>
        </w:rPr>
        <w:t xml:space="preserve">se nabízí </w:t>
      </w:r>
      <w:r w:rsidRPr="00A12DD3">
        <w:rPr>
          <w:rFonts w:eastAsiaTheme="minorHAnsi" w:cs="Times New Roman"/>
          <w:kern w:val="0"/>
          <w:sz w:val="24"/>
          <w:szCs w:val="22"/>
          <w:lang w:eastAsia="en-US"/>
        </w:rPr>
        <w:t>k prodeji následující pozemky a objekty:</w:t>
      </w:r>
    </w:p>
    <w:p w:rsidR="00A12DD3" w:rsidRPr="00A12DD3" w:rsidRDefault="00A12DD3" w:rsidP="00A12DD3">
      <w:pPr>
        <w:numPr>
          <w:ilvl w:val="0"/>
          <w:numId w:val="3"/>
        </w:numPr>
        <w:autoSpaceDE/>
        <w:autoSpaceDN/>
        <w:spacing w:after="0" w:line="259" w:lineRule="auto"/>
        <w:contextualSpacing/>
        <w:jc w:val="both"/>
        <w:rPr>
          <w:rFonts w:eastAsiaTheme="minorHAnsi" w:cs="Times New Roman"/>
          <w:kern w:val="0"/>
          <w:sz w:val="24"/>
          <w:szCs w:val="22"/>
          <w:lang w:eastAsia="en-US"/>
        </w:rPr>
      </w:pPr>
      <w:r w:rsidRPr="00A12DD3">
        <w:rPr>
          <w:rFonts w:eastAsiaTheme="minorHAnsi" w:cs="Times New Roman"/>
          <w:kern w:val="0"/>
          <w:sz w:val="24"/>
          <w:szCs w:val="22"/>
          <w:lang w:eastAsia="en-US"/>
        </w:rPr>
        <w:t>Budova na adrese Růmy č. p. 5470 (stavba občanského vybavení) postavená na pozemku p. č. 8684, zastavěná plocha a nádvoří 1 703 m</w:t>
      </w:r>
      <w:r w:rsidRPr="00A12DD3">
        <w:rPr>
          <w:rFonts w:eastAsiaTheme="minorHAnsi" w:cs="Times New Roman"/>
          <w:kern w:val="0"/>
          <w:sz w:val="24"/>
          <w:szCs w:val="22"/>
          <w:vertAlign w:val="superscript"/>
          <w:lang w:eastAsia="en-US"/>
        </w:rPr>
        <w:t>2</w:t>
      </w:r>
      <w:r w:rsidRPr="00A12DD3">
        <w:rPr>
          <w:rFonts w:eastAsiaTheme="minorHAnsi" w:cs="Times New Roman"/>
          <w:kern w:val="0"/>
          <w:sz w:val="24"/>
          <w:szCs w:val="22"/>
          <w:lang w:eastAsia="en-US"/>
        </w:rPr>
        <w:t xml:space="preserve">. </w:t>
      </w:r>
    </w:p>
    <w:p w:rsidR="00A12DD3" w:rsidRPr="00A12DD3" w:rsidRDefault="00A11CFE" w:rsidP="00A12DD3">
      <w:pPr>
        <w:autoSpaceDE/>
        <w:autoSpaceDN/>
        <w:spacing w:after="0"/>
        <w:ind w:left="360"/>
        <w:jc w:val="both"/>
        <w:rPr>
          <w:rFonts w:eastAsiaTheme="minorHAnsi" w:cs="Times New Roman"/>
          <w:kern w:val="0"/>
          <w:sz w:val="24"/>
          <w:szCs w:val="22"/>
          <w:lang w:eastAsia="en-US"/>
        </w:rPr>
      </w:pPr>
      <w:r>
        <w:rPr>
          <w:rFonts w:eastAsiaTheme="minorHAnsi" w:cs="Times New Roman"/>
          <w:kern w:val="0"/>
          <w:sz w:val="24"/>
          <w:szCs w:val="22"/>
          <w:lang w:eastAsia="en-US"/>
        </w:rPr>
        <w:t>Z</w:t>
      </w:r>
      <w:r w:rsidR="00A12DD3" w:rsidRPr="00A12DD3">
        <w:rPr>
          <w:rFonts w:eastAsiaTheme="minorHAnsi" w:cs="Times New Roman"/>
          <w:kern w:val="0"/>
          <w:sz w:val="24"/>
          <w:szCs w:val="22"/>
          <w:lang w:eastAsia="en-US"/>
        </w:rPr>
        <w:t>apsáno na LV č. 25978 pro katastrální území Zlín, obec Zlín u Katastrálního úřadu pro Zlínský kraj, katastrální pracoviště Zlín.</w:t>
      </w:r>
    </w:p>
    <w:p w:rsidR="00A12DD3" w:rsidRPr="00A12DD3" w:rsidRDefault="00A12DD3" w:rsidP="00A12DD3">
      <w:pPr>
        <w:numPr>
          <w:ilvl w:val="0"/>
          <w:numId w:val="3"/>
        </w:numPr>
        <w:autoSpaceDE/>
        <w:autoSpaceDN/>
        <w:spacing w:after="0" w:line="259" w:lineRule="auto"/>
        <w:jc w:val="both"/>
        <w:rPr>
          <w:rFonts w:eastAsiaTheme="minorHAnsi" w:cs="Times New Roman"/>
          <w:kern w:val="0"/>
          <w:sz w:val="24"/>
          <w:lang w:eastAsia="en-US"/>
        </w:rPr>
      </w:pPr>
      <w:r w:rsidRPr="00A12DD3">
        <w:rPr>
          <w:rFonts w:eastAsiaTheme="minorHAnsi" w:cs="Times New Roman"/>
          <w:kern w:val="0"/>
          <w:sz w:val="24"/>
          <w:lang w:eastAsia="en-US"/>
        </w:rPr>
        <w:t>Parcela č. 1090/10 o výměře 3363 m</w:t>
      </w:r>
      <w:r w:rsidRPr="00A12DD3">
        <w:rPr>
          <w:rFonts w:eastAsiaTheme="minorHAnsi" w:cs="Times New Roman"/>
          <w:kern w:val="0"/>
          <w:sz w:val="24"/>
          <w:vertAlign w:val="superscript"/>
          <w:lang w:eastAsia="en-US"/>
        </w:rPr>
        <w:t>2</w:t>
      </w:r>
      <w:r w:rsidRPr="00A12DD3">
        <w:rPr>
          <w:rFonts w:eastAsiaTheme="minorHAnsi" w:cs="Times New Roman"/>
          <w:kern w:val="0"/>
          <w:sz w:val="24"/>
          <w:lang w:eastAsia="en-US"/>
        </w:rPr>
        <w:t>, ostatní plocha (sportoviště a rekreační plocha)</w:t>
      </w:r>
    </w:p>
    <w:p w:rsidR="00A12DD3" w:rsidRPr="00A12DD3" w:rsidRDefault="00A12DD3" w:rsidP="00A12DD3">
      <w:pPr>
        <w:numPr>
          <w:ilvl w:val="0"/>
          <w:numId w:val="3"/>
        </w:numPr>
        <w:autoSpaceDE/>
        <w:autoSpaceDN/>
        <w:spacing w:after="0" w:line="259" w:lineRule="auto"/>
        <w:jc w:val="both"/>
        <w:rPr>
          <w:rFonts w:eastAsiaTheme="minorHAnsi" w:cs="Times New Roman"/>
          <w:kern w:val="0"/>
          <w:sz w:val="24"/>
          <w:lang w:eastAsia="en-US"/>
        </w:rPr>
      </w:pPr>
      <w:r w:rsidRPr="00A12DD3">
        <w:rPr>
          <w:rFonts w:eastAsiaTheme="minorHAnsi" w:cs="Times New Roman"/>
          <w:kern w:val="0"/>
          <w:sz w:val="24"/>
          <w:lang w:eastAsia="en-US"/>
        </w:rPr>
        <w:t>Parcela č. 1090/117 o výměře 738 m</w:t>
      </w:r>
      <w:r w:rsidRPr="00A12DD3">
        <w:rPr>
          <w:rFonts w:eastAsiaTheme="minorHAnsi" w:cs="Times New Roman"/>
          <w:kern w:val="0"/>
          <w:sz w:val="24"/>
          <w:vertAlign w:val="superscript"/>
          <w:lang w:eastAsia="en-US"/>
        </w:rPr>
        <w:t>2</w:t>
      </w:r>
      <w:r w:rsidRPr="00A12DD3">
        <w:rPr>
          <w:rFonts w:eastAsiaTheme="minorHAnsi" w:cs="Times New Roman"/>
          <w:kern w:val="0"/>
          <w:sz w:val="24"/>
          <w:lang w:eastAsia="en-US"/>
        </w:rPr>
        <w:t>, ostatní komunikace</w:t>
      </w:r>
    </w:p>
    <w:p w:rsidR="00A12DD3" w:rsidRPr="00A12DD3" w:rsidRDefault="00A12DD3" w:rsidP="00A12DD3">
      <w:pPr>
        <w:autoSpaceDE/>
        <w:autoSpaceDN/>
        <w:spacing w:after="0"/>
        <w:ind w:left="360"/>
        <w:jc w:val="both"/>
        <w:rPr>
          <w:rFonts w:eastAsiaTheme="minorHAnsi" w:cs="Times New Roman"/>
          <w:kern w:val="0"/>
          <w:sz w:val="24"/>
          <w:szCs w:val="22"/>
          <w:lang w:eastAsia="en-US"/>
        </w:rPr>
      </w:pPr>
      <w:r w:rsidRPr="00A12DD3">
        <w:rPr>
          <w:rFonts w:eastAsiaTheme="minorHAnsi" w:cs="Times New Roman"/>
          <w:kern w:val="0"/>
          <w:sz w:val="24"/>
          <w:szCs w:val="22"/>
          <w:lang w:eastAsia="en-US"/>
        </w:rPr>
        <w:t>Uvedené nemovitosti jsou zapsány na LV č. 18838 pro katastrální území Zlín, obec Zlín u Katastrálního úřadu pro Zlínský kraj, katastrální pracoviště Zlín.</w:t>
      </w:r>
    </w:p>
    <w:p w:rsidR="00A12DD3" w:rsidRPr="00A12DD3" w:rsidRDefault="00A12DD3" w:rsidP="00A12DD3">
      <w:pPr>
        <w:autoSpaceDE/>
        <w:autoSpaceDN/>
        <w:spacing w:after="0"/>
        <w:jc w:val="both"/>
        <w:rPr>
          <w:rFonts w:eastAsiaTheme="minorHAnsi" w:cs="Times New Roman"/>
          <w:kern w:val="0"/>
          <w:sz w:val="24"/>
          <w:szCs w:val="22"/>
          <w:lang w:eastAsia="en-US"/>
        </w:rPr>
      </w:pPr>
    </w:p>
    <w:p w:rsidR="00A12DD3" w:rsidRPr="00A12DD3" w:rsidRDefault="00A12DD3" w:rsidP="00A12DD3">
      <w:pPr>
        <w:autoSpaceDE/>
        <w:autoSpaceDN/>
        <w:spacing w:after="160" w:line="259" w:lineRule="auto"/>
        <w:jc w:val="both"/>
        <w:rPr>
          <w:rFonts w:eastAsiaTheme="minorHAnsi" w:cs="Times New Roman"/>
          <w:kern w:val="0"/>
          <w:sz w:val="24"/>
          <w:szCs w:val="22"/>
          <w:lang w:eastAsia="en-US"/>
        </w:rPr>
      </w:pPr>
      <w:r w:rsidRPr="00A12DD3">
        <w:rPr>
          <w:rFonts w:eastAsiaTheme="minorHAnsi" w:cs="Times New Roman"/>
          <w:kern w:val="0"/>
          <w:sz w:val="24"/>
          <w:szCs w:val="22"/>
          <w:lang w:eastAsia="en-US"/>
        </w:rPr>
        <w:t>Dispozice areálu - objekt tvoří 3 samostatně funkční celky:</w:t>
      </w:r>
    </w:p>
    <w:p w:rsidR="00A12DD3" w:rsidRPr="00A12DD3" w:rsidRDefault="00A12DD3" w:rsidP="00A12DD3">
      <w:pPr>
        <w:numPr>
          <w:ilvl w:val="0"/>
          <w:numId w:val="2"/>
        </w:numPr>
        <w:autoSpaceDE/>
        <w:autoSpaceDN/>
        <w:spacing w:after="0" w:line="259" w:lineRule="auto"/>
        <w:jc w:val="both"/>
        <w:rPr>
          <w:rFonts w:eastAsiaTheme="minorHAnsi" w:cs="Times New Roman"/>
          <w:kern w:val="0"/>
          <w:sz w:val="24"/>
          <w:lang w:eastAsia="en-US"/>
        </w:rPr>
      </w:pPr>
      <w:r w:rsidRPr="00A12DD3">
        <w:rPr>
          <w:rFonts w:eastAsiaTheme="minorHAnsi" w:cs="Times New Roman"/>
          <w:kern w:val="0"/>
          <w:sz w:val="24"/>
          <w:lang w:eastAsia="en-US"/>
        </w:rPr>
        <w:t>Převážnou objemovou část tvoří hala pro 2 tenisová a 4 badmintonová hřiště a příslušenství pro obsluhu a převlékání hostů. Kapacita haly je 60 cvičících.</w:t>
      </w:r>
    </w:p>
    <w:p w:rsidR="00A12DD3" w:rsidRPr="00A12DD3" w:rsidRDefault="00A12DD3" w:rsidP="00A12DD3">
      <w:pPr>
        <w:numPr>
          <w:ilvl w:val="0"/>
          <w:numId w:val="1"/>
        </w:numPr>
        <w:autoSpaceDE/>
        <w:autoSpaceDN/>
        <w:spacing w:after="0" w:line="259" w:lineRule="auto"/>
        <w:contextualSpacing/>
        <w:jc w:val="both"/>
        <w:rPr>
          <w:rFonts w:eastAsiaTheme="minorHAnsi" w:cs="Times New Roman"/>
          <w:kern w:val="0"/>
          <w:sz w:val="24"/>
          <w:szCs w:val="22"/>
          <w:lang w:eastAsia="en-US"/>
        </w:rPr>
      </w:pPr>
      <w:r w:rsidRPr="00A12DD3">
        <w:rPr>
          <w:rFonts w:eastAsiaTheme="minorHAnsi" w:cs="Times New Roman"/>
          <w:kern w:val="0"/>
          <w:sz w:val="24"/>
          <w:szCs w:val="22"/>
          <w:lang w:eastAsia="en-US"/>
        </w:rPr>
        <w:t>V 1. PP jsou situovány 3 menší tělocvičny, dětský koutek, sociální zázemí  a prostory pro obsluhu (bar). Garáž je využívána jako skladovací a manipulační prostor.</w:t>
      </w:r>
    </w:p>
    <w:p w:rsidR="00A12DD3" w:rsidRPr="00A12DD3" w:rsidRDefault="00A12DD3" w:rsidP="00A12DD3">
      <w:pPr>
        <w:numPr>
          <w:ilvl w:val="0"/>
          <w:numId w:val="1"/>
        </w:numPr>
        <w:autoSpaceDE/>
        <w:autoSpaceDN/>
        <w:spacing w:after="0" w:line="259" w:lineRule="auto"/>
        <w:contextualSpacing/>
        <w:jc w:val="both"/>
        <w:rPr>
          <w:rFonts w:eastAsiaTheme="minorHAnsi" w:cs="Times New Roman"/>
          <w:kern w:val="0"/>
          <w:sz w:val="24"/>
          <w:szCs w:val="22"/>
          <w:lang w:eastAsia="en-US"/>
        </w:rPr>
      </w:pPr>
      <w:r w:rsidRPr="00A12DD3">
        <w:rPr>
          <w:rFonts w:eastAsiaTheme="minorHAnsi" w:cs="Times New Roman"/>
          <w:kern w:val="0"/>
          <w:sz w:val="24"/>
          <w:szCs w:val="22"/>
          <w:lang w:eastAsia="en-US"/>
        </w:rPr>
        <w:t>Další částí jsou: samostatný byt (hlavní obytná část 4+kk) a nebytové jednotky pro hosty 1+kk a 2+kk v prostoru pod halou. K bytu je přidružen bazén, dostupný výtahem.</w:t>
      </w:r>
    </w:p>
    <w:p w:rsidR="00A12DD3" w:rsidRDefault="00A12DD3" w:rsidP="00A12DD3">
      <w:pPr>
        <w:autoSpaceDE/>
        <w:autoSpaceDN/>
        <w:spacing w:after="0" w:line="259" w:lineRule="auto"/>
        <w:jc w:val="both"/>
        <w:rPr>
          <w:rFonts w:eastAsiaTheme="minorHAnsi" w:cs="Times New Roman"/>
          <w:kern w:val="0"/>
          <w:sz w:val="22"/>
          <w:szCs w:val="22"/>
          <w:lang w:eastAsia="en-US"/>
        </w:rPr>
      </w:pPr>
    </w:p>
    <w:p w:rsidR="00E57A2B" w:rsidRPr="00A12DD3" w:rsidRDefault="00E57A2B" w:rsidP="00E57A2B">
      <w:pPr>
        <w:autoSpaceDE/>
        <w:autoSpaceDN/>
        <w:spacing w:after="0"/>
        <w:jc w:val="both"/>
        <w:rPr>
          <w:rFonts w:eastAsiaTheme="minorHAnsi" w:cs="Times New Roman"/>
          <w:kern w:val="0"/>
          <w:sz w:val="24"/>
          <w:szCs w:val="22"/>
          <w:lang w:eastAsia="en-US"/>
        </w:rPr>
      </w:pPr>
      <w:r w:rsidRPr="00A12DD3">
        <w:rPr>
          <w:rFonts w:eastAsiaTheme="minorHAnsi" w:cs="Times New Roman"/>
          <w:kern w:val="0"/>
          <w:sz w:val="24"/>
          <w:szCs w:val="22"/>
          <w:lang w:eastAsia="en-US"/>
        </w:rPr>
        <w:t xml:space="preserve">Cena nemovitosti </w:t>
      </w:r>
      <w:r>
        <w:rPr>
          <w:rFonts w:eastAsiaTheme="minorHAnsi" w:cs="Times New Roman"/>
          <w:kern w:val="0"/>
          <w:sz w:val="24"/>
          <w:szCs w:val="22"/>
          <w:lang w:eastAsia="en-US"/>
        </w:rPr>
        <w:t xml:space="preserve">maximálně </w:t>
      </w:r>
      <w:r w:rsidRPr="00A12DD3">
        <w:rPr>
          <w:rFonts w:eastAsiaTheme="minorHAnsi" w:cs="Times New Roman"/>
          <w:kern w:val="0"/>
          <w:sz w:val="24"/>
          <w:szCs w:val="22"/>
          <w:lang w:eastAsia="en-US"/>
        </w:rPr>
        <w:t>53 mil. Kč.</w:t>
      </w:r>
    </w:p>
    <w:p w:rsidR="00E57A2B" w:rsidRDefault="00E57A2B" w:rsidP="00A12DD3">
      <w:pPr>
        <w:autoSpaceDE/>
        <w:autoSpaceDN/>
        <w:spacing w:after="0" w:line="259" w:lineRule="auto"/>
        <w:jc w:val="both"/>
        <w:rPr>
          <w:rFonts w:eastAsiaTheme="minorHAnsi" w:cs="Times New Roman"/>
          <w:kern w:val="0"/>
          <w:sz w:val="22"/>
          <w:szCs w:val="22"/>
          <w:lang w:eastAsia="en-US"/>
        </w:rPr>
      </w:pPr>
    </w:p>
    <w:p w:rsidR="0049631C" w:rsidRPr="0049631C" w:rsidRDefault="0049631C" w:rsidP="0049631C">
      <w:pPr>
        <w:autoSpaceDE/>
        <w:autoSpaceDN/>
        <w:spacing w:after="60"/>
        <w:jc w:val="both"/>
        <w:rPr>
          <w:rFonts w:cs="Times New Roman"/>
          <w:kern w:val="0"/>
          <w:sz w:val="24"/>
          <w:szCs w:val="24"/>
        </w:rPr>
      </w:pPr>
    </w:p>
    <w:p w:rsidR="0049631C" w:rsidRPr="0049631C" w:rsidRDefault="0049631C" w:rsidP="0049631C">
      <w:pPr>
        <w:autoSpaceDE/>
        <w:autoSpaceDN/>
        <w:spacing w:after="160" w:line="259" w:lineRule="auto"/>
        <w:jc w:val="both"/>
        <w:rPr>
          <w:rFonts w:eastAsiaTheme="minorHAnsi" w:cs="Times New Roman"/>
          <w:b/>
          <w:kern w:val="0"/>
          <w:sz w:val="24"/>
          <w:szCs w:val="22"/>
          <w:lang w:eastAsia="en-US"/>
        </w:rPr>
      </w:pPr>
      <w:r w:rsidRPr="0049631C">
        <w:rPr>
          <w:rFonts w:eastAsiaTheme="minorHAnsi" w:cs="Times New Roman"/>
          <w:b/>
          <w:kern w:val="0"/>
          <w:sz w:val="24"/>
          <w:szCs w:val="22"/>
          <w:lang w:eastAsia="en-US"/>
        </w:rPr>
        <w:t>Závazný postup vytv</w:t>
      </w:r>
      <w:r>
        <w:rPr>
          <w:rFonts w:eastAsiaTheme="minorHAnsi" w:cs="Times New Roman"/>
          <w:b/>
          <w:kern w:val="0"/>
          <w:sz w:val="24"/>
          <w:szCs w:val="22"/>
          <w:lang w:eastAsia="en-US"/>
        </w:rPr>
        <w:t xml:space="preserve">oření </w:t>
      </w:r>
      <w:r w:rsidRPr="0049631C">
        <w:rPr>
          <w:rFonts w:eastAsiaTheme="minorHAnsi" w:cs="Times New Roman"/>
          <w:b/>
          <w:kern w:val="0"/>
          <w:sz w:val="24"/>
          <w:szCs w:val="22"/>
          <w:lang w:eastAsia="en-US"/>
        </w:rPr>
        <w:t xml:space="preserve">finančních zdrojů pro </w:t>
      </w:r>
      <w:r>
        <w:rPr>
          <w:rFonts w:eastAsiaTheme="minorHAnsi" w:cs="Times New Roman"/>
          <w:b/>
          <w:kern w:val="0"/>
          <w:sz w:val="24"/>
          <w:szCs w:val="22"/>
          <w:lang w:eastAsia="en-US"/>
        </w:rPr>
        <w:t>pořízení sportovního areálu Růmy</w:t>
      </w:r>
      <w:r w:rsidRPr="0049631C">
        <w:rPr>
          <w:rFonts w:eastAsiaTheme="minorHAnsi" w:cs="Times New Roman"/>
          <w:b/>
          <w:kern w:val="0"/>
          <w:sz w:val="24"/>
          <w:szCs w:val="22"/>
          <w:lang w:eastAsia="en-US"/>
        </w:rPr>
        <w:t>:</w:t>
      </w:r>
    </w:p>
    <w:p w:rsidR="0049631C" w:rsidRDefault="0049631C" w:rsidP="0049631C">
      <w:pPr>
        <w:numPr>
          <w:ilvl w:val="0"/>
          <w:numId w:val="5"/>
        </w:numPr>
        <w:autoSpaceDE/>
        <w:autoSpaceDN/>
        <w:spacing w:after="160" w:line="259" w:lineRule="auto"/>
        <w:contextualSpacing/>
        <w:jc w:val="both"/>
        <w:rPr>
          <w:rFonts w:eastAsiaTheme="minorHAnsi" w:cs="Times New Roman"/>
          <w:kern w:val="0"/>
          <w:sz w:val="24"/>
          <w:szCs w:val="22"/>
          <w:lang w:eastAsia="en-US"/>
        </w:rPr>
      </w:pPr>
      <w:r>
        <w:rPr>
          <w:rFonts w:eastAsiaTheme="minorHAnsi" w:cs="Times New Roman"/>
          <w:kern w:val="0"/>
          <w:sz w:val="24"/>
          <w:szCs w:val="22"/>
          <w:lang w:eastAsia="en-US"/>
        </w:rPr>
        <w:t xml:space="preserve">Pro financování bude </w:t>
      </w:r>
      <w:r w:rsidR="000750E9">
        <w:rPr>
          <w:rFonts w:eastAsiaTheme="minorHAnsi" w:cs="Times New Roman"/>
          <w:kern w:val="0"/>
          <w:sz w:val="24"/>
          <w:szCs w:val="22"/>
          <w:lang w:eastAsia="en-US"/>
        </w:rPr>
        <w:t xml:space="preserve">v každém případě </w:t>
      </w:r>
      <w:r>
        <w:rPr>
          <w:rFonts w:eastAsiaTheme="minorHAnsi" w:cs="Times New Roman"/>
          <w:kern w:val="0"/>
          <w:sz w:val="24"/>
          <w:szCs w:val="22"/>
          <w:lang w:eastAsia="en-US"/>
        </w:rPr>
        <w:t>využito prostředků ve Fondu financování projektů ve výši 17 000 tis. Kč.</w:t>
      </w:r>
      <w:r w:rsidRPr="0049631C">
        <w:rPr>
          <w:rFonts w:eastAsiaTheme="minorHAnsi" w:cs="Times New Roman"/>
          <w:kern w:val="0"/>
          <w:sz w:val="24"/>
          <w:szCs w:val="22"/>
          <w:lang w:eastAsia="en-US"/>
        </w:rPr>
        <w:t xml:space="preserve"> </w:t>
      </w:r>
    </w:p>
    <w:p w:rsidR="000750E9" w:rsidRDefault="0049631C" w:rsidP="00D06248">
      <w:pPr>
        <w:numPr>
          <w:ilvl w:val="0"/>
          <w:numId w:val="5"/>
        </w:numPr>
        <w:autoSpaceDE/>
        <w:autoSpaceDN/>
        <w:spacing w:after="160" w:line="259" w:lineRule="auto"/>
        <w:contextualSpacing/>
        <w:jc w:val="both"/>
        <w:rPr>
          <w:rFonts w:eastAsiaTheme="minorHAnsi" w:cs="Times New Roman"/>
          <w:kern w:val="0"/>
          <w:sz w:val="24"/>
          <w:szCs w:val="22"/>
          <w:lang w:eastAsia="en-US"/>
        </w:rPr>
      </w:pPr>
      <w:r w:rsidRPr="0049631C">
        <w:rPr>
          <w:rFonts w:eastAsiaTheme="minorHAnsi" w:cs="Times New Roman"/>
          <w:kern w:val="0"/>
          <w:sz w:val="24"/>
          <w:szCs w:val="22"/>
          <w:lang w:eastAsia="en-US"/>
        </w:rPr>
        <w:t xml:space="preserve">Rozdíl až do výše kupní ceny nemovitosti bude uhrazen mimořádnými </w:t>
      </w:r>
      <w:r w:rsidR="00EA5158">
        <w:rPr>
          <w:rFonts w:eastAsiaTheme="minorHAnsi" w:cs="Times New Roman"/>
          <w:kern w:val="0"/>
          <w:sz w:val="24"/>
          <w:szCs w:val="22"/>
          <w:lang w:eastAsia="en-US"/>
        </w:rPr>
        <w:t xml:space="preserve">odvody </w:t>
      </w:r>
      <w:r w:rsidRPr="0049631C">
        <w:rPr>
          <w:rFonts w:eastAsiaTheme="minorHAnsi" w:cs="Times New Roman"/>
          <w:kern w:val="0"/>
          <w:sz w:val="24"/>
          <w:szCs w:val="22"/>
          <w:lang w:eastAsia="en-US"/>
        </w:rPr>
        <w:t>fakult UTB</w:t>
      </w:r>
      <w:r w:rsidR="000750E9">
        <w:rPr>
          <w:rFonts w:eastAsiaTheme="minorHAnsi" w:cs="Times New Roman"/>
          <w:kern w:val="0"/>
          <w:sz w:val="24"/>
          <w:szCs w:val="22"/>
          <w:lang w:eastAsia="en-US"/>
        </w:rPr>
        <w:t xml:space="preserve"> a CPS </w:t>
      </w:r>
      <w:r>
        <w:rPr>
          <w:rFonts w:eastAsiaTheme="minorHAnsi" w:cs="Times New Roman"/>
          <w:kern w:val="0"/>
          <w:sz w:val="24"/>
          <w:szCs w:val="22"/>
          <w:lang w:eastAsia="en-US"/>
        </w:rPr>
        <w:t>z již přidělených příspěvků pro rok 2021 ve zdroji 1100 (příspěvek na institucionální financování VVŠ)</w:t>
      </w:r>
      <w:r w:rsidR="000750E9">
        <w:rPr>
          <w:rFonts w:eastAsiaTheme="minorHAnsi" w:cs="Times New Roman"/>
          <w:kern w:val="0"/>
          <w:sz w:val="24"/>
          <w:szCs w:val="22"/>
          <w:lang w:eastAsia="en-US"/>
        </w:rPr>
        <w:t>.</w:t>
      </w:r>
    </w:p>
    <w:p w:rsidR="0049631C" w:rsidRDefault="000750E9" w:rsidP="00D06248">
      <w:pPr>
        <w:numPr>
          <w:ilvl w:val="0"/>
          <w:numId w:val="5"/>
        </w:numPr>
        <w:autoSpaceDE/>
        <w:autoSpaceDN/>
        <w:spacing w:after="160" w:line="259" w:lineRule="auto"/>
        <w:contextualSpacing/>
        <w:jc w:val="both"/>
        <w:rPr>
          <w:rFonts w:eastAsiaTheme="minorHAnsi" w:cs="Times New Roman"/>
          <w:kern w:val="0"/>
          <w:sz w:val="24"/>
          <w:szCs w:val="22"/>
          <w:lang w:eastAsia="en-US"/>
        </w:rPr>
      </w:pPr>
      <w:r>
        <w:rPr>
          <w:rFonts w:eastAsiaTheme="minorHAnsi" w:cs="Times New Roman"/>
          <w:kern w:val="0"/>
          <w:sz w:val="24"/>
          <w:szCs w:val="22"/>
          <w:lang w:eastAsia="en-US"/>
        </w:rPr>
        <w:t xml:space="preserve">Pro stanovení výše mimořádného odvodu na sportovní areál </w:t>
      </w:r>
      <w:r w:rsidR="00FD181F">
        <w:rPr>
          <w:rFonts w:eastAsiaTheme="minorHAnsi" w:cs="Times New Roman"/>
          <w:kern w:val="0"/>
          <w:sz w:val="24"/>
          <w:szCs w:val="22"/>
          <w:lang w:eastAsia="en-US"/>
        </w:rPr>
        <w:t xml:space="preserve">Růmy </w:t>
      </w:r>
      <w:r>
        <w:rPr>
          <w:rFonts w:eastAsiaTheme="minorHAnsi" w:cs="Times New Roman"/>
          <w:kern w:val="0"/>
          <w:sz w:val="24"/>
          <w:szCs w:val="22"/>
          <w:lang w:eastAsia="en-US"/>
        </w:rPr>
        <w:t>jsou organizační jednotky rozděleny do kategorií:</w:t>
      </w:r>
    </w:p>
    <w:p w:rsidR="00EA5158" w:rsidRPr="000750E9" w:rsidRDefault="000750E9" w:rsidP="000750E9">
      <w:pPr>
        <w:pStyle w:val="Odstavecseseznamem"/>
        <w:numPr>
          <w:ilvl w:val="0"/>
          <w:numId w:val="6"/>
        </w:numPr>
        <w:autoSpaceDE/>
        <w:autoSpaceDN/>
        <w:spacing w:after="160" w:line="259" w:lineRule="auto"/>
        <w:jc w:val="both"/>
        <w:rPr>
          <w:rFonts w:eastAsiaTheme="minorHAnsi" w:cs="Times New Roman"/>
          <w:kern w:val="0"/>
          <w:sz w:val="24"/>
          <w:szCs w:val="22"/>
          <w:lang w:eastAsia="en-US"/>
        </w:rPr>
      </w:pPr>
      <w:r w:rsidRPr="000750E9">
        <w:rPr>
          <w:rFonts w:eastAsiaTheme="minorHAnsi" w:cs="Times New Roman"/>
          <w:kern w:val="0"/>
          <w:sz w:val="24"/>
          <w:szCs w:val="22"/>
          <w:lang w:eastAsia="en-US"/>
        </w:rPr>
        <w:t xml:space="preserve">Kategorie A: </w:t>
      </w:r>
      <w:r w:rsidR="00EA5158" w:rsidRPr="000750E9">
        <w:rPr>
          <w:rFonts w:eastAsiaTheme="minorHAnsi" w:cs="Times New Roman"/>
          <w:kern w:val="0"/>
          <w:sz w:val="24"/>
          <w:szCs w:val="22"/>
          <w:lang w:eastAsia="en-US"/>
        </w:rPr>
        <w:t>f</w:t>
      </w:r>
      <w:r w:rsidR="0049631C" w:rsidRPr="000750E9">
        <w:rPr>
          <w:rFonts w:eastAsiaTheme="minorHAnsi" w:cs="Times New Roman"/>
          <w:kern w:val="0"/>
          <w:sz w:val="24"/>
          <w:szCs w:val="22"/>
          <w:lang w:eastAsia="en-US"/>
        </w:rPr>
        <w:t>akulty FT, FAI, FMK, FHS a FaME</w:t>
      </w:r>
      <w:r w:rsidRPr="000750E9">
        <w:rPr>
          <w:rFonts w:eastAsiaTheme="minorHAnsi" w:cs="Times New Roman"/>
          <w:kern w:val="0"/>
          <w:sz w:val="24"/>
          <w:szCs w:val="22"/>
          <w:lang w:eastAsia="en-US"/>
        </w:rPr>
        <w:t xml:space="preserve">, </w:t>
      </w:r>
      <w:r w:rsidR="00EA5158" w:rsidRPr="000750E9">
        <w:rPr>
          <w:rFonts w:eastAsiaTheme="minorHAnsi" w:cs="Times New Roman"/>
          <w:kern w:val="0"/>
          <w:sz w:val="24"/>
          <w:szCs w:val="22"/>
          <w:lang w:eastAsia="en-US"/>
        </w:rPr>
        <w:t xml:space="preserve">odvod stanoven </w:t>
      </w:r>
      <w:r w:rsidR="00FD181F">
        <w:rPr>
          <w:rFonts w:eastAsiaTheme="minorHAnsi" w:cs="Times New Roman"/>
          <w:kern w:val="0"/>
          <w:sz w:val="24"/>
          <w:szCs w:val="22"/>
          <w:lang w:eastAsia="en-US"/>
        </w:rPr>
        <w:t xml:space="preserve">pro každou fakultu </w:t>
      </w:r>
      <w:r w:rsidR="00EA5158" w:rsidRPr="000750E9">
        <w:rPr>
          <w:rFonts w:eastAsiaTheme="minorHAnsi" w:cs="Times New Roman"/>
          <w:kern w:val="0"/>
          <w:sz w:val="24"/>
          <w:szCs w:val="22"/>
          <w:lang w:eastAsia="en-US"/>
        </w:rPr>
        <w:t>ve shodné výši</w:t>
      </w:r>
      <w:r w:rsidRPr="000750E9">
        <w:rPr>
          <w:rFonts w:eastAsiaTheme="minorHAnsi" w:cs="Times New Roman"/>
          <w:kern w:val="0"/>
          <w:sz w:val="24"/>
          <w:szCs w:val="22"/>
          <w:lang w:eastAsia="en-US"/>
        </w:rPr>
        <w:t xml:space="preserve"> (</w:t>
      </w:r>
      <w:r w:rsidR="00FD2020">
        <w:rPr>
          <w:rFonts w:eastAsiaTheme="minorHAnsi" w:cs="Times New Roman"/>
          <w:kern w:val="0"/>
          <w:sz w:val="24"/>
          <w:szCs w:val="22"/>
          <w:lang w:eastAsia="en-US"/>
        </w:rPr>
        <w:t xml:space="preserve">počet </w:t>
      </w:r>
      <w:r w:rsidRPr="000750E9">
        <w:rPr>
          <w:rFonts w:eastAsiaTheme="minorHAnsi" w:cs="Times New Roman"/>
          <w:kern w:val="0"/>
          <w:sz w:val="24"/>
          <w:szCs w:val="22"/>
          <w:lang w:eastAsia="en-US"/>
        </w:rPr>
        <w:t>podíl</w:t>
      </w:r>
      <w:r w:rsidR="00FD2020">
        <w:rPr>
          <w:rFonts w:eastAsiaTheme="minorHAnsi" w:cs="Times New Roman"/>
          <w:kern w:val="0"/>
          <w:sz w:val="24"/>
          <w:szCs w:val="22"/>
          <w:lang w:eastAsia="en-US"/>
        </w:rPr>
        <w:t>ů</w:t>
      </w:r>
      <w:r w:rsidRPr="000750E9">
        <w:rPr>
          <w:rFonts w:eastAsiaTheme="minorHAnsi" w:cs="Times New Roman"/>
          <w:kern w:val="0"/>
          <w:sz w:val="24"/>
          <w:szCs w:val="22"/>
          <w:lang w:eastAsia="en-US"/>
        </w:rPr>
        <w:t xml:space="preserve"> </w:t>
      </w:r>
      <w:r w:rsidR="00FD181F">
        <w:rPr>
          <w:rFonts w:eastAsiaTheme="minorHAnsi" w:cs="Times New Roman"/>
          <w:kern w:val="0"/>
          <w:sz w:val="24"/>
          <w:szCs w:val="22"/>
          <w:lang w:eastAsia="en-US"/>
        </w:rPr>
        <w:t xml:space="preserve">každé fakulty: </w:t>
      </w:r>
      <w:r w:rsidRPr="000750E9">
        <w:rPr>
          <w:rFonts w:eastAsiaTheme="minorHAnsi" w:cs="Times New Roman"/>
          <w:kern w:val="0"/>
          <w:sz w:val="24"/>
          <w:szCs w:val="22"/>
          <w:lang w:eastAsia="en-US"/>
        </w:rPr>
        <w:t>3)</w:t>
      </w:r>
      <w:r w:rsidR="00EA5158" w:rsidRPr="000750E9">
        <w:rPr>
          <w:rFonts w:eastAsiaTheme="minorHAnsi" w:cs="Times New Roman"/>
          <w:kern w:val="0"/>
          <w:sz w:val="24"/>
          <w:szCs w:val="22"/>
          <w:lang w:eastAsia="en-US"/>
        </w:rPr>
        <w:t>.</w:t>
      </w:r>
    </w:p>
    <w:p w:rsidR="000750E9" w:rsidRPr="000750E9" w:rsidRDefault="000750E9" w:rsidP="000750E9">
      <w:pPr>
        <w:pStyle w:val="Odstavecseseznamem"/>
        <w:numPr>
          <w:ilvl w:val="0"/>
          <w:numId w:val="6"/>
        </w:numPr>
        <w:autoSpaceDE/>
        <w:autoSpaceDN/>
        <w:spacing w:after="160" w:line="259" w:lineRule="auto"/>
        <w:jc w:val="both"/>
        <w:rPr>
          <w:rFonts w:eastAsiaTheme="minorHAnsi" w:cs="Times New Roman"/>
          <w:kern w:val="0"/>
          <w:sz w:val="24"/>
          <w:szCs w:val="22"/>
          <w:lang w:eastAsia="en-US"/>
        </w:rPr>
      </w:pPr>
      <w:r w:rsidRPr="000750E9">
        <w:rPr>
          <w:rFonts w:eastAsiaTheme="minorHAnsi" w:cs="Times New Roman"/>
          <w:kern w:val="0"/>
          <w:sz w:val="24"/>
          <w:szCs w:val="22"/>
          <w:lang w:eastAsia="en-US"/>
        </w:rPr>
        <w:t xml:space="preserve">Kategorie B: </w:t>
      </w:r>
      <w:r w:rsidR="000B4BD5" w:rsidRPr="000750E9">
        <w:rPr>
          <w:rFonts w:eastAsiaTheme="minorHAnsi" w:cs="Times New Roman"/>
          <w:kern w:val="0"/>
          <w:sz w:val="24"/>
          <w:szCs w:val="22"/>
          <w:lang w:eastAsia="en-US"/>
        </w:rPr>
        <w:t>fakult</w:t>
      </w:r>
      <w:r w:rsidRPr="000750E9">
        <w:rPr>
          <w:rFonts w:eastAsiaTheme="minorHAnsi" w:cs="Times New Roman"/>
          <w:kern w:val="0"/>
          <w:sz w:val="24"/>
          <w:szCs w:val="22"/>
          <w:lang w:eastAsia="en-US"/>
        </w:rPr>
        <w:t>a</w:t>
      </w:r>
      <w:r w:rsidR="000B4BD5" w:rsidRPr="000750E9">
        <w:rPr>
          <w:rFonts w:eastAsiaTheme="minorHAnsi" w:cs="Times New Roman"/>
          <w:kern w:val="0"/>
          <w:sz w:val="24"/>
          <w:szCs w:val="22"/>
          <w:lang w:eastAsia="en-US"/>
        </w:rPr>
        <w:t xml:space="preserve"> FLKŘ</w:t>
      </w:r>
      <w:r w:rsidRPr="000750E9">
        <w:rPr>
          <w:rFonts w:eastAsiaTheme="minorHAnsi" w:cs="Times New Roman"/>
          <w:kern w:val="0"/>
          <w:sz w:val="24"/>
          <w:szCs w:val="22"/>
          <w:lang w:eastAsia="en-US"/>
        </w:rPr>
        <w:t xml:space="preserve">, </w:t>
      </w:r>
      <w:r w:rsidR="00FD2020">
        <w:rPr>
          <w:rFonts w:eastAsiaTheme="minorHAnsi" w:cs="Times New Roman"/>
          <w:kern w:val="0"/>
          <w:sz w:val="24"/>
          <w:szCs w:val="22"/>
          <w:lang w:eastAsia="en-US"/>
        </w:rPr>
        <w:t xml:space="preserve">počet </w:t>
      </w:r>
      <w:r w:rsidRPr="000750E9">
        <w:rPr>
          <w:rFonts w:eastAsiaTheme="minorHAnsi" w:cs="Times New Roman"/>
          <w:kern w:val="0"/>
          <w:sz w:val="24"/>
          <w:szCs w:val="22"/>
          <w:lang w:eastAsia="en-US"/>
        </w:rPr>
        <w:t>podíl</w:t>
      </w:r>
      <w:r w:rsidR="00FD2020">
        <w:rPr>
          <w:rFonts w:eastAsiaTheme="minorHAnsi" w:cs="Times New Roman"/>
          <w:kern w:val="0"/>
          <w:sz w:val="24"/>
          <w:szCs w:val="22"/>
          <w:lang w:eastAsia="en-US"/>
        </w:rPr>
        <w:t>ů</w:t>
      </w:r>
      <w:r w:rsidRPr="000750E9">
        <w:rPr>
          <w:rFonts w:eastAsiaTheme="minorHAnsi" w:cs="Times New Roman"/>
          <w:kern w:val="0"/>
          <w:sz w:val="24"/>
          <w:szCs w:val="22"/>
          <w:lang w:eastAsia="en-US"/>
        </w:rPr>
        <w:t xml:space="preserve"> 2.</w:t>
      </w:r>
    </w:p>
    <w:p w:rsidR="000750E9" w:rsidRPr="000750E9" w:rsidRDefault="000750E9" w:rsidP="000750E9">
      <w:pPr>
        <w:pStyle w:val="Odstavecseseznamem"/>
        <w:numPr>
          <w:ilvl w:val="0"/>
          <w:numId w:val="6"/>
        </w:numPr>
        <w:autoSpaceDE/>
        <w:autoSpaceDN/>
        <w:spacing w:after="160" w:line="259" w:lineRule="auto"/>
        <w:jc w:val="both"/>
        <w:rPr>
          <w:rFonts w:eastAsiaTheme="minorHAnsi" w:cs="Times New Roman"/>
          <w:kern w:val="0"/>
          <w:sz w:val="24"/>
          <w:szCs w:val="22"/>
          <w:lang w:eastAsia="en-US"/>
        </w:rPr>
      </w:pPr>
      <w:r w:rsidRPr="000750E9">
        <w:rPr>
          <w:rFonts w:eastAsiaTheme="minorHAnsi" w:cs="Times New Roman"/>
          <w:kern w:val="0"/>
          <w:sz w:val="24"/>
          <w:szCs w:val="22"/>
          <w:lang w:eastAsia="en-US"/>
        </w:rPr>
        <w:t xml:space="preserve">Kategorie C: CPS, </w:t>
      </w:r>
      <w:r w:rsidR="00FD2020">
        <w:rPr>
          <w:rFonts w:eastAsiaTheme="minorHAnsi" w:cs="Times New Roman"/>
          <w:kern w:val="0"/>
          <w:sz w:val="24"/>
          <w:szCs w:val="22"/>
          <w:lang w:eastAsia="en-US"/>
        </w:rPr>
        <w:t xml:space="preserve">počet </w:t>
      </w:r>
      <w:r w:rsidRPr="000750E9">
        <w:rPr>
          <w:rFonts w:eastAsiaTheme="minorHAnsi" w:cs="Times New Roman"/>
          <w:kern w:val="0"/>
          <w:sz w:val="24"/>
          <w:szCs w:val="22"/>
          <w:lang w:eastAsia="en-US"/>
        </w:rPr>
        <w:t>podíl</w:t>
      </w:r>
      <w:r w:rsidR="00FD2020">
        <w:rPr>
          <w:rFonts w:eastAsiaTheme="minorHAnsi" w:cs="Times New Roman"/>
          <w:kern w:val="0"/>
          <w:sz w:val="24"/>
          <w:szCs w:val="22"/>
          <w:lang w:eastAsia="en-US"/>
        </w:rPr>
        <w:t>ů</w:t>
      </w:r>
      <w:r w:rsidRPr="000750E9">
        <w:rPr>
          <w:rFonts w:eastAsiaTheme="minorHAnsi" w:cs="Times New Roman"/>
          <w:kern w:val="0"/>
          <w:sz w:val="24"/>
          <w:szCs w:val="22"/>
          <w:lang w:eastAsia="en-US"/>
        </w:rPr>
        <w:t xml:space="preserve"> 1.</w:t>
      </w:r>
    </w:p>
    <w:p w:rsidR="00FD2020" w:rsidRDefault="000750E9" w:rsidP="0049631C">
      <w:pPr>
        <w:numPr>
          <w:ilvl w:val="0"/>
          <w:numId w:val="5"/>
        </w:numPr>
        <w:autoSpaceDE/>
        <w:autoSpaceDN/>
        <w:spacing w:after="160" w:line="259" w:lineRule="auto"/>
        <w:contextualSpacing/>
        <w:jc w:val="both"/>
        <w:rPr>
          <w:rFonts w:eastAsiaTheme="minorHAnsi" w:cs="Times New Roman"/>
          <w:kern w:val="0"/>
          <w:sz w:val="24"/>
          <w:szCs w:val="22"/>
          <w:lang w:eastAsia="en-US"/>
        </w:rPr>
      </w:pPr>
      <w:r>
        <w:rPr>
          <w:rFonts w:eastAsiaTheme="minorHAnsi" w:cs="Times New Roman"/>
          <w:kern w:val="0"/>
          <w:sz w:val="24"/>
          <w:szCs w:val="22"/>
          <w:lang w:eastAsia="en-US"/>
        </w:rPr>
        <w:t xml:space="preserve">Pro </w:t>
      </w:r>
      <w:r w:rsidR="00FD2020">
        <w:rPr>
          <w:rFonts w:eastAsiaTheme="minorHAnsi" w:cs="Times New Roman"/>
          <w:kern w:val="0"/>
          <w:sz w:val="24"/>
          <w:szCs w:val="22"/>
          <w:lang w:eastAsia="en-US"/>
        </w:rPr>
        <w:t xml:space="preserve">smluvně </w:t>
      </w:r>
      <w:r>
        <w:rPr>
          <w:rFonts w:eastAsiaTheme="minorHAnsi" w:cs="Times New Roman"/>
          <w:kern w:val="0"/>
          <w:sz w:val="24"/>
          <w:szCs w:val="22"/>
          <w:lang w:eastAsia="en-US"/>
        </w:rPr>
        <w:t xml:space="preserve">dosaženou kupní cenu </w:t>
      </w:r>
      <w:r w:rsidRPr="00FD2020">
        <w:rPr>
          <w:rFonts w:eastAsiaTheme="minorHAnsi" w:cs="Times New Roman"/>
          <w:b/>
          <w:kern w:val="0"/>
          <w:sz w:val="24"/>
          <w:szCs w:val="22"/>
          <w:lang w:eastAsia="en-US"/>
        </w:rPr>
        <w:t>KC</w:t>
      </w:r>
      <w:r>
        <w:rPr>
          <w:rFonts w:eastAsiaTheme="minorHAnsi" w:cs="Times New Roman"/>
          <w:kern w:val="0"/>
          <w:sz w:val="24"/>
          <w:szCs w:val="22"/>
          <w:lang w:eastAsia="en-US"/>
        </w:rPr>
        <w:t xml:space="preserve"> </w:t>
      </w:r>
      <w:r w:rsidR="00FD2020">
        <w:rPr>
          <w:rFonts w:eastAsiaTheme="minorHAnsi" w:cs="Times New Roman"/>
          <w:kern w:val="0"/>
          <w:sz w:val="24"/>
          <w:szCs w:val="22"/>
          <w:lang w:eastAsia="en-US"/>
        </w:rPr>
        <w:t xml:space="preserve">(v mil. Kč) bude výše mimořádného odvodu z prostředků organizačních jednotek rovna </w:t>
      </w:r>
      <w:r w:rsidR="00FD2020" w:rsidRPr="00FD2020">
        <w:rPr>
          <w:rFonts w:eastAsiaTheme="minorHAnsi" w:cs="Times New Roman"/>
          <w:b/>
          <w:kern w:val="0"/>
          <w:sz w:val="24"/>
          <w:szCs w:val="22"/>
          <w:lang w:eastAsia="en-US"/>
        </w:rPr>
        <w:t>(KC -17)</w:t>
      </w:r>
      <w:r w:rsidR="00FD2020">
        <w:rPr>
          <w:rFonts w:eastAsiaTheme="minorHAnsi" w:cs="Times New Roman"/>
          <w:b/>
          <w:kern w:val="0"/>
          <w:sz w:val="24"/>
          <w:szCs w:val="22"/>
          <w:lang w:eastAsia="en-US"/>
        </w:rPr>
        <w:t xml:space="preserve"> </w:t>
      </w:r>
      <w:r w:rsidR="00FD2020" w:rsidRPr="00FD2020">
        <w:rPr>
          <w:rFonts w:eastAsiaTheme="minorHAnsi" w:cs="Times New Roman"/>
          <w:kern w:val="0"/>
          <w:sz w:val="24"/>
          <w:szCs w:val="22"/>
          <w:lang w:eastAsia="en-US"/>
        </w:rPr>
        <w:t>v mil. Kč</w:t>
      </w:r>
      <w:r w:rsidR="00FD181F">
        <w:rPr>
          <w:rFonts w:eastAsiaTheme="minorHAnsi" w:cs="Times New Roman"/>
          <w:kern w:val="0"/>
          <w:sz w:val="24"/>
          <w:szCs w:val="22"/>
          <w:lang w:eastAsia="en-US"/>
        </w:rPr>
        <w:t>.</w:t>
      </w:r>
    </w:p>
    <w:p w:rsidR="00FD2020" w:rsidRDefault="00FD2020" w:rsidP="0049631C">
      <w:pPr>
        <w:numPr>
          <w:ilvl w:val="0"/>
          <w:numId w:val="5"/>
        </w:numPr>
        <w:autoSpaceDE/>
        <w:autoSpaceDN/>
        <w:spacing w:after="160" w:line="259" w:lineRule="auto"/>
        <w:contextualSpacing/>
        <w:jc w:val="both"/>
        <w:rPr>
          <w:rFonts w:eastAsiaTheme="minorHAnsi" w:cs="Times New Roman"/>
          <w:kern w:val="0"/>
          <w:sz w:val="24"/>
          <w:szCs w:val="22"/>
          <w:lang w:eastAsia="en-US"/>
        </w:rPr>
      </w:pPr>
      <w:r>
        <w:rPr>
          <w:rFonts w:eastAsiaTheme="minorHAnsi" w:cs="Times New Roman"/>
          <w:kern w:val="0"/>
          <w:sz w:val="24"/>
          <w:szCs w:val="22"/>
          <w:lang w:eastAsia="en-US"/>
        </w:rPr>
        <w:t xml:space="preserve">Finanční velikost </w:t>
      </w:r>
      <w:r w:rsidR="000B4BD5">
        <w:rPr>
          <w:rFonts w:eastAsiaTheme="minorHAnsi" w:cs="Times New Roman"/>
          <w:kern w:val="0"/>
          <w:sz w:val="24"/>
          <w:szCs w:val="22"/>
          <w:lang w:eastAsia="en-US"/>
        </w:rPr>
        <w:t>je</w:t>
      </w:r>
      <w:r>
        <w:rPr>
          <w:rFonts w:eastAsiaTheme="minorHAnsi" w:cs="Times New Roman"/>
          <w:kern w:val="0"/>
          <w:sz w:val="24"/>
          <w:szCs w:val="22"/>
          <w:lang w:eastAsia="en-US"/>
        </w:rPr>
        <w:t xml:space="preserve">dnoho podílu je </w:t>
      </w:r>
      <w:r w:rsidRPr="00FD181F">
        <w:rPr>
          <w:rFonts w:eastAsiaTheme="minorHAnsi" w:cs="Times New Roman"/>
          <w:b/>
          <w:kern w:val="0"/>
          <w:sz w:val="24"/>
          <w:szCs w:val="22"/>
          <w:lang w:eastAsia="en-US"/>
        </w:rPr>
        <w:t>(KC-17)/18</w:t>
      </w:r>
      <w:r>
        <w:rPr>
          <w:rFonts w:eastAsiaTheme="minorHAnsi" w:cs="Times New Roman"/>
          <w:kern w:val="0"/>
          <w:sz w:val="24"/>
          <w:szCs w:val="22"/>
          <w:lang w:eastAsia="en-US"/>
        </w:rPr>
        <w:t xml:space="preserve"> v mil. Kč</w:t>
      </w:r>
      <w:r w:rsidR="00FD181F">
        <w:rPr>
          <w:rFonts w:eastAsiaTheme="minorHAnsi" w:cs="Times New Roman"/>
          <w:kern w:val="0"/>
          <w:sz w:val="24"/>
          <w:szCs w:val="22"/>
          <w:lang w:eastAsia="en-US"/>
        </w:rPr>
        <w:t>.</w:t>
      </w:r>
    </w:p>
    <w:p w:rsidR="00FD181F" w:rsidRDefault="00FD181F" w:rsidP="0049631C">
      <w:pPr>
        <w:numPr>
          <w:ilvl w:val="0"/>
          <w:numId w:val="5"/>
        </w:numPr>
        <w:autoSpaceDE/>
        <w:autoSpaceDN/>
        <w:spacing w:after="160" w:line="259" w:lineRule="auto"/>
        <w:contextualSpacing/>
        <w:jc w:val="both"/>
        <w:rPr>
          <w:rFonts w:eastAsiaTheme="minorHAnsi" w:cs="Times New Roman"/>
          <w:kern w:val="0"/>
          <w:sz w:val="24"/>
          <w:szCs w:val="22"/>
          <w:lang w:eastAsia="en-US"/>
        </w:rPr>
      </w:pPr>
      <w:r>
        <w:rPr>
          <w:rFonts w:eastAsiaTheme="minorHAnsi" w:cs="Times New Roman"/>
          <w:kern w:val="0"/>
          <w:sz w:val="24"/>
          <w:szCs w:val="22"/>
          <w:lang w:eastAsia="en-US"/>
        </w:rPr>
        <w:t>Výše mimořádného odvodu pro výše uvedené organizační jednotky je rovna součinu finanční velikosti jednoho podílu a počtu podílů dané organizační jednotky.</w:t>
      </w:r>
    </w:p>
    <w:sectPr w:rsidR="00FD18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354" w:rsidRDefault="00095354" w:rsidP="00A86C87">
      <w:pPr>
        <w:spacing w:after="0"/>
      </w:pPr>
      <w:r>
        <w:separator/>
      </w:r>
    </w:p>
  </w:endnote>
  <w:endnote w:type="continuationSeparator" w:id="0">
    <w:p w:rsidR="00095354" w:rsidRDefault="00095354" w:rsidP="00A86C8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.PalatinoTTEE">
    <w:altName w:val="Times New Roman"/>
    <w:charset w:val="EE"/>
    <w:family w:val="roman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B0D" w:rsidRPr="00336021" w:rsidRDefault="00DA6B0D" w:rsidP="00DA6B0D">
    <w:pPr>
      <w:pBdr>
        <w:top w:val="thinThickSmallGap" w:sz="24" w:space="1" w:color="622423"/>
      </w:pBdr>
      <w:tabs>
        <w:tab w:val="right" w:pos="9072"/>
      </w:tabs>
      <w:autoSpaceDE/>
      <w:autoSpaceDN/>
      <w:spacing w:after="0"/>
      <w:rPr>
        <w:rFonts w:ascii="Arial" w:eastAsia="Calibri" w:hAnsi="Arial" w:cs="Arial"/>
        <w:b/>
        <w:i/>
        <w:kern w:val="0"/>
        <w:szCs w:val="24"/>
        <w:lang w:val="x-none"/>
      </w:rPr>
    </w:pPr>
    <w:r w:rsidRPr="00336021">
      <w:rPr>
        <w:rFonts w:ascii="Arial" w:eastAsia="Calibri" w:hAnsi="Arial" w:cs="Arial"/>
        <w:b/>
        <w:i/>
        <w:kern w:val="0"/>
        <w:szCs w:val="24"/>
      </w:rPr>
      <w:t xml:space="preserve">Verze:  </w:t>
    </w:r>
    <w:r w:rsidR="00336021">
      <w:rPr>
        <w:rFonts w:ascii="Arial" w:eastAsia="Calibri" w:hAnsi="Arial" w:cs="Arial"/>
        <w:b/>
        <w:i/>
        <w:kern w:val="0"/>
        <w:szCs w:val="24"/>
      </w:rPr>
      <w:t>30</w:t>
    </w:r>
    <w:r w:rsidRPr="00336021">
      <w:rPr>
        <w:rFonts w:ascii="Arial" w:eastAsia="Calibri" w:hAnsi="Arial" w:cs="Arial"/>
        <w:b/>
        <w:i/>
        <w:kern w:val="0"/>
        <w:szCs w:val="24"/>
      </w:rPr>
      <w:t xml:space="preserve">. březen 2021                                                                                                          </w:t>
    </w:r>
    <w:r w:rsidRPr="00336021">
      <w:rPr>
        <w:rFonts w:ascii="Arial" w:eastAsia="Calibri" w:hAnsi="Arial" w:cs="Arial"/>
        <w:b/>
        <w:i/>
        <w:kern w:val="0"/>
        <w:szCs w:val="24"/>
        <w:lang w:val="x-none"/>
      </w:rPr>
      <w:t>Str</w:t>
    </w:r>
    <w:r w:rsidR="00336021">
      <w:rPr>
        <w:rFonts w:ascii="Arial" w:eastAsia="Calibri" w:hAnsi="Arial" w:cs="Arial"/>
        <w:b/>
        <w:i/>
        <w:kern w:val="0"/>
        <w:szCs w:val="24"/>
      </w:rPr>
      <w:t>ana:</w:t>
    </w:r>
    <w:r w:rsidRPr="00336021">
      <w:rPr>
        <w:rFonts w:ascii="Arial" w:eastAsia="Calibri" w:hAnsi="Arial" w:cs="Arial"/>
        <w:b/>
        <w:i/>
        <w:kern w:val="0"/>
        <w:szCs w:val="24"/>
        <w:lang w:val="x-none"/>
      </w:rPr>
      <w:t xml:space="preserve"> </w:t>
    </w:r>
    <w:r w:rsidRPr="00336021">
      <w:rPr>
        <w:rFonts w:ascii="Arial" w:eastAsia="Calibri" w:hAnsi="Arial" w:cs="Arial"/>
        <w:b/>
        <w:i/>
        <w:kern w:val="0"/>
        <w:szCs w:val="24"/>
        <w:lang w:val="x-none"/>
      </w:rPr>
      <w:fldChar w:fldCharType="begin"/>
    </w:r>
    <w:r w:rsidRPr="00336021">
      <w:rPr>
        <w:rFonts w:ascii="Arial" w:eastAsia="Calibri" w:hAnsi="Arial" w:cs="Arial"/>
        <w:b/>
        <w:i/>
        <w:kern w:val="0"/>
        <w:szCs w:val="24"/>
        <w:lang w:val="x-none"/>
      </w:rPr>
      <w:instrText xml:space="preserve"> PAGE   \* MERGEFORMAT </w:instrText>
    </w:r>
    <w:r w:rsidRPr="00336021">
      <w:rPr>
        <w:rFonts w:ascii="Arial" w:eastAsia="Calibri" w:hAnsi="Arial" w:cs="Arial"/>
        <w:b/>
        <w:i/>
        <w:kern w:val="0"/>
        <w:szCs w:val="24"/>
        <w:lang w:val="x-none"/>
      </w:rPr>
      <w:fldChar w:fldCharType="separate"/>
    </w:r>
    <w:r w:rsidR="00095354">
      <w:rPr>
        <w:rFonts w:ascii="Arial" w:eastAsia="Calibri" w:hAnsi="Arial" w:cs="Arial"/>
        <w:b/>
        <w:i/>
        <w:noProof/>
        <w:kern w:val="0"/>
        <w:szCs w:val="24"/>
        <w:lang w:val="x-none"/>
      </w:rPr>
      <w:t>1</w:t>
    </w:r>
    <w:r w:rsidRPr="00336021">
      <w:rPr>
        <w:rFonts w:ascii="Arial" w:eastAsia="Calibri" w:hAnsi="Arial" w:cs="Arial"/>
        <w:b/>
        <w:i/>
        <w:kern w:val="0"/>
        <w:szCs w:val="24"/>
        <w:lang w:val="x-none"/>
      </w:rPr>
      <w:fldChar w:fldCharType="end"/>
    </w:r>
  </w:p>
  <w:p w:rsidR="00DA6B0D" w:rsidRDefault="00DA6B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354" w:rsidRDefault="00095354" w:rsidP="00A86C87">
      <w:pPr>
        <w:spacing w:after="0"/>
      </w:pPr>
      <w:r>
        <w:separator/>
      </w:r>
    </w:p>
  </w:footnote>
  <w:footnote w:type="continuationSeparator" w:id="0">
    <w:p w:rsidR="00095354" w:rsidRDefault="00095354" w:rsidP="00A86C8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C87" w:rsidRPr="00336021" w:rsidRDefault="00A86C87" w:rsidP="00A86C87">
    <w:pPr>
      <w:tabs>
        <w:tab w:val="center" w:pos="4536"/>
        <w:tab w:val="right" w:pos="9072"/>
      </w:tabs>
      <w:autoSpaceDE/>
      <w:autoSpaceDN/>
      <w:spacing w:after="0"/>
      <w:rPr>
        <w:rFonts w:ascii="Arial" w:eastAsia="Calibri" w:hAnsi="Arial" w:cs="Arial"/>
        <w:b/>
        <w:i/>
        <w:kern w:val="0"/>
        <w:sz w:val="24"/>
        <w:szCs w:val="22"/>
      </w:rPr>
    </w:pPr>
    <w:r w:rsidRPr="00336021">
      <w:rPr>
        <w:rFonts w:ascii="Arial" w:eastAsia="Calibri" w:hAnsi="Arial" w:cs="Arial"/>
        <w:b/>
        <w:i/>
        <w:kern w:val="0"/>
        <w:sz w:val="24"/>
        <w:szCs w:val="22"/>
        <w:lang w:val="x-none"/>
      </w:rPr>
      <w:t xml:space="preserve">UTB ve Zlíně                                       Pravidla rozpočtu </w:t>
    </w:r>
    <w:r w:rsidRPr="00336021">
      <w:rPr>
        <w:rFonts w:ascii="Arial" w:eastAsia="Calibri" w:hAnsi="Arial" w:cs="Arial"/>
        <w:b/>
        <w:i/>
        <w:kern w:val="0"/>
        <w:sz w:val="24"/>
        <w:szCs w:val="22"/>
      </w:rPr>
      <w:t xml:space="preserve">pro </w:t>
    </w:r>
    <w:r w:rsidRPr="00336021">
      <w:rPr>
        <w:rFonts w:ascii="Arial" w:eastAsia="Calibri" w:hAnsi="Arial" w:cs="Arial"/>
        <w:b/>
        <w:i/>
        <w:kern w:val="0"/>
        <w:sz w:val="24"/>
        <w:szCs w:val="22"/>
        <w:lang w:val="x-none"/>
      </w:rPr>
      <w:t>rok 20</w:t>
    </w:r>
    <w:r w:rsidRPr="00336021">
      <w:rPr>
        <w:rFonts w:ascii="Arial" w:eastAsia="Calibri" w:hAnsi="Arial" w:cs="Arial"/>
        <w:b/>
        <w:i/>
        <w:kern w:val="0"/>
        <w:sz w:val="24"/>
        <w:szCs w:val="22"/>
      </w:rPr>
      <w:t>21 dodatek č. 1</w:t>
    </w:r>
  </w:p>
  <w:p w:rsidR="00D214E1" w:rsidRPr="00A86C87" w:rsidRDefault="00B8498E">
    <w:pPr>
      <w:pStyle w:val="Zhlav"/>
      <w:rPr>
        <w:rFonts w:ascii="Arial" w:hAnsi="Arial" w:cs="Arial"/>
        <w:b/>
        <w:lang w:val="cs-CZ"/>
      </w:rPr>
    </w:pPr>
    <w:r w:rsidRPr="00A86C87">
      <w:rPr>
        <w:rFonts w:ascii="Arial" w:hAnsi="Arial" w:cs="Arial"/>
        <w:b/>
        <w:lang w:val="cs-CZ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05762"/>
    <w:multiLevelType w:val="hybridMultilevel"/>
    <w:tmpl w:val="6EA8AA3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1B5E05"/>
    <w:multiLevelType w:val="hybridMultilevel"/>
    <w:tmpl w:val="49B4D4E4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0F5919"/>
    <w:multiLevelType w:val="hybridMultilevel"/>
    <w:tmpl w:val="9CD2C260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F59478D"/>
    <w:multiLevelType w:val="hybridMultilevel"/>
    <w:tmpl w:val="4086CC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5E0D20"/>
    <w:multiLevelType w:val="hybridMultilevel"/>
    <w:tmpl w:val="681EE6C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EDD43FF"/>
    <w:multiLevelType w:val="hybridMultilevel"/>
    <w:tmpl w:val="A1DC09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E3A"/>
    <w:rsid w:val="000578AF"/>
    <w:rsid w:val="000750E9"/>
    <w:rsid w:val="00095354"/>
    <w:rsid w:val="000A4722"/>
    <w:rsid w:val="000B4BD5"/>
    <w:rsid w:val="00115EDD"/>
    <w:rsid w:val="001A17E4"/>
    <w:rsid w:val="00231E8B"/>
    <w:rsid w:val="00336021"/>
    <w:rsid w:val="0049631C"/>
    <w:rsid w:val="004976B4"/>
    <w:rsid w:val="00664668"/>
    <w:rsid w:val="007C1E3A"/>
    <w:rsid w:val="007E3753"/>
    <w:rsid w:val="008530E6"/>
    <w:rsid w:val="008D7912"/>
    <w:rsid w:val="00A11CFE"/>
    <w:rsid w:val="00A12DD3"/>
    <w:rsid w:val="00A86C87"/>
    <w:rsid w:val="00B8498E"/>
    <w:rsid w:val="00BE1BF8"/>
    <w:rsid w:val="00C54905"/>
    <w:rsid w:val="00D5374C"/>
    <w:rsid w:val="00DA6B0D"/>
    <w:rsid w:val="00E57A2B"/>
    <w:rsid w:val="00EA16BA"/>
    <w:rsid w:val="00EA5158"/>
    <w:rsid w:val="00FD181F"/>
    <w:rsid w:val="00FD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CC51AC1-B42C-43F0-BDDF-64AAF46B6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374C"/>
    <w:pPr>
      <w:autoSpaceDE w:val="0"/>
      <w:autoSpaceDN w:val="0"/>
      <w:spacing w:after="120" w:line="240" w:lineRule="auto"/>
    </w:pPr>
    <w:rPr>
      <w:rFonts w:ascii="Times New Roman" w:hAnsi="Times New Roman" w:cs=".PalatinoTTEE"/>
      <w:kern w:val="28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autoRedefine/>
    <w:uiPriority w:val="99"/>
    <w:unhideWhenUsed/>
    <w:rsid w:val="00D5374C"/>
    <w:pPr>
      <w:autoSpaceDE/>
      <w:autoSpaceDN/>
      <w:spacing w:after="0"/>
    </w:pPr>
    <w:rPr>
      <w:rFonts w:cstheme="minorBidi"/>
      <w:kern w:val="0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D5374C"/>
    <w:rPr>
      <w:rFonts w:ascii="Times New Roman" w:eastAsia="Times New Roman" w:hAnsi="Times New Roman"/>
      <w:sz w:val="21"/>
      <w:szCs w:val="21"/>
    </w:rPr>
  </w:style>
  <w:style w:type="paragraph" w:styleId="Zhlav">
    <w:name w:val="header"/>
    <w:basedOn w:val="Normln"/>
    <w:link w:val="ZhlavChar"/>
    <w:rsid w:val="007C1E3A"/>
    <w:pPr>
      <w:tabs>
        <w:tab w:val="center" w:pos="4536"/>
        <w:tab w:val="right" w:pos="9072"/>
      </w:tabs>
      <w:autoSpaceDE/>
      <w:autoSpaceDN/>
      <w:spacing w:after="0"/>
    </w:pPr>
    <w:rPr>
      <w:rFonts w:eastAsia="Calibri" w:cs="Times New Roman"/>
      <w:kern w:val="0"/>
      <w:sz w:val="24"/>
      <w:szCs w:val="24"/>
      <w:lang w:val="x-none"/>
    </w:rPr>
  </w:style>
  <w:style w:type="character" w:customStyle="1" w:styleId="ZhlavChar">
    <w:name w:val="Záhlaví Char"/>
    <w:basedOn w:val="Standardnpsmoodstavce"/>
    <w:link w:val="Zhlav"/>
    <w:rsid w:val="007C1E3A"/>
    <w:rPr>
      <w:rFonts w:ascii="Times New Roman" w:eastAsia="Calibri" w:hAnsi="Times New Roman" w:cs="Times New Roman"/>
      <w:sz w:val="24"/>
      <w:szCs w:val="24"/>
      <w:lang w:val="x-none" w:eastAsia="cs-CZ"/>
    </w:rPr>
  </w:style>
  <w:style w:type="paragraph" w:styleId="Zpat">
    <w:name w:val="footer"/>
    <w:basedOn w:val="Normln"/>
    <w:link w:val="ZpatChar"/>
    <w:uiPriority w:val="99"/>
    <w:unhideWhenUsed/>
    <w:rsid w:val="00A86C8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86C87"/>
    <w:rPr>
      <w:rFonts w:ascii="Times New Roman" w:hAnsi="Times New Roman" w:cs=".PalatinoTTEE"/>
      <w:kern w:val="28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750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446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RNDr. Alexander Černý</dc:creator>
  <cp:keywords/>
  <dc:description/>
  <cp:lastModifiedBy>Vladimír Sedlařík</cp:lastModifiedBy>
  <cp:revision>2</cp:revision>
  <dcterms:created xsi:type="dcterms:W3CDTF">2021-03-30T17:54:00Z</dcterms:created>
  <dcterms:modified xsi:type="dcterms:W3CDTF">2021-03-30T17:54:00Z</dcterms:modified>
</cp:coreProperties>
</file>