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335" w:rsidRDefault="00C14335">
      <w:pPr>
        <w:jc w:val="right"/>
        <w:rPr>
          <w:rFonts w:cs="Arial"/>
          <w:b/>
          <w:color w:val="7030A0"/>
          <w:sz w:val="32"/>
        </w:rPr>
      </w:pPr>
    </w:p>
    <w:p w:rsidR="00C14335" w:rsidRDefault="00C14335">
      <w:pPr>
        <w:ind w:right="113"/>
        <w:jc w:val="right"/>
        <w:rPr>
          <w:rFonts w:cs="Arial"/>
          <w:b/>
          <w:color w:val="7030A0"/>
          <w:sz w:val="32"/>
        </w:rPr>
      </w:pPr>
    </w:p>
    <w:p w:rsidR="00C14335" w:rsidRDefault="000B67FE">
      <w:pPr>
        <w:ind w:right="113"/>
        <w:jc w:val="right"/>
        <w:rPr>
          <w:rFonts w:cs="Arial"/>
          <w:b/>
          <w:color w:val="7030A0"/>
          <w:sz w:val="32"/>
        </w:rPr>
      </w:pPr>
      <w:r>
        <w:rPr>
          <w:noProof/>
          <w:lang w:eastAsia="cs-CZ"/>
        </w:rPr>
        <w:drawing>
          <wp:inline distT="0" distB="0" distL="0" distR="0">
            <wp:extent cx="4505960" cy="1066800"/>
            <wp:effectExtent l="0" t="0" r="0" b="0"/>
            <wp:docPr id="1"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9"/>
                    <pic:cNvPicPr>
                      <a:picLocks noChangeAspect="1" noChangeArrowheads="1"/>
                    </pic:cNvPicPr>
                  </pic:nvPicPr>
                  <pic:blipFill>
                    <a:blip r:embed="rId7"/>
                    <a:stretch>
                      <a:fillRect/>
                    </a:stretch>
                  </pic:blipFill>
                  <pic:spPr bwMode="auto">
                    <a:xfrm>
                      <a:off x="0" y="0"/>
                      <a:ext cx="4505960" cy="1066800"/>
                    </a:xfrm>
                    <a:prstGeom prst="rect">
                      <a:avLst/>
                    </a:prstGeom>
                  </pic:spPr>
                </pic:pic>
              </a:graphicData>
            </a:graphic>
          </wp:inline>
        </w:drawing>
      </w:r>
    </w:p>
    <w:p w:rsidR="00C14335" w:rsidRDefault="00C14335">
      <w:pPr>
        <w:ind w:right="113"/>
        <w:jc w:val="right"/>
        <w:rPr>
          <w:rFonts w:cs="Arial"/>
          <w:b/>
          <w:color w:val="7030A0"/>
          <w:sz w:val="32"/>
        </w:rPr>
      </w:pPr>
    </w:p>
    <w:p w:rsidR="00C14335" w:rsidRDefault="00C14335">
      <w:pPr>
        <w:ind w:right="113"/>
        <w:jc w:val="right"/>
        <w:rPr>
          <w:rFonts w:cs="Arial"/>
          <w:b/>
          <w:color w:val="7030A0"/>
          <w:sz w:val="32"/>
        </w:rPr>
      </w:pPr>
    </w:p>
    <w:p w:rsidR="00C14335" w:rsidRDefault="00C14335">
      <w:pPr>
        <w:ind w:right="113"/>
        <w:jc w:val="right"/>
        <w:rPr>
          <w:rFonts w:cs="Arial"/>
          <w:b/>
          <w:color w:val="7030A0"/>
          <w:sz w:val="32"/>
        </w:rPr>
      </w:pPr>
    </w:p>
    <w:p w:rsidR="00C14335" w:rsidRDefault="00C14335">
      <w:pPr>
        <w:ind w:right="113"/>
        <w:jc w:val="right"/>
        <w:rPr>
          <w:rFonts w:cs="Arial"/>
          <w:b/>
          <w:color w:val="7030A0"/>
          <w:sz w:val="32"/>
        </w:rPr>
      </w:pPr>
    </w:p>
    <w:p w:rsidR="00C14335" w:rsidRDefault="00C14335">
      <w:pPr>
        <w:ind w:right="113"/>
        <w:jc w:val="right"/>
        <w:rPr>
          <w:rFonts w:cs="Arial"/>
          <w:b/>
          <w:color w:val="7030A0"/>
          <w:sz w:val="32"/>
        </w:rPr>
      </w:pPr>
    </w:p>
    <w:p w:rsidR="00C14335" w:rsidRDefault="00C14335">
      <w:pPr>
        <w:ind w:right="113"/>
        <w:jc w:val="right"/>
        <w:rPr>
          <w:rFonts w:cs="Arial"/>
          <w:b/>
          <w:color w:val="7030A0"/>
          <w:sz w:val="32"/>
        </w:rPr>
      </w:pPr>
    </w:p>
    <w:p w:rsidR="00C14335" w:rsidRDefault="000B67FE">
      <w:pPr>
        <w:ind w:right="454"/>
        <w:jc w:val="right"/>
        <w:rPr>
          <w:rFonts w:cs="Arial"/>
          <w:b/>
          <w:color w:val="C45911" w:themeColor="accent2" w:themeShade="BF"/>
          <w:sz w:val="56"/>
          <w:szCs w:val="56"/>
        </w:rPr>
      </w:pPr>
      <w:r>
        <w:rPr>
          <w:rFonts w:cs="Arial"/>
          <w:b/>
          <w:color w:val="C45911" w:themeColor="accent2" w:themeShade="BF"/>
          <w:sz w:val="56"/>
          <w:szCs w:val="56"/>
        </w:rPr>
        <w:t xml:space="preserve">Sebehodnotící zpráva </w:t>
      </w:r>
    </w:p>
    <w:p w:rsidR="00C14335" w:rsidRDefault="000B67FE">
      <w:pPr>
        <w:ind w:right="454"/>
        <w:jc w:val="right"/>
        <w:rPr>
          <w:rFonts w:cs="Arial"/>
          <w:b/>
          <w:color w:val="C45911" w:themeColor="accent2" w:themeShade="BF"/>
          <w:sz w:val="56"/>
          <w:szCs w:val="56"/>
        </w:rPr>
      </w:pPr>
      <w:r>
        <w:rPr>
          <w:rFonts w:cs="Arial"/>
          <w:b/>
          <w:color w:val="C45911" w:themeColor="accent2" w:themeShade="BF"/>
          <w:sz w:val="56"/>
          <w:szCs w:val="56"/>
        </w:rPr>
        <w:t>studijního programu</w:t>
      </w:r>
    </w:p>
    <w:p w:rsidR="00C14335" w:rsidRDefault="00C14335">
      <w:pPr>
        <w:ind w:right="454"/>
        <w:jc w:val="right"/>
        <w:rPr>
          <w:rFonts w:cs="Arial"/>
          <w:b/>
          <w:color w:val="7030A0"/>
          <w:sz w:val="40"/>
        </w:rPr>
      </w:pPr>
    </w:p>
    <w:p w:rsidR="00C14335" w:rsidRDefault="000B67FE">
      <w:pPr>
        <w:ind w:right="454"/>
        <w:jc w:val="right"/>
        <w:rPr>
          <w:rFonts w:cs="Arial"/>
          <w:b/>
          <w:color w:val="000000" w:themeColor="text1"/>
          <w:sz w:val="36"/>
          <w:szCs w:val="36"/>
        </w:rPr>
      </w:pPr>
      <w:r>
        <w:rPr>
          <w:rFonts w:cs="Arial"/>
          <w:b/>
          <w:color w:val="000000" w:themeColor="text1"/>
          <w:sz w:val="36"/>
          <w:szCs w:val="36"/>
        </w:rPr>
        <w:t xml:space="preserve">Bakalářský studijní program </w:t>
      </w:r>
    </w:p>
    <w:p w:rsidR="00C14335" w:rsidRDefault="000B67FE">
      <w:pPr>
        <w:ind w:right="454"/>
        <w:jc w:val="right"/>
        <w:rPr>
          <w:rFonts w:cs="Arial"/>
          <w:b/>
          <w:color w:val="000000" w:themeColor="text1"/>
          <w:sz w:val="36"/>
          <w:szCs w:val="36"/>
        </w:rPr>
      </w:pPr>
      <w:r>
        <w:rPr>
          <w:rFonts w:eastAsia="Calibri" w:cs="Arial"/>
          <w:b/>
          <w:color w:val="000000" w:themeColor="text1"/>
          <w:sz w:val="36"/>
          <w:szCs w:val="36"/>
        </w:rPr>
        <w:t>Anglický</w:t>
      </w:r>
      <w:r>
        <w:rPr>
          <w:rFonts w:cs="Arial"/>
          <w:b/>
          <w:color w:val="000000" w:themeColor="text1"/>
          <w:sz w:val="36"/>
          <w:szCs w:val="36"/>
        </w:rPr>
        <w:t xml:space="preserve"> jazyk pro manažerskou praxi</w:t>
      </w:r>
    </w:p>
    <w:p w:rsidR="00C14335" w:rsidRDefault="00C14335">
      <w:pPr>
        <w:ind w:right="454"/>
        <w:jc w:val="right"/>
        <w:rPr>
          <w:rFonts w:cs="Arial"/>
          <w:b/>
          <w:color w:val="7030A0"/>
          <w:sz w:val="40"/>
        </w:rPr>
      </w:pPr>
    </w:p>
    <w:p w:rsidR="00C14335" w:rsidRDefault="000B67FE">
      <w:pPr>
        <w:ind w:right="454"/>
        <w:jc w:val="right"/>
        <w:rPr>
          <w:rFonts w:cs="Arial"/>
          <w:color w:val="C45911" w:themeColor="accent2" w:themeShade="BF"/>
          <w:sz w:val="38"/>
          <w:szCs w:val="38"/>
        </w:rPr>
      </w:pPr>
      <w:r>
        <w:rPr>
          <w:rFonts w:cs="Arial"/>
          <w:color w:val="C45911" w:themeColor="accent2" w:themeShade="BF"/>
          <w:sz w:val="38"/>
          <w:szCs w:val="38"/>
        </w:rPr>
        <w:t xml:space="preserve">Univerzita Tomáše Bati ve Zlíně </w:t>
      </w:r>
    </w:p>
    <w:p w:rsidR="00C14335" w:rsidRDefault="00C14335">
      <w:pPr>
        <w:ind w:right="454"/>
        <w:jc w:val="right"/>
        <w:rPr>
          <w:rFonts w:cs="Arial"/>
          <w:color w:val="7030A0"/>
          <w:sz w:val="38"/>
          <w:szCs w:val="38"/>
        </w:rPr>
      </w:pPr>
    </w:p>
    <w:p w:rsidR="00C14335" w:rsidRDefault="000B67FE">
      <w:pPr>
        <w:ind w:right="454"/>
        <w:jc w:val="right"/>
        <w:rPr>
          <w:rFonts w:cs="Arial"/>
          <w:sz w:val="38"/>
          <w:szCs w:val="38"/>
        </w:rPr>
      </w:pPr>
      <w:r>
        <w:rPr>
          <w:rFonts w:cs="Arial"/>
          <w:sz w:val="38"/>
          <w:szCs w:val="38"/>
        </w:rPr>
        <w:t>Vyjádření k připomínkám hodnotitele</w:t>
      </w:r>
    </w:p>
    <w:p w:rsidR="00C14335" w:rsidRDefault="00C14335">
      <w:pPr>
        <w:ind w:right="454"/>
        <w:rPr>
          <w:rFonts w:cs="Arial"/>
          <w:b/>
          <w:color w:val="7030A0"/>
          <w:sz w:val="40"/>
          <w:szCs w:val="40"/>
        </w:rPr>
      </w:pPr>
    </w:p>
    <w:p w:rsidR="00C14335" w:rsidRDefault="00C14335">
      <w:pPr>
        <w:ind w:right="454"/>
        <w:jc w:val="right"/>
        <w:rPr>
          <w:rFonts w:cs="Arial"/>
          <w:b/>
          <w:color w:val="7030A0"/>
          <w:sz w:val="52"/>
        </w:rPr>
      </w:pPr>
    </w:p>
    <w:p w:rsidR="00C14335" w:rsidRDefault="000B67FE">
      <w:pPr>
        <w:ind w:right="454"/>
        <w:jc w:val="right"/>
        <w:rPr>
          <w:rFonts w:cs="Arial"/>
          <w:color w:val="C45911" w:themeColor="accent2" w:themeShade="BF"/>
          <w:sz w:val="44"/>
          <w:szCs w:val="44"/>
        </w:rPr>
      </w:pPr>
      <w:r>
        <w:rPr>
          <w:rFonts w:eastAsia="Calibri" w:cs="Arial"/>
          <w:color w:val="C45911" w:themeColor="accent2" w:themeShade="BF"/>
          <w:sz w:val="44"/>
          <w:szCs w:val="44"/>
        </w:rPr>
        <w:t>11</w:t>
      </w:r>
      <w:r>
        <w:rPr>
          <w:rFonts w:cs="Arial"/>
          <w:color w:val="C45911" w:themeColor="accent2" w:themeShade="BF"/>
          <w:sz w:val="44"/>
          <w:szCs w:val="44"/>
        </w:rPr>
        <w:t>/2022</w:t>
      </w:r>
    </w:p>
    <w:p w:rsidR="00C14335" w:rsidRDefault="00C14335">
      <w:pPr>
        <w:pStyle w:val="Bezmezer"/>
        <w:ind w:right="113"/>
        <w:rPr>
          <w:rFonts w:ascii="Arial" w:hAnsi="Arial" w:cs="Arial"/>
          <w:color w:val="800080"/>
        </w:rPr>
      </w:pPr>
    </w:p>
    <w:p w:rsidR="00C14335" w:rsidRDefault="00C14335">
      <w:pPr>
        <w:pStyle w:val="Bezmezer"/>
        <w:rPr>
          <w:rFonts w:ascii="Arial" w:hAnsi="Arial" w:cs="Arial"/>
          <w:b/>
          <w:color w:val="6D1F80"/>
        </w:rPr>
      </w:pPr>
    </w:p>
    <w:p w:rsidR="00C14335" w:rsidRDefault="00C14335">
      <w:pPr>
        <w:pStyle w:val="Bezmezer"/>
        <w:rPr>
          <w:rFonts w:ascii="Arial" w:hAnsi="Arial" w:cs="Arial"/>
          <w:b/>
          <w:color w:val="6D1F80"/>
        </w:rPr>
      </w:pPr>
    </w:p>
    <w:p w:rsidR="00C14335" w:rsidRDefault="00C14335">
      <w:pPr>
        <w:pStyle w:val="Bezmezer"/>
        <w:rPr>
          <w:rFonts w:ascii="Arial" w:hAnsi="Arial" w:cs="Arial"/>
          <w:b/>
          <w:color w:val="6D1F80"/>
        </w:rPr>
      </w:pPr>
    </w:p>
    <w:p w:rsidR="00C14335" w:rsidRDefault="00C14335">
      <w:pPr>
        <w:ind w:right="454"/>
        <w:rPr>
          <w:rFonts w:cs="Arial"/>
          <w:color w:val="7030A0"/>
          <w:sz w:val="38"/>
          <w:szCs w:val="38"/>
        </w:rPr>
      </w:pPr>
    </w:p>
    <w:p w:rsidR="00C14335" w:rsidRDefault="00C14335">
      <w:pPr>
        <w:ind w:right="454"/>
        <w:rPr>
          <w:rFonts w:cs="Arial"/>
          <w:color w:val="7030A0"/>
          <w:sz w:val="38"/>
          <w:szCs w:val="38"/>
        </w:rPr>
      </w:pPr>
    </w:p>
    <w:p w:rsidR="00C14335" w:rsidRDefault="00C14335">
      <w:pPr>
        <w:ind w:right="454"/>
        <w:rPr>
          <w:rFonts w:cs="Arial"/>
          <w:color w:val="7030A0"/>
          <w:sz w:val="32"/>
          <w:szCs w:val="32"/>
        </w:rPr>
      </w:pPr>
    </w:p>
    <w:p w:rsidR="00C14335" w:rsidRDefault="000B67FE">
      <w:pPr>
        <w:ind w:right="454"/>
        <w:rPr>
          <w:rFonts w:ascii="Arial Narrow" w:hAnsi="Arial Narrow" w:cs="Arial"/>
          <w:color w:val="C45911" w:themeColor="accent2" w:themeShade="BF"/>
          <w:sz w:val="32"/>
          <w:szCs w:val="32"/>
        </w:rPr>
      </w:pPr>
      <w:r>
        <w:rPr>
          <w:rFonts w:ascii="Arial Narrow" w:hAnsi="Arial Narrow" w:cs="Arial"/>
          <w:color w:val="C45911" w:themeColor="accent2" w:themeShade="BF"/>
          <w:sz w:val="32"/>
          <w:szCs w:val="32"/>
        </w:rPr>
        <w:t>Fakulta: Fakulta humanitních studií</w:t>
      </w:r>
    </w:p>
    <w:p w:rsidR="00C14335" w:rsidRDefault="000B67FE">
      <w:pPr>
        <w:ind w:right="454"/>
        <w:rPr>
          <w:rFonts w:ascii="Arial Narrow" w:hAnsi="Arial Narrow" w:cs="Arial"/>
          <w:color w:val="C45911" w:themeColor="accent2" w:themeShade="BF"/>
          <w:sz w:val="32"/>
          <w:szCs w:val="32"/>
        </w:rPr>
      </w:pPr>
      <w:r>
        <w:rPr>
          <w:rFonts w:ascii="Arial Narrow" w:hAnsi="Arial Narrow" w:cs="Arial"/>
          <w:color w:val="C45911" w:themeColor="accent2" w:themeShade="BF"/>
          <w:sz w:val="32"/>
          <w:szCs w:val="32"/>
        </w:rPr>
        <w:t xml:space="preserve">Studijní program: Filologie / Studijní obor: </w:t>
      </w:r>
      <w:r>
        <w:rPr>
          <w:rFonts w:ascii="Arial Narrow" w:eastAsia="Calibri" w:hAnsi="Arial Narrow" w:cs="Arial"/>
          <w:color w:val="C45911" w:themeColor="accent2" w:themeShade="BF"/>
          <w:sz w:val="32"/>
          <w:szCs w:val="32"/>
        </w:rPr>
        <w:t>Anglický</w:t>
      </w:r>
      <w:r>
        <w:rPr>
          <w:rFonts w:ascii="Arial Narrow" w:hAnsi="Arial Narrow" w:cs="Arial"/>
          <w:color w:val="C45911" w:themeColor="accent2" w:themeShade="BF"/>
          <w:sz w:val="32"/>
          <w:szCs w:val="32"/>
        </w:rPr>
        <w:t xml:space="preserve"> jazyk pro manažerskou praxi </w:t>
      </w:r>
    </w:p>
    <w:p w:rsidR="00C14335" w:rsidRDefault="000B67FE">
      <w:pPr>
        <w:ind w:right="454"/>
        <w:rPr>
          <w:rFonts w:ascii="Arial Narrow" w:hAnsi="Arial Narrow" w:cs="Arial"/>
          <w:color w:val="C45911" w:themeColor="accent2" w:themeShade="BF"/>
          <w:sz w:val="32"/>
          <w:szCs w:val="32"/>
        </w:rPr>
      </w:pPr>
      <w:r>
        <w:rPr>
          <w:rFonts w:ascii="Arial Narrow" w:hAnsi="Arial Narrow" w:cs="Arial"/>
          <w:color w:val="C45911" w:themeColor="accent2" w:themeShade="BF"/>
          <w:sz w:val="32"/>
          <w:szCs w:val="32"/>
        </w:rPr>
        <w:t xml:space="preserve">Garant studijního oboru: </w:t>
      </w:r>
      <w:r>
        <w:rPr>
          <w:rFonts w:ascii="Arial Narrow" w:eastAsia="Calibri" w:hAnsi="Arial Narrow" w:cs="Arial"/>
          <w:color w:val="C45911" w:themeColor="accent2" w:themeShade="BF"/>
          <w:sz w:val="32"/>
          <w:szCs w:val="32"/>
        </w:rPr>
        <w:t xml:space="preserve">doc. Mgr. Roman </w:t>
      </w:r>
      <w:proofErr w:type="spellStart"/>
      <w:r>
        <w:rPr>
          <w:rFonts w:ascii="Arial Narrow" w:eastAsia="Calibri" w:hAnsi="Arial Narrow" w:cs="Arial"/>
          <w:color w:val="C45911" w:themeColor="accent2" w:themeShade="BF"/>
          <w:sz w:val="32"/>
          <w:szCs w:val="32"/>
        </w:rPr>
        <w:t>Trušník</w:t>
      </w:r>
      <w:proofErr w:type="spellEnd"/>
      <w:r>
        <w:rPr>
          <w:rFonts w:ascii="Arial Narrow" w:eastAsia="Calibri" w:hAnsi="Arial Narrow" w:cs="Arial"/>
          <w:color w:val="C45911" w:themeColor="accent2" w:themeShade="BF"/>
          <w:sz w:val="32"/>
          <w:szCs w:val="32"/>
        </w:rPr>
        <w:t>, Ph.D.</w:t>
      </w:r>
    </w:p>
    <w:p w:rsidR="00C14335" w:rsidRDefault="000B67FE">
      <w:pPr>
        <w:ind w:right="454"/>
        <w:rPr>
          <w:rFonts w:cs="Arial"/>
        </w:rPr>
      </w:pPr>
      <w:r>
        <w:br w:type="page"/>
      </w:r>
    </w:p>
    <w:p w:rsidR="00C14335" w:rsidRDefault="00C14335">
      <w:pPr>
        <w:pStyle w:val="Bezmezer"/>
        <w:ind w:right="283"/>
        <w:rPr>
          <w:rFonts w:ascii="Arial" w:hAnsi="Arial" w:cs="Arial"/>
        </w:rPr>
      </w:pPr>
    </w:p>
    <w:p w:rsidR="00C14335" w:rsidRDefault="00C14335">
      <w:pPr>
        <w:pStyle w:val="Bezmezer"/>
        <w:ind w:right="283"/>
        <w:rPr>
          <w:rFonts w:ascii="Arial" w:hAnsi="Arial" w:cs="Arial"/>
        </w:rPr>
      </w:pPr>
    </w:p>
    <w:p w:rsidR="00C14335" w:rsidRDefault="000B67FE">
      <w:pPr>
        <w:rPr>
          <w:b/>
          <w:bCs/>
        </w:rPr>
      </w:pPr>
      <w:r>
        <w:rPr>
          <w:b/>
          <w:bCs/>
        </w:rPr>
        <w:t>Ad 1a) Zjevný nepoměr přijatých studentů a absolventů. Čím si</w:t>
      </w:r>
      <w:r w:rsidR="00927DFC">
        <w:rPr>
          <w:b/>
          <w:bCs/>
        </w:rPr>
        <w:t xml:space="preserve"> vysvětlujete tak nízké procento</w:t>
      </w:r>
      <w:r>
        <w:rPr>
          <w:b/>
          <w:bCs/>
        </w:rPr>
        <w:t xml:space="preserve"> úspěšnosti.</w:t>
      </w:r>
    </w:p>
    <w:p w:rsidR="00C14335" w:rsidRDefault="00C14335">
      <w:pPr>
        <w:rPr>
          <w:b/>
          <w:bCs/>
        </w:rPr>
      </w:pPr>
    </w:p>
    <w:p w:rsidR="00C14335" w:rsidRDefault="000B67FE">
      <w:r>
        <w:t>Tabulk</w:t>
      </w:r>
      <w:r>
        <w:t>a v této části se může jevit jako zavádějící, protože uvádí celkový počet studentů daného tříletého SP/SO ve všech ročnících, tj. sumu studentů studujících ve standardní době studia i studentů, kteří tuto dobu překročili. Ve skutečnosti se počet studentů z</w:t>
      </w:r>
      <w:r>
        <w:t>apsaných do prvního ročníku v jednotlivých letech pohybuje mezi 139 a 166 studenty, přičemž počet absolventů se pohybuje mezi 42 a 67 studenty (viz části 1a a 6).</w:t>
      </w:r>
    </w:p>
    <w:p w:rsidR="00C14335" w:rsidRDefault="000B67FE">
      <w:r>
        <w:tab/>
        <w:t>Vysvětlení neúspěšnosti ve studiu z našeho pohledu nabízíme v části 7a) předložené zprávy. N</w:t>
      </w:r>
      <w:r>
        <w:t xml:space="preserve">eúspěšnost ve studiu a míra řádného ukončování studia je odrazem celkových schopností a připravenosti uchazečů o studium v rámci filologického studijního programu, taktéž jejich očekávání a přístupu. Zvláště mezi 1. a 2. rokem studia je patrná neúspěšnost </w:t>
      </w:r>
      <w:r>
        <w:t>ve studiu související s kontrastem mezi realitou studia a možnostmi samotného posluchače. Je třeba podotknout, že studium filologie je náročné. Významnou překážkou pro studijní úspěch je u mnoha studentů rozpor mezi subjektivním vnímáním znalostí anglickéh</w:t>
      </w:r>
      <w:r>
        <w:t>o jazyka (student "se anglicky domluví") a objektivní znalostí anglického jazyka nejen na úrovni komunikační, ale i v oblasti zvládnutí gramatiky a adekvátního rozsahu slovní zásoby. Z tohoto důvodu je již několik let posilována role předmětů Jazyková cvič</w:t>
      </w:r>
      <w:r>
        <w:t>ení a Odborný jazyk. V odborných předmětech je pak systematicky posilována schopnost komunikovat v tomto jazyce o vysoce odborných tématech, číst odbornou literaturu, diskutovat, argumentovat, psát vlastní texty, prezentovat apod. S tímto faktem se student</w:t>
      </w:r>
      <w:r>
        <w:t>i filologie nemusí vždy úspěšně vyrovnat.</w:t>
      </w:r>
    </w:p>
    <w:p w:rsidR="00C14335" w:rsidRDefault="000B67FE">
      <w:r>
        <w:tab/>
        <w:t>Část studentů si až po zahájení studia uvědomí, že se zapsali do filologického programu - název oboru Anglický jazyk pro manažerskou praxi totiž pochopili jako Management s rozšířenou výukou anglického jazyka. Vzh</w:t>
      </w:r>
      <w:r>
        <w:t>ledem k tomu, že filologické předměty tvoří přibližně 75% studijního plánu, tito studenti často studium ukončují a napříště volí studium čistě ekonomického oboru.</w:t>
      </w:r>
    </w:p>
    <w:p w:rsidR="00C14335" w:rsidRDefault="00C14335"/>
    <w:p w:rsidR="00C14335" w:rsidRDefault="000B67FE">
      <w:pPr>
        <w:rPr>
          <w:b/>
          <w:bCs/>
        </w:rPr>
      </w:pPr>
      <w:r>
        <w:rPr>
          <w:b/>
          <w:bCs/>
        </w:rPr>
        <w:t>Část 2a) Zpracována pečlivě, návratnost dotazníků standardní.</w:t>
      </w:r>
    </w:p>
    <w:p w:rsidR="00C14335" w:rsidRDefault="00C14335"/>
    <w:p w:rsidR="00C14335" w:rsidRDefault="000B67FE">
      <w:pPr>
        <w:rPr>
          <w:b/>
          <w:bCs/>
        </w:rPr>
      </w:pPr>
      <w:r>
        <w:rPr>
          <w:b/>
          <w:bCs/>
        </w:rPr>
        <w:t xml:space="preserve">Část 2b) Návratnost dotazníku opravdu jen 17 studentů? Prosím o </w:t>
      </w:r>
      <w:proofErr w:type="spellStart"/>
      <w:r>
        <w:rPr>
          <w:b/>
          <w:bCs/>
        </w:rPr>
        <w:t>percentuální</w:t>
      </w:r>
      <w:proofErr w:type="spellEnd"/>
      <w:r>
        <w:rPr>
          <w:b/>
          <w:bCs/>
        </w:rPr>
        <w:t xml:space="preserve"> vyjádření. Tato záležitost je údajně plně v režii rektorátu UTB ve Zlíně. Prosím o vyjádření děkana fakulty, příp. i příslušného prorektora, jak vnímají odpovědnost podřízených so</w:t>
      </w:r>
      <w:r>
        <w:rPr>
          <w:b/>
          <w:bCs/>
        </w:rPr>
        <w:t xml:space="preserve">učástí za danou situaci. Jaká je možnost přijmout opatření ke zlepšení stavu? </w:t>
      </w:r>
    </w:p>
    <w:p w:rsidR="00C14335" w:rsidRDefault="00C14335">
      <w:pPr>
        <w:rPr>
          <w:b/>
          <w:bCs/>
        </w:rPr>
      </w:pPr>
    </w:p>
    <w:p w:rsidR="00C14335" w:rsidRDefault="000B67FE">
      <w:r>
        <w:t>Návratnost dotazníků činila 5,2%. V budoucnu považujeme za nutnost tento výzkum náležitě propagovat tak, jako to fakulta činí u semestrálního hodnocení kvality výuky, kde je ná</w:t>
      </w:r>
      <w:r>
        <w:t xml:space="preserve">vratnost dotazníků podstatně vyšší a kde ji hodnotitel považuje za standardní. </w:t>
      </w:r>
    </w:p>
    <w:p w:rsidR="00C14335" w:rsidRDefault="00C14335"/>
    <w:p w:rsidR="00C14335" w:rsidRDefault="000B67FE">
      <w:pPr>
        <w:rPr>
          <w:b/>
          <w:bCs/>
        </w:rPr>
      </w:pPr>
      <w:r>
        <w:rPr>
          <w:b/>
          <w:bCs/>
        </w:rPr>
        <w:t>Část 2c) Bez připomínek.</w:t>
      </w:r>
    </w:p>
    <w:p w:rsidR="00C14335" w:rsidRDefault="00C14335"/>
    <w:p w:rsidR="00C14335" w:rsidRDefault="000B67FE">
      <w:pPr>
        <w:rPr>
          <w:b/>
          <w:bCs/>
        </w:rPr>
      </w:pPr>
      <w:r>
        <w:rPr>
          <w:b/>
          <w:bCs/>
        </w:rPr>
        <w:t>Část 2d) Opravdu jen 2 odezvy u profesního SP. Jak jsou udržovány kontakty se zaměstnavateli svých absolventů?</w:t>
      </w:r>
    </w:p>
    <w:p w:rsidR="00C14335" w:rsidRDefault="00C14335">
      <w:pPr>
        <w:rPr>
          <w:b/>
          <w:bCs/>
        </w:rPr>
      </w:pPr>
    </w:p>
    <w:p w:rsidR="00C14335" w:rsidRDefault="000B67FE">
      <w:r>
        <w:t>Studijní program je realizován ve spo</w:t>
      </w:r>
      <w:r>
        <w:t xml:space="preserve">lupráci Fakulty humanitních studií a Fakulty managementu a ekonomiky. </w:t>
      </w:r>
      <w:proofErr w:type="spellStart"/>
      <w:r>
        <w:t>FaME</w:t>
      </w:r>
      <w:proofErr w:type="spellEnd"/>
      <w:r>
        <w:t xml:space="preserve"> vzhledem ke své orientaci na ekonomickou sféru udržuje bohatou síť kontaktů se zaměstnavateli jak ve Zlínském kraji, tak i v rámci celé České republiky, z čehož profituje i tento st</w:t>
      </w:r>
      <w:r>
        <w:t>udijní program. Možnosti filologické části jsou poněkud omezenější, protože neexistuje zaměstnavatel, který by zaměstnával větší množství našich absolventů. Kontakty jsou tedy udržovány primárně na neformální bázi, mj. prostřednictvím našich absolventů, kt</w:t>
      </w:r>
      <w:r>
        <w:t>eří, vzhledem k tomu, že obor je realizován od roku 2005, již v mnoha případech vystoupali do vyšších pozic ve firmách. S</w:t>
      </w:r>
      <w:r w:rsidR="00314331">
        <w:t>ystematické udržování kontaktů s</w:t>
      </w:r>
      <w:r>
        <w:t xml:space="preserve"> absolventy je však ztěžováno striktní aplikací GDPR na univerzitě (nesmíme používat soukromé adresy st</w:t>
      </w:r>
      <w:r>
        <w:t>udentů, tzn. až na výjimky, kdy iniciativa přijde právě ze strany studentů, po vykonání státních závěrečných zkoušek mizí absolventi z dosahu ústavu).</w:t>
      </w:r>
    </w:p>
    <w:p w:rsidR="00C14335" w:rsidRDefault="00C14335"/>
    <w:p w:rsidR="00C14335" w:rsidRDefault="000B67FE">
      <w:pPr>
        <w:rPr>
          <w:b/>
          <w:bCs/>
        </w:rPr>
      </w:pPr>
      <w:r>
        <w:rPr>
          <w:b/>
          <w:bCs/>
        </w:rPr>
        <w:t>Část 3) Dle mého soudu naplňuje požadavky standardů.</w:t>
      </w:r>
    </w:p>
    <w:p w:rsidR="00C14335" w:rsidRDefault="00C14335"/>
    <w:p w:rsidR="00C14335" w:rsidRDefault="000B67FE">
      <w:pPr>
        <w:rPr>
          <w:b/>
          <w:bCs/>
        </w:rPr>
      </w:pPr>
      <w:r>
        <w:rPr>
          <w:b/>
          <w:bCs/>
        </w:rPr>
        <w:t xml:space="preserve">Část 3a) V souladu se zaměření fakulty hodnotím </w:t>
      </w:r>
      <w:r>
        <w:rPr>
          <w:b/>
          <w:bCs/>
        </w:rPr>
        <w:t>jako nízkou úroveň zapojení studentů do tvůrčí činnosti.</w:t>
      </w:r>
    </w:p>
    <w:p w:rsidR="00C14335" w:rsidRDefault="00C14335">
      <w:pPr>
        <w:rPr>
          <w:b/>
          <w:bCs/>
        </w:rPr>
      </w:pPr>
    </w:p>
    <w:p w:rsidR="00C14335" w:rsidRDefault="000B67FE">
      <w:pPr>
        <w:rPr>
          <w:b/>
          <w:bCs/>
        </w:rPr>
      </w:pPr>
      <w:r>
        <w:rPr>
          <w:b/>
          <w:bCs/>
        </w:rPr>
        <w:t>Část 4) Dle mého soudu naplňuje požadavky standardů.</w:t>
      </w:r>
    </w:p>
    <w:p w:rsidR="00C14335" w:rsidRDefault="00C14335">
      <w:pPr>
        <w:rPr>
          <w:b/>
          <w:bCs/>
        </w:rPr>
      </w:pPr>
    </w:p>
    <w:p w:rsidR="00C14335" w:rsidRDefault="000B67FE">
      <w:pPr>
        <w:rPr>
          <w:b/>
          <w:bCs/>
        </w:rPr>
      </w:pPr>
      <w:r>
        <w:rPr>
          <w:b/>
          <w:bCs/>
        </w:rPr>
        <w:t xml:space="preserve">Část 5) Nízká úroveň úspěšnosti, tudíž nízký počet obhajovaných prací. </w:t>
      </w:r>
      <w:proofErr w:type="gramStart"/>
      <w:r>
        <w:rPr>
          <w:b/>
          <w:bCs/>
        </w:rPr>
        <w:t>Žádám</w:t>
      </w:r>
      <w:proofErr w:type="gramEnd"/>
      <w:r>
        <w:rPr>
          <w:b/>
          <w:bCs/>
        </w:rPr>
        <w:t xml:space="preserve"> o sdělení poměru pedagog : student za posledních 5 let u Vaší fakul</w:t>
      </w:r>
      <w:r>
        <w:rPr>
          <w:b/>
          <w:bCs/>
        </w:rPr>
        <w:t>ty.</w:t>
      </w:r>
    </w:p>
    <w:p w:rsidR="00C14335" w:rsidRDefault="00C14335">
      <w:pPr>
        <w:rPr>
          <w:b/>
          <w:bCs/>
        </w:rPr>
      </w:pPr>
    </w:p>
    <w:p w:rsidR="00C14335" w:rsidRDefault="00C14335">
      <w:pPr>
        <w:rPr>
          <w:shd w:val="clear" w:color="auto" w:fill="FFFF00"/>
        </w:rPr>
      </w:pPr>
    </w:p>
    <w:p w:rsidR="00C14335" w:rsidRDefault="00C14335"/>
    <w:tbl>
      <w:tblPr>
        <w:tblStyle w:val="Mkatabulky"/>
        <w:tblW w:w="8844" w:type="dxa"/>
        <w:tblLayout w:type="fixed"/>
        <w:tblLook w:val="04A0" w:firstRow="1" w:lastRow="0" w:firstColumn="1" w:lastColumn="0" w:noHBand="0" w:noVBand="1"/>
      </w:tblPr>
      <w:tblGrid>
        <w:gridCol w:w="2602"/>
        <w:gridCol w:w="1247"/>
        <w:gridCol w:w="1249"/>
        <w:gridCol w:w="1248"/>
        <w:gridCol w:w="979"/>
        <w:gridCol w:w="1519"/>
      </w:tblGrid>
      <w:tr w:rsidR="00C14335">
        <w:trPr>
          <w:trHeight w:val="250"/>
        </w:trPr>
        <w:tc>
          <w:tcPr>
            <w:tcW w:w="2601" w:type="dxa"/>
            <w:shd w:val="clear" w:color="auto" w:fill="F4B083" w:themeFill="accent2" w:themeFillTint="99"/>
          </w:tcPr>
          <w:p w:rsidR="00C14335" w:rsidRDefault="00C14335">
            <w:pPr>
              <w:widowControl w:val="0"/>
              <w:jc w:val="center"/>
              <w:rPr>
                <w:rFonts w:eastAsia="Times New Roman" w:cs="Arial"/>
                <w:b/>
                <w:bCs/>
                <w:color w:val="000000"/>
                <w:lang w:eastAsia="cs-CZ"/>
              </w:rPr>
            </w:pPr>
          </w:p>
        </w:tc>
        <w:tc>
          <w:tcPr>
            <w:tcW w:w="1247" w:type="dxa"/>
            <w:shd w:val="clear" w:color="auto" w:fill="F4B083" w:themeFill="accent2" w:themeFillTint="99"/>
          </w:tcPr>
          <w:p w:rsidR="00C14335" w:rsidRDefault="000B67FE">
            <w:pPr>
              <w:widowControl w:val="0"/>
              <w:jc w:val="center"/>
              <w:rPr>
                <w:rFonts w:eastAsia="Times New Roman" w:cs="Arial"/>
                <w:b/>
                <w:bCs/>
                <w:color w:val="000000"/>
                <w:lang w:eastAsia="cs-CZ"/>
              </w:rPr>
            </w:pPr>
            <w:r>
              <w:rPr>
                <w:rFonts w:eastAsia="Times New Roman" w:cs="Arial"/>
                <w:b/>
                <w:bCs/>
                <w:color w:val="000000"/>
                <w:lang w:eastAsia="cs-CZ"/>
              </w:rPr>
              <w:t>2017/18</w:t>
            </w:r>
          </w:p>
        </w:tc>
        <w:tc>
          <w:tcPr>
            <w:tcW w:w="1249" w:type="dxa"/>
            <w:shd w:val="clear" w:color="auto" w:fill="F4B083" w:themeFill="accent2" w:themeFillTint="99"/>
          </w:tcPr>
          <w:p w:rsidR="00C14335" w:rsidRDefault="000B67FE">
            <w:pPr>
              <w:widowControl w:val="0"/>
              <w:jc w:val="center"/>
            </w:pPr>
            <w:r>
              <w:rPr>
                <w:rFonts w:eastAsia="Times New Roman" w:cs="Arial"/>
                <w:b/>
                <w:bCs/>
                <w:color w:val="000000"/>
                <w:lang w:eastAsia="cs-CZ"/>
              </w:rPr>
              <w:t>2018/19</w:t>
            </w:r>
          </w:p>
        </w:tc>
        <w:tc>
          <w:tcPr>
            <w:tcW w:w="1248" w:type="dxa"/>
            <w:shd w:val="clear" w:color="auto" w:fill="F4B083" w:themeFill="accent2" w:themeFillTint="99"/>
          </w:tcPr>
          <w:p w:rsidR="00C14335" w:rsidRDefault="000B67FE">
            <w:pPr>
              <w:widowControl w:val="0"/>
              <w:jc w:val="center"/>
            </w:pPr>
            <w:r>
              <w:rPr>
                <w:rFonts w:eastAsia="Times New Roman" w:cs="Arial"/>
                <w:b/>
                <w:bCs/>
                <w:color w:val="000000"/>
                <w:lang w:eastAsia="cs-CZ"/>
              </w:rPr>
              <w:t>2019/20</w:t>
            </w:r>
          </w:p>
        </w:tc>
        <w:tc>
          <w:tcPr>
            <w:tcW w:w="979" w:type="dxa"/>
            <w:shd w:val="clear" w:color="auto" w:fill="F4B083" w:themeFill="accent2" w:themeFillTint="99"/>
          </w:tcPr>
          <w:p w:rsidR="00C14335" w:rsidRDefault="000B67FE">
            <w:pPr>
              <w:widowControl w:val="0"/>
              <w:jc w:val="center"/>
            </w:pPr>
            <w:r>
              <w:rPr>
                <w:rFonts w:eastAsia="Times New Roman" w:cs="Arial"/>
                <w:b/>
                <w:bCs/>
                <w:color w:val="000000"/>
                <w:lang w:eastAsia="cs-CZ"/>
              </w:rPr>
              <w:t>2020/21</w:t>
            </w:r>
          </w:p>
        </w:tc>
        <w:tc>
          <w:tcPr>
            <w:tcW w:w="1519" w:type="dxa"/>
            <w:shd w:val="clear" w:color="auto" w:fill="F4B083" w:themeFill="accent2" w:themeFillTint="99"/>
          </w:tcPr>
          <w:p w:rsidR="00C14335" w:rsidRDefault="000B67FE">
            <w:pPr>
              <w:widowControl w:val="0"/>
              <w:jc w:val="center"/>
            </w:pPr>
            <w:r>
              <w:rPr>
                <w:rFonts w:eastAsia="Times New Roman" w:cs="Arial"/>
                <w:b/>
                <w:bCs/>
                <w:color w:val="000000"/>
                <w:lang w:eastAsia="cs-CZ"/>
              </w:rPr>
              <w:t>2021/22</w:t>
            </w:r>
          </w:p>
        </w:tc>
      </w:tr>
      <w:tr w:rsidR="00C14335">
        <w:trPr>
          <w:trHeight w:val="840"/>
        </w:trPr>
        <w:tc>
          <w:tcPr>
            <w:tcW w:w="2601" w:type="dxa"/>
          </w:tcPr>
          <w:p w:rsidR="00C14335" w:rsidRDefault="000B67FE">
            <w:pPr>
              <w:widowControl w:val="0"/>
              <w:rPr>
                <w:i/>
                <w:iCs/>
              </w:rPr>
            </w:pPr>
            <w:r>
              <w:rPr>
                <w:rFonts w:eastAsia="Times New Roman" w:cs="Arial"/>
                <w:i/>
                <w:iCs/>
                <w:color w:val="000000"/>
                <w:lang w:eastAsia="cs-CZ"/>
              </w:rPr>
              <w:t>Počet akademických pracovníků (přepočtený počet)</w:t>
            </w:r>
          </w:p>
        </w:tc>
        <w:tc>
          <w:tcPr>
            <w:tcW w:w="1247" w:type="dxa"/>
          </w:tcPr>
          <w:p w:rsidR="00C14335" w:rsidRDefault="000B67FE">
            <w:pPr>
              <w:widowControl w:val="0"/>
              <w:jc w:val="center"/>
              <w:rPr>
                <w:rFonts w:eastAsia="Calibri"/>
              </w:rPr>
            </w:pPr>
            <w:r>
              <w:rPr>
                <w:rFonts w:eastAsia="Calibri"/>
              </w:rPr>
              <w:t>80</w:t>
            </w:r>
          </w:p>
        </w:tc>
        <w:tc>
          <w:tcPr>
            <w:tcW w:w="1249" w:type="dxa"/>
          </w:tcPr>
          <w:p w:rsidR="00C14335" w:rsidRDefault="000B67FE">
            <w:pPr>
              <w:widowControl w:val="0"/>
              <w:jc w:val="center"/>
            </w:pPr>
            <w:r>
              <w:rPr>
                <w:rFonts w:eastAsia="Times New Roman" w:cs="Arial"/>
                <w:color w:val="000000" w:themeColor="text1"/>
                <w:lang w:eastAsia="cs-CZ"/>
              </w:rPr>
              <w:t>80</w:t>
            </w:r>
          </w:p>
        </w:tc>
        <w:tc>
          <w:tcPr>
            <w:tcW w:w="1248" w:type="dxa"/>
          </w:tcPr>
          <w:p w:rsidR="00C14335" w:rsidRDefault="000B67FE">
            <w:pPr>
              <w:widowControl w:val="0"/>
              <w:jc w:val="center"/>
            </w:pPr>
            <w:r>
              <w:rPr>
                <w:rFonts w:eastAsia="Times New Roman" w:cs="Arial"/>
                <w:color w:val="000000" w:themeColor="text1"/>
                <w:lang w:eastAsia="cs-CZ"/>
              </w:rPr>
              <w:t>88</w:t>
            </w:r>
          </w:p>
        </w:tc>
        <w:tc>
          <w:tcPr>
            <w:tcW w:w="979" w:type="dxa"/>
          </w:tcPr>
          <w:p w:rsidR="00C14335" w:rsidRDefault="000B67FE">
            <w:pPr>
              <w:widowControl w:val="0"/>
              <w:jc w:val="center"/>
            </w:pPr>
            <w:r>
              <w:rPr>
                <w:rFonts w:eastAsia="Times New Roman" w:cs="Arial"/>
                <w:color w:val="000000" w:themeColor="text1"/>
                <w:lang w:eastAsia="cs-CZ"/>
              </w:rPr>
              <w:t>92</w:t>
            </w:r>
          </w:p>
        </w:tc>
        <w:tc>
          <w:tcPr>
            <w:tcW w:w="1519" w:type="dxa"/>
          </w:tcPr>
          <w:p w:rsidR="00C14335" w:rsidRDefault="000B67FE">
            <w:pPr>
              <w:widowControl w:val="0"/>
              <w:jc w:val="center"/>
            </w:pPr>
            <w:r>
              <w:rPr>
                <w:rFonts w:eastAsia="Times New Roman" w:cs="Arial"/>
                <w:color w:val="000000" w:themeColor="text1"/>
                <w:lang w:eastAsia="cs-CZ"/>
              </w:rPr>
              <w:t>95</w:t>
            </w:r>
          </w:p>
        </w:tc>
      </w:tr>
      <w:tr w:rsidR="00C14335">
        <w:trPr>
          <w:trHeight w:val="799"/>
        </w:trPr>
        <w:tc>
          <w:tcPr>
            <w:tcW w:w="2601" w:type="dxa"/>
          </w:tcPr>
          <w:p w:rsidR="00C14335" w:rsidRDefault="000B67FE">
            <w:pPr>
              <w:widowControl w:val="0"/>
              <w:rPr>
                <w:i/>
                <w:iCs/>
              </w:rPr>
            </w:pPr>
            <w:r>
              <w:rPr>
                <w:rFonts w:eastAsia="Times New Roman" w:cs="Arial"/>
                <w:i/>
                <w:iCs/>
                <w:color w:val="000000"/>
                <w:lang w:eastAsia="cs-CZ"/>
              </w:rPr>
              <w:t>Počet absolventů</w:t>
            </w:r>
          </w:p>
        </w:tc>
        <w:tc>
          <w:tcPr>
            <w:tcW w:w="1247" w:type="dxa"/>
          </w:tcPr>
          <w:p w:rsidR="00C14335" w:rsidRDefault="000B67FE">
            <w:pPr>
              <w:widowControl w:val="0"/>
              <w:jc w:val="center"/>
              <w:rPr>
                <w:rFonts w:eastAsia="Calibri"/>
              </w:rPr>
            </w:pPr>
            <w:r>
              <w:rPr>
                <w:rFonts w:eastAsia="Calibri"/>
              </w:rPr>
              <w:t>524</w:t>
            </w:r>
          </w:p>
        </w:tc>
        <w:tc>
          <w:tcPr>
            <w:tcW w:w="1249" w:type="dxa"/>
          </w:tcPr>
          <w:p w:rsidR="00C14335" w:rsidRDefault="000B67FE">
            <w:pPr>
              <w:widowControl w:val="0"/>
              <w:jc w:val="center"/>
            </w:pPr>
            <w:r>
              <w:rPr>
                <w:rFonts w:eastAsia="Times New Roman" w:cs="Arial"/>
                <w:color w:val="000000" w:themeColor="text1"/>
                <w:lang w:eastAsia="cs-CZ"/>
              </w:rPr>
              <w:t>485</w:t>
            </w:r>
          </w:p>
        </w:tc>
        <w:tc>
          <w:tcPr>
            <w:tcW w:w="1248" w:type="dxa"/>
          </w:tcPr>
          <w:p w:rsidR="00C14335" w:rsidRDefault="000B67FE">
            <w:pPr>
              <w:widowControl w:val="0"/>
              <w:jc w:val="center"/>
            </w:pPr>
            <w:r>
              <w:rPr>
                <w:rFonts w:eastAsia="Times New Roman" w:cs="Arial"/>
                <w:color w:val="000000" w:themeColor="text1"/>
                <w:lang w:eastAsia="cs-CZ"/>
              </w:rPr>
              <w:t>401</w:t>
            </w:r>
          </w:p>
        </w:tc>
        <w:tc>
          <w:tcPr>
            <w:tcW w:w="979" w:type="dxa"/>
          </w:tcPr>
          <w:p w:rsidR="00C14335" w:rsidRDefault="000B67FE">
            <w:pPr>
              <w:widowControl w:val="0"/>
              <w:jc w:val="center"/>
            </w:pPr>
            <w:r>
              <w:rPr>
                <w:rFonts w:eastAsia="Times New Roman" w:cs="Arial"/>
                <w:color w:val="000000" w:themeColor="text1"/>
                <w:lang w:eastAsia="cs-CZ"/>
              </w:rPr>
              <w:t>475</w:t>
            </w:r>
          </w:p>
        </w:tc>
        <w:tc>
          <w:tcPr>
            <w:tcW w:w="1519" w:type="dxa"/>
          </w:tcPr>
          <w:p w:rsidR="00C14335" w:rsidRDefault="000B67FE">
            <w:pPr>
              <w:widowControl w:val="0"/>
              <w:jc w:val="center"/>
            </w:pPr>
            <w:r>
              <w:rPr>
                <w:rFonts w:eastAsia="Times New Roman" w:cs="Arial"/>
                <w:color w:val="000000" w:themeColor="text1"/>
                <w:lang w:eastAsia="cs-CZ"/>
              </w:rPr>
              <w:t>427</w:t>
            </w:r>
          </w:p>
        </w:tc>
      </w:tr>
      <w:tr w:rsidR="00C14335">
        <w:trPr>
          <w:trHeight w:val="840"/>
        </w:trPr>
        <w:tc>
          <w:tcPr>
            <w:tcW w:w="2601" w:type="dxa"/>
          </w:tcPr>
          <w:p w:rsidR="00C14335" w:rsidRDefault="000B67FE">
            <w:pPr>
              <w:widowControl w:val="0"/>
              <w:rPr>
                <w:rFonts w:eastAsia="Times New Roman" w:cs="Arial"/>
                <w:i/>
                <w:iCs/>
                <w:color w:val="000000"/>
                <w:lang w:eastAsia="cs-CZ"/>
              </w:rPr>
            </w:pPr>
            <w:r>
              <w:rPr>
                <w:rFonts w:eastAsia="Times New Roman" w:cs="Arial"/>
                <w:i/>
                <w:iCs/>
                <w:color w:val="000000"/>
                <w:lang w:eastAsia="cs-CZ"/>
              </w:rPr>
              <w:t>Počet studentů k 31. 12.</w:t>
            </w:r>
          </w:p>
        </w:tc>
        <w:tc>
          <w:tcPr>
            <w:tcW w:w="1247" w:type="dxa"/>
          </w:tcPr>
          <w:p w:rsidR="00C14335" w:rsidRDefault="000B67FE">
            <w:pPr>
              <w:widowControl w:val="0"/>
              <w:jc w:val="center"/>
              <w:rPr>
                <w:rFonts w:eastAsia="Times New Roman" w:cs="Arial"/>
                <w:color w:val="000000" w:themeColor="text1"/>
                <w:lang w:eastAsia="cs-CZ"/>
              </w:rPr>
            </w:pPr>
            <w:r>
              <w:rPr>
                <w:rFonts w:eastAsia="Times New Roman" w:cs="Arial"/>
                <w:color w:val="000000" w:themeColor="text1"/>
                <w:lang w:eastAsia="cs-CZ"/>
              </w:rPr>
              <w:t>2034</w:t>
            </w:r>
          </w:p>
        </w:tc>
        <w:tc>
          <w:tcPr>
            <w:tcW w:w="1249" w:type="dxa"/>
          </w:tcPr>
          <w:p w:rsidR="00C14335" w:rsidRDefault="000B67FE">
            <w:pPr>
              <w:widowControl w:val="0"/>
              <w:jc w:val="center"/>
              <w:rPr>
                <w:rFonts w:eastAsia="Times New Roman" w:cs="Arial"/>
                <w:color w:val="000000" w:themeColor="text1"/>
                <w:lang w:eastAsia="cs-CZ"/>
              </w:rPr>
            </w:pPr>
            <w:r>
              <w:rPr>
                <w:rFonts w:eastAsia="Times New Roman" w:cs="Arial"/>
                <w:color w:val="000000" w:themeColor="text1"/>
                <w:lang w:eastAsia="cs-CZ"/>
              </w:rPr>
              <w:t>1841</w:t>
            </w:r>
          </w:p>
        </w:tc>
        <w:tc>
          <w:tcPr>
            <w:tcW w:w="1248" w:type="dxa"/>
          </w:tcPr>
          <w:p w:rsidR="00C14335" w:rsidRDefault="000B67FE">
            <w:pPr>
              <w:widowControl w:val="0"/>
              <w:jc w:val="center"/>
              <w:rPr>
                <w:rFonts w:eastAsia="Times New Roman" w:cs="Arial"/>
                <w:color w:val="000000" w:themeColor="text1"/>
                <w:lang w:eastAsia="cs-CZ"/>
              </w:rPr>
            </w:pPr>
            <w:r>
              <w:rPr>
                <w:rFonts w:eastAsia="Times New Roman" w:cs="Arial"/>
                <w:color w:val="000000" w:themeColor="text1"/>
                <w:lang w:eastAsia="cs-CZ"/>
              </w:rPr>
              <w:t>1885</w:t>
            </w:r>
          </w:p>
        </w:tc>
        <w:tc>
          <w:tcPr>
            <w:tcW w:w="979" w:type="dxa"/>
          </w:tcPr>
          <w:p w:rsidR="00C14335" w:rsidRDefault="000B67FE">
            <w:pPr>
              <w:widowControl w:val="0"/>
              <w:jc w:val="center"/>
              <w:rPr>
                <w:rFonts w:eastAsia="Times New Roman" w:cs="Arial"/>
                <w:color w:val="000000" w:themeColor="text1"/>
                <w:lang w:eastAsia="cs-CZ"/>
              </w:rPr>
            </w:pPr>
            <w:r>
              <w:rPr>
                <w:rFonts w:eastAsia="Times New Roman" w:cs="Arial"/>
                <w:color w:val="000000" w:themeColor="text1"/>
                <w:lang w:eastAsia="cs-CZ"/>
              </w:rPr>
              <w:t>1919</w:t>
            </w:r>
          </w:p>
        </w:tc>
        <w:tc>
          <w:tcPr>
            <w:tcW w:w="1519" w:type="dxa"/>
          </w:tcPr>
          <w:p w:rsidR="00C14335" w:rsidRDefault="000B67FE">
            <w:pPr>
              <w:widowControl w:val="0"/>
              <w:jc w:val="center"/>
              <w:rPr>
                <w:rFonts w:eastAsia="Times New Roman" w:cs="Arial"/>
                <w:color w:val="000000" w:themeColor="text1"/>
                <w:lang w:eastAsia="cs-CZ"/>
              </w:rPr>
            </w:pPr>
            <w:r>
              <w:rPr>
                <w:rFonts w:eastAsia="Times New Roman" w:cs="Arial"/>
                <w:color w:val="000000" w:themeColor="text1"/>
                <w:lang w:eastAsia="cs-CZ"/>
              </w:rPr>
              <w:t>1913</w:t>
            </w:r>
          </w:p>
        </w:tc>
      </w:tr>
      <w:tr w:rsidR="00C14335">
        <w:trPr>
          <w:trHeight w:val="840"/>
        </w:trPr>
        <w:tc>
          <w:tcPr>
            <w:tcW w:w="2601" w:type="dxa"/>
          </w:tcPr>
          <w:p w:rsidR="00C14335" w:rsidRDefault="000B67FE">
            <w:pPr>
              <w:widowControl w:val="0"/>
              <w:rPr>
                <w:i/>
                <w:iCs/>
              </w:rPr>
            </w:pPr>
            <w:r>
              <w:rPr>
                <w:rFonts w:eastAsia="Times New Roman" w:cs="Arial"/>
                <w:i/>
                <w:iCs/>
                <w:color w:val="000000"/>
                <w:lang w:eastAsia="cs-CZ"/>
              </w:rPr>
              <w:t xml:space="preserve">Poměr </w:t>
            </w:r>
            <w:proofErr w:type="gramStart"/>
            <w:r>
              <w:rPr>
                <w:rFonts w:eastAsia="Times New Roman" w:cs="Arial"/>
                <w:i/>
                <w:iCs/>
                <w:color w:val="000000"/>
                <w:lang w:eastAsia="cs-CZ"/>
              </w:rPr>
              <w:t>absolvent : pedagog</w:t>
            </w:r>
            <w:proofErr w:type="gramEnd"/>
          </w:p>
        </w:tc>
        <w:tc>
          <w:tcPr>
            <w:tcW w:w="1247" w:type="dxa"/>
          </w:tcPr>
          <w:p w:rsidR="00C14335" w:rsidRDefault="000B67FE">
            <w:pPr>
              <w:widowControl w:val="0"/>
              <w:jc w:val="center"/>
              <w:rPr>
                <w:rFonts w:eastAsia="Times New Roman" w:cs="Arial"/>
                <w:color w:val="000000" w:themeColor="text1"/>
                <w:lang w:eastAsia="cs-CZ"/>
              </w:rPr>
            </w:pPr>
            <w:r>
              <w:rPr>
                <w:rFonts w:eastAsia="Times New Roman" w:cs="Arial"/>
                <w:color w:val="000000" w:themeColor="text1"/>
                <w:lang w:eastAsia="cs-CZ"/>
              </w:rPr>
              <w:t>6,55</w:t>
            </w:r>
          </w:p>
        </w:tc>
        <w:tc>
          <w:tcPr>
            <w:tcW w:w="1249" w:type="dxa"/>
          </w:tcPr>
          <w:p w:rsidR="00C14335" w:rsidRDefault="000B67FE">
            <w:pPr>
              <w:widowControl w:val="0"/>
              <w:jc w:val="center"/>
            </w:pPr>
            <w:r>
              <w:rPr>
                <w:rFonts w:eastAsia="Times New Roman" w:cs="Arial"/>
                <w:color w:val="000000" w:themeColor="text1"/>
                <w:lang w:eastAsia="cs-CZ"/>
              </w:rPr>
              <w:t>6,06</w:t>
            </w:r>
          </w:p>
        </w:tc>
        <w:tc>
          <w:tcPr>
            <w:tcW w:w="1248" w:type="dxa"/>
          </w:tcPr>
          <w:p w:rsidR="00C14335" w:rsidRDefault="000B67FE">
            <w:pPr>
              <w:widowControl w:val="0"/>
              <w:jc w:val="center"/>
            </w:pPr>
            <w:r>
              <w:rPr>
                <w:rFonts w:eastAsia="Times New Roman" w:cs="Arial"/>
                <w:color w:val="000000" w:themeColor="text1"/>
                <w:lang w:eastAsia="cs-CZ"/>
              </w:rPr>
              <w:t>4,56</w:t>
            </w:r>
          </w:p>
        </w:tc>
        <w:tc>
          <w:tcPr>
            <w:tcW w:w="979" w:type="dxa"/>
          </w:tcPr>
          <w:p w:rsidR="00C14335" w:rsidRDefault="000B67FE">
            <w:pPr>
              <w:widowControl w:val="0"/>
              <w:jc w:val="center"/>
            </w:pPr>
            <w:r>
              <w:rPr>
                <w:rFonts w:eastAsia="Times New Roman" w:cs="Arial"/>
                <w:color w:val="000000" w:themeColor="text1"/>
                <w:lang w:eastAsia="cs-CZ"/>
              </w:rPr>
              <w:t>5,16</w:t>
            </w:r>
          </w:p>
        </w:tc>
        <w:tc>
          <w:tcPr>
            <w:tcW w:w="1519" w:type="dxa"/>
          </w:tcPr>
          <w:p w:rsidR="00C14335" w:rsidRDefault="000B67FE">
            <w:pPr>
              <w:widowControl w:val="0"/>
              <w:jc w:val="center"/>
            </w:pPr>
            <w:r>
              <w:rPr>
                <w:rFonts w:eastAsia="Times New Roman" w:cs="Arial"/>
                <w:color w:val="000000" w:themeColor="text1"/>
                <w:lang w:eastAsia="cs-CZ"/>
              </w:rPr>
              <w:t>4,49</w:t>
            </w:r>
          </w:p>
        </w:tc>
      </w:tr>
      <w:tr w:rsidR="00C14335">
        <w:trPr>
          <w:trHeight w:val="840"/>
        </w:trPr>
        <w:tc>
          <w:tcPr>
            <w:tcW w:w="2601" w:type="dxa"/>
          </w:tcPr>
          <w:p w:rsidR="00C14335" w:rsidRDefault="000B67FE">
            <w:pPr>
              <w:widowControl w:val="0"/>
              <w:rPr>
                <w:rFonts w:eastAsia="Times New Roman" w:cs="Arial"/>
                <w:i/>
                <w:iCs/>
                <w:color w:val="000000"/>
                <w:lang w:eastAsia="cs-CZ"/>
              </w:rPr>
            </w:pPr>
            <w:r>
              <w:rPr>
                <w:rFonts w:eastAsia="Times New Roman" w:cs="Arial"/>
                <w:i/>
                <w:iCs/>
                <w:color w:val="000000"/>
                <w:lang w:eastAsia="cs-CZ"/>
              </w:rPr>
              <w:t xml:space="preserve">Poměr </w:t>
            </w:r>
            <w:proofErr w:type="gramStart"/>
            <w:r>
              <w:rPr>
                <w:rFonts w:eastAsia="Times New Roman" w:cs="Arial"/>
                <w:i/>
                <w:iCs/>
                <w:color w:val="000000"/>
                <w:lang w:eastAsia="cs-CZ"/>
              </w:rPr>
              <w:t>student : pedagog</w:t>
            </w:r>
            <w:proofErr w:type="gramEnd"/>
          </w:p>
        </w:tc>
        <w:tc>
          <w:tcPr>
            <w:tcW w:w="1247" w:type="dxa"/>
          </w:tcPr>
          <w:p w:rsidR="00C14335" w:rsidRDefault="000B67FE">
            <w:pPr>
              <w:widowControl w:val="0"/>
              <w:jc w:val="center"/>
              <w:rPr>
                <w:rFonts w:eastAsia="Times New Roman" w:cs="Arial"/>
                <w:color w:val="000000" w:themeColor="text1"/>
                <w:lang w:eastAsia="cs-CZ"/>
              </w:rPr>
            </w:pPr>
            <w:r>
              <w:rPr>
                <w:rFonts w:eastAsia="Times New Roman" w:cs="Arial"/>
                <w:color w:val="000000" w:themeColor="text1"/>
                <w:lang w:eastAsia="cs-CZ"/>
              </w:rPr>
              <w:t>25,43</w:t>
            </w:r>
          </w:p>
        </w:tc>
        <w:tc>
          <w:tcPr>
            <w:tcW w:w="1249" w:type="dxa"/>
          </w:tcPr>
          <w:p w:rsidR="00C14335" w:rsidRDefault="000B67FE">
            <w:pPr>
              <w:widowControl w:val="0"/>
              <w:jc w:val="center"/>
              <w:rPr>
                <w:rFonts w:eastAsia="Times New Roman" w:cs="Arial"/>
                <w:color w:val="000000" w:themeColor="text1"/>
                <w:lang w:eastAsia="cs-CZ"/>
              </w:rPr>
            </w:pPr>
            <w:r>
              <w:rPr>
                <w:rFonts w:eastAsia="Times New Roman" w:cs="Arial"/>
                <w:color w:val="000000" w:themeColor="text1"/>
                <w:lang w:eastAsia="cs-CZ"/>
              </w:rPr>
              <w:t>23,01</w:t>
            </w:r>
          </w:p>
        </w:tc>
        <w:tc>
          <w:tcPr>
            <w:tcW w:w="1248" w:type="dxa"/>
          </w:tcPr>
          <w:p w:rsidR="00C14335" w:rsidRDefault="000B67FE">
            <w:pPr>
              <w:widowControl w:val="0"/>
              <w:jc w:val="center"/>
              <w:rPr>
                <w:rFonts w:eastAsia="Times New Roman" w:cs="Arial"/>
                <w:color w:val="000000" w:themeColor="text1"/>
                <w:lang w:eastAsia="cs-CZ"/>
              </w:rPr>
            </w:pPr>
            <w:r>
              <w:rPr>
                <w:rFonts w:eastAsia="Times New Roman" w:cs="Arial"/>
                <w:color w:val="000000" w:themeColor="text1"/>
                <w:lang w:eastAsia="cs-CZ"/>
              </w:rPr>
              <w:t>21,42</w:t>
            </w:r>
          </w:p>
        </w:tc>
        <w:tc>
          <w:tcPr>
            <w:tcW w:w="979" w:type="dxa"/>
          </w:tcPr>
          <w:p w:rsidR="00C14335" w:rsidRDefault="000B67FE">
            <w:pPr>
              <w:widowControl w:val="0"/>
              <w:jc w:val="center"/>
              <w:rPr>
                <w:rFonts w:eastAsia="Times New Roman" w:cs="Arial"/>
                <w:color w:val="000000" w:themeColor="text1"/>
                <w:lang w:eastAsia="cs-CZ"/>
              </w:rPr>
            </w:pPr>
            <w:r>
              <w:rPr>
                <w:rFonts w:eastAsia="Times New Roman" w:cs="Arial"/>
                <w:color w:val="000000" w:themeColor="text1"/>
                <w:lang w:eastAsia="cs-CZ"/>
              </w:rPr>
              <w:t>20,85</w:t>
            </w:r>
          </w:p>
        </w:tc>
        <w:tc>
          <w:tcPr>
            <w:tcW w:w="1519" w:type="dxa"/>
          </w:tcPr>
          <w:p w:rsidR="00C14335" w:rsidRDefault="000B67FE">
            <w:pPr>
              <w:widowControl w:val="0"/>
              <w:jc w:val="center"/>
              <w:rPr>
                <w:rFonts w:eastAsia="Times New Roman" w:cs="Arial"/>
                <w:color w:val="000000" w:themeColor="text1"/>
                <w:lang w:eastAsia="cs-CZ"/>
              </w:rPr>
            </w:pPr>
            <w:r>
              <w:rPr>
                <w:rFonts w:eastAsia="Times New Roman" w:cs="Arial"/>
                <w:color w:val="000000" w:themeColor="text1"/>
                <w:lang w:eastAsia="cs-CZ"/>
              </w:rPr>
              <w:t>20,14</w:t>
            </w:r>
          </w:p>
        </w:tc>
      </w:tr>
    </w:tbl>
    <w:p w:rsidR="00C14335" w:rsidRDefault="00C14335"/>
    <w:p w:rsidR="00C14335" w:rsidRDefault="00C14335"/>
    <w:p w:rsidR="00C14335" w:rsidRDefault="000B67FE">
      <w:pPr>
        <w:rPr>
          <w:b/>
          <w:bCs/>
        </w:rPr>
      </w:pPr>
      <w:r>
        <w:rPr>
          <w:b/>
          <w:bCs/>
        </w:rPr>
        <w:t>Část 6) a Část 7) Určitě to spolu souvisí. Prosím o vyjádření pana děkana.</w:t>
      </w:r>
    </w:p>
    <w:p w:rsidR="00C14335" w:rsidRDefault="00C14335"/>
    <w:p w:rsidR="00C14335" w:rsidRPr="003D706A" w:rsidRDefault="00E027CD">
      <w:pPr>
        <w:rPr>
          <w:color w:val="000000" w:themeColor="text1"/>
          <w:shd w:val="clear" w:color="auto" w:fill="FFFF00"/>
        </w:rPr>
      </w:pPr>
      <w:r w:rsidRPr="003D706A">
        <w:rPr>
          <w:bCs/>
          <w:color w:val="000000" w:themeColor="text1"/>
        </w:rPr>
        <w:t>V</w:t>
      </w:r>
      <w:r w:rsidRPr="003D706A">
        <w:rPr>
          <w:bCs/>
          <w:color w:val="000000" w:themeColor="text1"/>
        </w:rPr>
        <w:t>yjádření děkana</w:t>
      </w:r>
      <w:r w:rsidRPr="003D706A">
        <w:rPr>
          <w:bCs/>
          <w:color w:val="000000" w:themeColor="text1"/>
        </w:rPr>
        <w:t xml:space="preserve">: </w:t>
      </w:r>
      <w:r w:rsidR="00EF3CF3" w:rsidRPr="003D706A">
        <w:rPr>
          <w:bCs/>
          <w:color w:val="000000" w:themeColor="text1"/>
        </w:rPr>
        <w:t>Významným</w:t>
      </w:r>
      <w:r w:rsidR="00974327" w:rsidRPr="003D706A">
        <w:rPr>
          <w:bCs/>
          <w:color w:val="000000" w:themeColor="text1"/>
        </w:rPr>
        <w:t xml:space="preserve"> </w:t>
      </w:r>
      <w:r w:rsidR="00EF3CF3" w:rsidRPr="003D706A">
        <w:rPr>
          <w:bCs/>
          <w:color w:val="000000" w:themeColor="text1"/>
        </w:rPr>
        <w:t>faktorem</w:t>
      </w:r>
      <w:r w:rsidR="00974327" w:rsidRPr="003D706A">
        <w:rPr>
          <w:bCs/>
          <w:color w:val="000000" w:themeColor="text1"/>
        </w:rPr>
        <w:t xml:space="preserve"> </w:t>
      </w:r>
      <w:r w:rsidR="00365615" w:rsidRPr="003D706A">
        <w:rPr>
          <w:bCs/>
          <w:color w:val="000000" w:themeColor="text1"/>
        </w:rPr>
        <w:t xml:space="preserve">ovlivňujícím </w:t>
      </w:r>
      <w:r w:rsidR="00974327" w:rsidRPr="003D706A">
        <w:rPr>
          <w:bCs/>
          <w:color w:val="000000" w:themeColor="text1"/>
        </w:rPr>
        <w:t xml:space="preserve">studijní </w:t>
      </w:r>
      <w:r w:rsidR="00EF3CF3" w:rsidRPr="003D706A">
        <w:rPr>
          <w:bCs/>
          <w:color w:val="000000" w:themeColor="text1"/>
        </w:rPr>
        <w:t>ne</w:t>
      </w:r>
      <w:r w:rsidR="00365615" w:rsidRPr="003D706A">
        <w:rPr>
          <w:bCs/>
          <w:color w:val="000000" w:themeColor="text1"/>
        </w:rPr>
        <w:t>úspěšnost</w:t>
      </w:r>
      <w:r w:rsidR="00974327" w:rsidRPr="003D706A">
        <w:rPr>
          <w:bCs/>
          <w:color w:val="000000" w:themeColor="text1"/>
        </w:rPr>
        <w:t xml:space="preserve"> jsou nedostatečné komunikační schopnosti </w:t>
      </w:r>
      <w:r w:rsidR="00EF3CF3" w:rsidRPr="003D706A">
        <w:rPr>
          <w:bCs/>
          <w:color w:val="000000" w:themeColor="text1"/>
        </w:rPr>
        <w:t>nastupujících studentů</w:t>
      </w:r>
      <w:r w:rsidR="00EF3CF3" w:rsidRPr="003D706A">
        <w:rPr>
          <w:bCs/>
          <w:color w:val="000000" w:themeColor="text1"/>
        </w:rPr>
        <w:t xml:space="preserve"> </w:t>
      </w:r>
      <w:r w:rsidR="00974327" w:rsidRPr="003D706A">
        <w:rPr>
          <w:bCs/>
          <w:color w:val="000000" w:themeColor="text1"/>
        </w:rPr>
        <w:t>v angli</w:t>
      </w:r>
      <w:r w:rsidR="00EF3CF3" w:rsidRPr="003D706A">
        <w:rPr>
          <w:bCs/>
          <w:color w:val="000000" w:themeColor="text1"/>
        </w:rPr>
        <w:t>ckém jazyce</w:t>
      </w:r>
      <w:r w:rsidR="00974327" w:rsidRPr="003D706A">
        <w:rPr>
          <w:bCs/>
          <w:color w:val="000000" w:themeColor="text1"/>
        </w:rPr>
        <w:t xml:space="preserve">, a to </w:t>
      </w:r>
      <w:r w:rsidR="00365615" w:rsidRPr="003D706A">
        <w:rPr>
          <w:bCs/>
          <w:color w:val="000000" w:themeColor="text1"/>
        </w:rPr>
        <w:t xml:space="preserve">především </w:t>
      </w:r>
      <w:r w:rsidR="00974327" w:rsidRPr="003D706A">
        <w:rPr>
          <w:bCs/>
          <w:color w:val="000000" w:themeColor="text1"/>
        </w:rPr>
        <w:t xml:space="preserve">na odborné bázi. </w:t>
      </w:r>
      <w:r w:rsidR="00EF3CF3" w:rsidRPr="003D706A">
        <w:rPr>
          <w:bCs/>
          <w:color w:val="000000" w:themeColor="text1"/>
        </w:rPr>
        <w:t>Tímto lze vysvětlit diskrepanci mezi úspěchem uchazeče v přijímacím řízení (v němž ne</w:t>
      </w:r>
      <w:r w:rsidR="003D706A">
        <w:rPr>
          <w:bCs/>
          <w:color w:val="000000" w:themeColor="text1"/>
        </w:rPr>
        <w:t>ní možné</w:t>
      </w:r>
      <w:r w:rsidR="00EF3CF3" w:rsidRPr="003D706A">
        <w:rPr>
          <w:bCs/>
          <w:color w:val="000000" w:themeColor="text1"/>
        </w:rPr>
        <w:t xml:space="preserve"> ověřit všechny schopnosti potřebné</w:t>
      </w:r>
      <w:r w:rsidR="00B45E30" w:rsidRPr="003D706A">
        <w:rPr>
          <w:bCs/>
          <w:color w:val="000000" w:themeColor="text1"/>
        </w:rPr>
        <w:t xml:space="preserve"> ke zdárnému absolvování filologického studia</w:t>
      </w:r>
      <w:r w:rsidR="00EF3CF3" w:rsidRPr="003D706A">
        <w:rPr>
          <w:bCs/>
          <w:color w:val="000000" w:themeColor="text1"/>
        </w:rPr>
        <w:t xml:space="preserve">) a následným </w:t>
      </w:r>
      <w:r w:rsidR="00365615" w:rsidRPr="003D706A">
        <w:rPr>
          <w:bCs/>
          <w:color w:val="000000" w:themeColor="text1"/>
        </w:rPr>
        <w:t>studijním selháním</w:t>
      </w:r>
      <w:r w:rsidR="00EF3CF3" w:rsidRPr="003D706A">
        <w:rPr>
          <w:bCs/>
          <w:color w:val="000000" w:themeColor="text1"/>
        </w:rPr>
        <w:t>. Všechna strategická opatření, která budou směřovat k nápravě v této oblasti, musí vést k posílení</w:t>
      </w:r>
      <w:r w:rsidR="00365615" w:rsidRPr="003D706A">
        <w:rPr>
          <w:bCs/>
          <w:color w:val="000000" w:themeColor="text1"/>
        </w:rPr>
        <w:t xml:space="preserve"> složky</w:t>
      </w:r>
      <w:r w:rsidR="00EF3CF3" w:rsidRPr="003D706A">
        <w:rPr>
          <w:bCs/>
          <w:color w:val="000000" w:themeColor="text1"/>
        </w:rPr>
        <w:t xml:space="preserve"> praktického jazyka</w:t>
      </w:r>
      <w:r w:rsidR="00365615" w:rsidRPr="003D706A">
        <w:rPr>
          <w:bCs/>
          <w:color w:val="000000" w:themeColor="text1"/>
        </w:rPr>
        <w:t xml:space="preserve"> ve výuce</w:t>
      </w:r>
      <w:r w:rsidR="00B45E30" w:rsidRPr="003D706A">
        <w:rPr>
          <w:bCs/>
          <w:color w:val="000000" w:themeColor="text1"/>
        </w:rPr>
        <w:t>, jakož i jazykové a terminologické průpravy</w:t>
      </w:r>
      <w:r w:rsidR="00B45E30" w:rsidRPr="003D706A">
        <w:rPr>
          <w:bCs/>
          <w:color w:val="000000" w:themeColor="text1"/>
        </w:rPr>
        <w:t xml:space="preserve"> v jednotlivých odborný</w:t>
      </w:r>
      <w:r w:rsidR="00B45E30" w:rsidRPr="003D706A">
        <w:rPr>
          <w:bCs/>
          <w:color w:val="000000" w:themeColor="text1"/>
        </w:rPr>
        <w:t>ch filologických disciplínách</w:t>
      </w:r>
      <w:r w:rsidR="00B45E30" w:rsidRPr="003D706A">
        <w:rPr>
          <w:bCs/>
          <w:color w:val="000000" w:themeColor="text1"/>
        </w:rPr>
        <w:t>.</w:t>
      </w:r>
      <w:r w:rsidR="00EF3CF3" w:rsidRPr="003D706A">
        <w:rPr>
          <w:bCs/>
          <w:color w:val="000000" w:themeColor="text1"/>
        </w:rPr>
        <w:t xml:space="preserve"> </w:t>
      </w:r>
      <w:r w:rsidR="00365615" w:rsidRPr="003D706A">
        <w:rPr>
          <w:bCs/>
          <w:color w:val="000000" w:themeColor="text1"/>
        </w:rPr>
        <w:t xml:space="preserve">Paralelně budeme v rámci přijímacího řízení usilovat o uchazeče s lepšími filologickou vybaveností, což musí být dlouhodobější snaha, spojená s lepší propagací studijního programu. </w:t>
      </w:r>
      <w:r w:rsidR="00EF3CF3" w:rsidRPr="003D706A">
        <w:rPr>
          <w:bCs/>
          <w:color w:val="000000" w:themeColor="text1"/>
        </w:rPr>
        <w:t>T</w:t>
      </w:r>
      <w:r w:rsidR="00B45E30" w:rsidRPr="003D706A">
        <w:rPr>
          <w:bCs/>
          <w:color w:val="000000" w:themeColor="text1"/>
        </w:rPr>
        <w:t>y</w:t>
      </w:r>
      <w:r w:rsidR="00EF3CF3" w:rsidRPr="003D706A">
        <w:rPr>
          <w:bCs/>
          <w:color w:val="000000" w:themeColor="text1"/>
        </w:rPr>
        <w:t xml:space="preserve">to </w:t>
      </w:r>
      <w:r w:rsidR="00B45E30" w:rsidRPr="003D706A">
        <w:rPr>
          <w:bCs/>
          <w:color w:val="000000" w:themeColor="text1"/>
        </w:rPr>
        <w:t>úva</w:t>
      </w:r>
      <w:r w:rsidR="00AA795D">
        <w:rPr>
          <w:bCs/>
          <w:color w:val="000000" w:themeColor="text1"/>
        </w:rPr>
        <w:t>hy a konkrétní opatření je nezbytné</w:t>
      </w:r>
      <w:r w:rsidR="00B45E30" w:rsidRPr="003D706A">
        <w:rPr>
          <w:bCs/>
          <w:color w:val="000000" w:themeColor="text1"/>
        </w:rPr>
        <w:t xml:space="preserve"> prodiskutovat</w:t>
      </w:r>
      <w:r w:rsidR="00EF3CF3" w:rsidRPr="003D706A">
        <w:rPr>
          <w:bCs/>
          <w:color w:val="000000" w:themeColor="text1"/>
        </w:rPr>
        <w:t xml:space="preserve"> v rámci Rady studijních programů</w:t>
      </w:r>
      <w:r w:rsidR="00B45E30" w:rsidRPr="003D706A">
        <w:rPr>
          <w:bCs/>
          <w:color w:val="000000" w:themeColor="text1"/>
        </w:rPr>
        <w:t xml:space="preserve"> FHS. </w:t>
      </w:r>
    </w:p>
    <w:p w:rsidR="00C14335" w:rsidRDefault="00C14335"/>
    <w:p w:rsidR="00C14335" w:rsidRDefault="000B67FE">
      <w:pPr>
        <w:rPr>
          <w:b/>
          <w:bCs/>
        </w:rPr>
      </w:pPr>
      <w:r>
        <w:rPr>
          <w:b/>
          <w:bCs/>
        </w:rPr>
        <w:t>Část 8) Bez připomínek.</w:t>
      </w:r>
    </w:p>
    <w:p w:rsidR="00C14335" w:rsidRDefault="00C14335"/>
    <w:p w:rsidR="00C14335" w:rsidRDefault="000B67FE">
      <w:pPr>
        <w:rPr>
          <w:b/>
          <w:bCs/>
        </w:rPr>
      </w:pPr>
      <w:r>
        <w:rPr>
          <w:b/>
          <w:bCs/>
        </w:rPr>
        <w:t xml:space="preserve">Část 9) Identifikuji </w:t>
      </w:r>
      <w:proofErr w:type="spellStart"/>
      <w:r>
        <w:rPr>
          <w:b/>
          <w:bCs/>
        </w:rPr>
        <w:t>nízk</w:t>
      </w:r>
      <w:proofErr w:type="spellEnd"/>
      <w:r>
        <w:rPr>
          <w:b/>
          <w:bCs/>
        </w:rPr>
        <w:t xml:space="preserve">[é] zapojení externích </w:t>
      </w:r>
      <w:bookmarkStart w:id="0" w:name="_GoBack"/>
      <w:bookmarkEnd w:id="0"/>
      <w:r>
        <w:rPr>
          <w:b/>
          <w:bCs/>
        </w:rPr>
        <w:t>vyučujících vzhledem</w:t>
      </w:r>
      <w:r>
        <w:rPr>
          <w:b/>
          <w:bCs/>
        </w:rPr>
        <w:t xml:space="preserve"> k charakteru studijního programu. Komentovat panem děkanem.</w:t>
      </w:r>
    </w:p>
    <w:p w:rsidR="00C14335" w:rsidRDefault="00C14335">
      <w:pPr>
        <w:rPr>
          <w:b/>
          <w:bCs/>
        </w:rPr>
      </w:pPr>
    </w:p>
    <w:p w:rsidR="00C14335" w:rsidRDefault="000B67FE">
      <w:r>
        <w:t>Tento zkreslený obraz vznikl zadáním sebehodnotící zprávy, která požadovala informace o „podíl[u] externistů na počtu hodin přednášek [sic]“. Tento je skutečně relativně nízký, protože většina o</w:t>
      </w:r>
      <w:r>
        <w:t>dborníků z praxe je do výuky zapojena formou seminářů, zejména ve filologické části studijního programu.</w:t>
      </w:r>
    </w:p>
    <w:p w:rsidR="00C14335" w:rsidRDefault="00C14335"/>
    <w:p w:rsidR="00C14335" w:rsidRDefault="000B67FE">
      <w:r>
        <w:t>Přednášející odborníci z praxe působí v následujících předmětech: Komunikační praxe (30% přednášek, 20% seminářů), Psychologie pro manažerskou praxi (</w:t>
      </w:r>
      <w:r>
        <w:t>100% přednášek, 100% seminářů), Podniková ekonomie (20% přednášek), Marketing (40% přednášek, 20% seminářů).</w:t>
      </w:r>
    </w:p>
    <w:p w:rsidR="00C14335" w:rsidRDefault="00C14335"/>
    <w:p w:rsidR="00C14335" w:rsidRDefault="000B67FE">
      <w:r>
        <w:t>Pouze v seminářích působí odborníci z praxe v těchto předmětech: Prezentační dovednosti (20% seminářů), Informační technologie (50% seminářů), Odb</w:t>
      </w:r>
      <w:r>
        <w:t>orný jazyk 1 (20% seminářů), Odborný jazyk 2 (20% seminářů), Základy překladu (20% seminářů), Překladatelský seminář (20% seminářů), Počítačem podporovaný překlad (10% seminářů). Tato skupina nebyla v tabulce vůbec zachycena.</w:t>
      </w:r>
    </w:p>
    <w:p w:rsidR="00C14335" w:rsidRDefault="00C14335"/>
    <w:p w:rsidR="00C14335" w:rsidRDefault="000B67FE">
      <w:r>
        <w:t xml:space="preserve">Nižší zastoupení odborníků z </w:t>
      </w:r>
      <w:r>
        <w:t>praxe ve filologické složce je dáno mj. tím, že od těchto odborníků požadujeme znalost anglického jazyka na úrovni C2 - vzhledem k vysokým nárokům, které sami klademe na studenty např. v předmětech Odborný jazyk, nelze připustit zapojení odborníka z praxe,</w:t>
      </w:r>
      <w:r>
        <w:t xml:space="preserve"> který je sice odborníkem ve své oblasti, ale nedosahuje požadované jazykové úrovně. Z tohoto důvodu jsme již museli přistoupit i k výměně některých zamýšlených odborníků z praxe.</w:t>
      </w:r>
    </w:p>
    <w:p w:rsidR="00C14335" w:rsidRDefault="00C14335"/>
    <w:p w:rsidR="00C14335" w:rsidRDefault="000B67FE">
      <w:pPr>
        <w:rPr>
          <w:b/>
          <w:bCs/>
        </w:rPr>
      </w:pPr>
      <w:r>
        <w:rPr>
          <w:b/>
          <w:bCs/>
        </w:rPr>
        <w:t>Část 10) SWOT analýza je poněkud nevyvážená, nicméně je věcí fakulty, jak s</w:t>
      </w:r>
      <w:r>
        <w:rPr>
          <w:b/>
          <w:bCs/>
        </w:rPr>
        <w:t>ituaci sama vnímá.</w:t>
      </w:r>
    </w:p>
    <w:p w:rsidR="00C14335" w:rsidRDefault="00C14335"/>
    <w:p w:rsidR="00C14335" w:rsidRDefault="00C14335"/>
    <w:p w:rsidR="00C14335" w:rsidRDefault="000B67FE">
      <w:pPr>
        <w:pStyle w:val="Bezmezer"/>
        <w:ind w:right="283"/>
        <w:rPr>
          <w:rFonts w:ascii="Arial" w:hAnsi="Arial" w:cs="Arial"/>
        </w:rPr>
      </w:pPr>
      <w:r>
        <w:rPr>
          <w:rFonts w:ascii="Arial" w:hAnsi="Arial" w:cs="Arial"/>
        </w:rPr>
        <w:t>11. 11. 2022</w:t>
      </w:r>
      <w:r>
        <w:rPr>
          <w:rFonts w:ascii="Arial" w:hAnsi="Arial" w:cs="Arial"/>
        </w:rPr>
        <w:tab/>
      </w:r>
    </w:p>
    <w:p w:rsidR="00C14335" w:rsidRDefault="000B67FE">
      <w:pPr>
        <w:pStyle w:val="Bezmezer"/>
        <w:ind w:right="283"/>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t>………………………………………...</w:t>
      </w:r>
    </w:p>
    <w:p w:rsidR="00C14335" w:rsidRDefault="00942BE2" w:rsidP="00942BE2">
      <w:pPr>
        <w:pStyle w:val="Bezmezer"/>
        <w:ind w:right="283"/>
        <w:jc w:val="left"/>
        <w:rPr>
          <w:rFonts w:ascii="Arial" w:hAnsi="Arial" w:cs="Arial"/>
        </w:rPr>
      </w:pPr>
      <w:r>
        <w:rPr>
          <w:rFonts w:ascii="Arial" w:hAnsi="Arial" w:cs="Arial"/>
        </w:rPr>
        <w:t>Datum</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0B67FE">
        <w:rPr>
          <w:rFonts w:ascii="Arial" w:hAnsi="Arial" w:cs="Arial"/>
        </w:rPr>
        <w:t>Podpis garanta studijního programu/obor</w:t>
      </w:r>
      <w:r>
        <w:rPr>
          <w:rFonts w:ascii="Arial" w:hAnsi="Arial" w:cs="Arial"/>
        </w:rPr>
        <w:t>u</w:t>
      </w:r>
    </w:p>
    <w:sectPr w:rsidR="00C14335">
      <w:footerReference w:type="default" r:id="rId8"/>
      <w:footerReference w:type="first" r:id="rId9"/>
      <w:pgSz w:w="11906" w:h="16838"/>
      <w:pgMar w:top="766" w:right="1418" w:bottom="709" w:left="1418" w:header="0" w:footer="0" w:gutter="0"/>
      <w:cols w:space="708"/>
      <w:formProt w:val="0"/>
      <w:titlePg/>
      <w:docGrid w:linePitch="360" w:charSpace="1638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B67FE">
      <w:r>
        <w:separator/>
      </w:r>
    </w:p>
  </w:endnote>
  <w:endnote w:type="continuationSeparator" w:id="0">
    <w:p w:rsidR="00000000" w:rsidRDefault="000B6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iberation Sans">
    <w:altName w:val="Arial"/>
    <w:charset w:val="EE"/>
    <w:family w:val="swiss"/>
    <w:pitch w:val="variable"/>
    <w:sig w:usb0="00000000"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Unicode MS">
    <w:altName w:val="Malgun Gothic Semilight"/>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
    <w:charset w:val="00"/>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248324"/>
      <w:docPartObj>
        <w:docPartGallery w:val="Page Numbers (Bottom of Page)"/>
        <w:docPartUnique/>
      </w:docPartObj>
    </w:sdtPr>
    <w:sdtEndPr/>
    <w:sdtContent>
      <w:p w:rsidR="00C14335" w:rsidRDefault="000B67FE">
        <w:pPr>
          <w:pStyle w:val="Zpat"/>
          <w:jc w:val="center"/>
        </w:pPr>
        <w:r>
          <w:fldChar w:fldCharType="begin"/>
        </w:r>
        <w:r>
          <w:instrText xml:space="preserve"> PAGE </w:instrText>
        </w:r>
        <w:r>
          <w:fldChar w:fldCharType="separate"/>
        </w:r>
        <w:r>
          <w:rPr>
            <w:noProof/>
          </w:rPr>
          <w:t>3</w:t>
        </w:r>
        <w:r>
          <w:fldChar w:fldCharType="end"/>
        </w:r>
      </w:p>
    </w:sdtContent>
  </w:sdt>
  <w:p w:rsidR="00C14335" w:rsidRDefault="00C14335">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7233086"/>
      <w:docPartObj>
        <w:docPartGallery w:val="Page Numbers (Bottom of Page)"/>
        <w:docPartUnique/>
      </w:docPartObj>
    </w:sdtPr>
    <w:sdtEndPr/>
    <w:sdtContent>
      <w:p w:rsidR="00C14335" w:rsidRDefault="000B67FE">
        <w:pPr>
          <w:pStyle w:val="Zpat"/>
          <w:jc w:val="center"/>
        </w:pPr>
        <w:r>
          <w:fldChar w:fldCharType="begin"/>
        </w:r>
        <w:r>
          <w:instrText xml:space="preserve"> PAGE </w:instrText>
        </w:r>
        <w:r>
          <w:fldChar w:fldCharType="separate"/>
        </w:r>
        <w:r w:rsidR="003D706A">
          <w:rPr>
            <w:noProof/>
          </w:rPr>
          <w:t>1</w:t>
        </w:r>
        <w:r>
          <w:fldChar w:fldCharType="end"/>
        </w:r>
      </w:p>
    </w:sdtContent>
  </w:sdt>
  <w:p w:rsidR="00C14335" w:rsidRDefault="00C14335">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B67FE">
      <w:r>
        <w:separator/>
      </w:r>
    </w:p>
  </w:footnote>
  <w:footnote w:type="continuationSeparator" w:id="0">
    <w:p w:rsidR="00000000" w:rsidRDefault="000B67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35"/>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335"/>
    <w:rsid w:val="000B67FE"/>
    <w:rsid w:val="00314331"/>
    <w:rsid w:val="00365615"/>
    <w:rsid w:val="003D706A"/>
    <w:rsid w:val="00793BC4"/>
    <w:rsid w:val="00927DFC"/>
    <w:rsid w:val="00942BE2"/>
    <w:rsid w:val="00974327"/>
    <w:rsid w:val="00AA795D"/>
    <w:rsid w:val="00B45E30"/>
    <w:rsid w:val="00C14335"/>
    <w:rsid w:val="00E027CD"/>
    <w:rsid w:val="00E21D41"/>
    <w:rsid w:val="00EF3CF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CA1AC"/>
  <w15:docId w15:val="{08A1E5F5-F970-4E4E-BEEF-5564396CA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cs-CZ"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6284C"/>
    <w:rPr>
      <w:rFonts w:ascii="Arial" w:hAnsi="Arial"/>
      <w:szCs w:val="20"/>
    </w:rPr>
  </w:style>
  <w:style w:type="paragraph" w:styleId="Nadpis1">
    <w:name w:val="heading 1"/>
    <w:basedOn w:val="Normln"/>
    <w:next w:val="Normln"/>
    <w:link w:val="Nadpis1Char"/>
    <w:uiPriority w:val="9"/>
    <w:qFormat/>
    <w:rsid w:val="00A7737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semiHidden/>
    <w:unhideWhenUsed/>
    <w:qFormat/>
    <w:rsid w:val="000156DB"/>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link w:val="Nadpis4Char"/>
    <w:uiPriority w:val="9"/>
    <w:qFormat/>
    <w:rsid w:val="00B7586F"/>
    <w:pPr>
      <w:spacing w:beforeAutospacing="1" w:afterAutospacing="1"/>
      <w:outlineLvl w:val="3"/>
    </w:pPr>
    <w:rPr>
      <w:rFonts w:ascii="Times New Roman" w:eastAsia="Times New Roman" w:hAnsi="Times New Roman" w:cs="Times New Roman"/>
      <w:b/>
      <w:b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A24846"/>
    <w:rPr>
      <w:rFonts w:ascii="Arial" w:hAnsi="Arial"/>
      <w:sz w:val="20"/>
      <w:szCs w:val="20"/>
    </w:rPr>
  </w:style>
  <w:style w:type="character" w:customStyle="1" w:styleId="ZpatChar">
    <w:name w:val="Zápatí Char"/>
    <w:basedOn w:val="Standardnpsmoodstavce"/>
    <w:link w:val="Zpat"/>
    <w:uiPriority w:val="99"/>
    <w:qFormat/>
    <w:rsid w:val="00A24846"/>
    <w:rPr>
      <w:rFonts w:ascii="Arial" w:hAnsi="Arial"/>
      <w:sz w:val="20"/>
      <w:szCs w:val="20"/>
    </w:rPr>
  </w:style>
  <w:style w:type="character" w:customStyle="1" w:styleId="TextpoznpodarouChar">
    <w:name w:val="Text pozn. pod čarou Char"/>
    <w:basedOn w:val="Standardnpsmoodstavce"/>
    <w:link w:val="Textpoznpodarou"/>
    <w:uiPriority w:val="99"/>
    <w:semiHidden/>
    <w:qFormat/>
    <w:rsid w:val="001E045C"/>
    <w:rPr>
      <w:rFonts w:ascii="Arial" w:hAnsi="Arial"/>
      <w:sz w:val="20"/>
      <w:szCs w:val="20"/>
    </w:rPr>
  </w:style>
  <w:style w:type="character" w:customStyle="1" w:styleId="Ukotvenpoznmkypodarou">
    <w:name w:val="Ukotvení poznámky pod čarou"/>
    <w:qFormat/>
    <w:rPr>
      <w:vertAlign w:val="superscript"/>
    </w:rPr>
  </w:style>
  <w:style w:type="character" w:customStyle="1" w:styleId="FootnoteCharacters">
    <w:name w:val="Footnote Characters"/>
    <w:basedOn w:val="Standardnpsmoodstavce"/>
    <w:uiPriority w:val="99"/>
    <w:semiHidden/>
    <w:unhideWhenUsed/>
    <w:qFormat/>
    <w:rsid w:val="001E045C"/>
    <w:rPr>
      <w:vertAlign w:val="superscript"/>
    </w:rPr>
  </w:style>
  <w:style w:type="character" w:styleId="Odkaznakoment">
    <w:name w:val="annotation reference"/>
    <w:basedOn w:val="Standardnpsmoodstavce"/>
    <w:uiPriority w:val="99"/>
    <w:semiHidden/>
    <w:unhideWhenUsed/>
    <w:qFormat/>
    <w:rsid w:val="00CD1011"/>
    <w:rPr>
      <w:sz w:val="16"/>
      <w:szCs w:val="16"/>
    </w:rPr>
  </w:style>
  <w:style w:type="character" w:customStyle="1" w:styleId="TextkomenteChar">
    <w:name w:val="Text komentáře Char"/>
    <w:basedOn w:val="Standardnpsmoodstavce"/>
    <w:link w:val="Textkomente"/>
    <w:uiPriority w:val="99"/>
    <w:qFormat/>
    <w:rsid w:val="00CD1011"/>
    <w:rPr>
      <w:rFonts w:ascii="Arial" w:hAnsi="Arial"/>
      <w:sz w:val="20"/>
      <w:szCs w:val="20"/>
    </w:rPr>
  </w:style>
  <w:style w:type="character" w:customStyle="1" w:styleId="PedmtkomenteChar">
    <w:name w:val="Předmět komentáře Char"/>
    <w:basedOn w:val="TextkomenteChar"/>
    <w:link w:val="Pedmtkomente"/>
    <w:uiPriority w:val="99"/>
    <w:semiHidden/>
    <w:qFormat/>
    <w:rsid w:val="00CD1011"/>
    <w:rPr>
      <w:rFonts w:ascii="Arial" w:hAnsi="Arial"/>
      <w:b/>
      <w:bCs/>
      <w:sz w:val="20"/>
      <w:szCs w:val="20"/>
    </w:rPr>
  </w:style>
  <w:style w:type="character" w:customStyle="1" w:styleId="TextbublinyChar">
    <w:name w:val="Text bubliny Char"/>
    <w:basedOn w:val="Standardnpsmoodstavce"/>
    <w:link w:val="Textbubliny"/>
    <w:uiPriority w:val="99"/>
    <w:semiHidden/>
    <w:qFormat/>
    <w:rsid w:val="00CD1011"/>
    <w:rPr>
      <w:rFonts w:ascii="Segoe UI" w:hAnsi="Segoe UI" w:cs="Segoe UI"/>
      <w:sz w:val="18"/>
      <w:szCs w:val="18"/>
    </w:rPr>
  </w:style>
  <w:style w:type="character" w:customStyle="1" w:styleId="Internetovodkaz">
    <w:name w:val="Internetový odkaz"/>
    <w:basedOn w:val="Standardnpsmoodstavce"/>
    <w:unhideWhenUsed/>
    <w:qFormat/>
    <w:rsid w:val="00AF4443"/>
    <w:rPr>
      <w:color w:val="0563C1" w:themeColor="hyperlink"/>
      <w:u w:val="single"/>
    </w:rPr>
  </w:style>
  <w:style w:type="character" w:customStyle="1" w:styleId="ProsttextChar">
    <w:name w:val="Prostý text Char"/>
    <w:basedOn w:val="Standardnpsmoodstavce"/>
    <w:link w:val="Prosttext"/>
    <w:uiPriority w:val="99"/>
    <w:qFormat/>
    <w:rsid w:val="005B155E"/>
    <w:rPr>
      <w:rFonts w:ascii="Calibri" w:hAnsi="Calibri"/>
      <w:szCs w:val="21"/>
    </w:rPr>
  </w:style>
  <w:style w:type="character" w:customStyle="1" w:styleId="Nadpis4Char">
    <w:name w:val="Nadpis 4 Char"/>
    <w:basedOn w:val="Standardnpsmoodstavce"/>
    <w:link w:val="Nadpis4"/>
    <w:uiPriority w:val="9"/>
    <w:qFormat/>
    <w:rsid w:val="00B7586F"/>
    <w:rPr>
      <w:rFonts w:ascii="Times New Roman" w:eastAsia="Times New Roman" w:hAnsi="Times New Roman" w:cs="Times New Roman"/>
      <w:b/>
      <w:bCs/>
      <w:sz w:val="24"/>
      <w:szCs w:val="24"/>
      <w:lang w:eastAsia="cs-CZ"/>
    </w:rPr>
  </w:style>
  <w:style w:type="character" w:styleId="Siln">
    <w:name w:val="Strong"/>
    <w:basedOn w:val="Standardnpsmoodstavce"/>
    <w:uiPriority w:val="22"/>
    <w:qFormat/>
    <w:rsid w:val="00B7586F"/>
    <w:rPr>
      <w:b/>
      <w:bCs/>
    </w:rPr>
  </w:style>
  <w:style w:type="character" w:customStyle="1" w:styleId="OdstavecseseznamemChar">
    <w:name w:val="Odstavec se seznamem Char"/>
    <w:link w:val="Odstavecseseznamem"/>
    <w:uiPriority w:val="34"/>
    <w:qFormat/>
    <w:rsid w:val="00CE3DF1"/>
    <w:rPr>
      <w:rFonts w:ascii="Trebuchet MS" w:eastAsia="Times New Roman" w:hAnsi="Trebuchet MS" w:cs="Times New Roman"/>
      <w:sz w:val="24"/>
      <w:szCs w:val="24"/>
      <w:lang w:eastAsia="cs-CZ"/>
    </w:rPr>
  </w:style>
  <w:style w:type="character" w:customStyle="1" w:styleId="hps">
    <w:name w:val="hps"/>
    <w:basedOn w:val="Standardnpsmoodstavce"/>
    <w:qFormat/>
    <w:rsid w:val="000C6557"/>
  </w:style>
  <w:style w:type="character" w:customStyle="1" w:styleId="2ldblah0cf64rqmha4vicd">
    <w:name w:val="_2ldblah0cf64rqmha4vicd"/>
    <w:basedOn w:val="Standardnpsmoodstavce"/>
    <w:qFormat/>
    <w:rsid w:val="00C92F12"/>
  </w:style>
  <w:style w:type="character" w:customStyle="1" w:styleId="Nadpis3Char">
    <w:name w:val="Nadpis 3 Char"/>
    <w:basedOn w:val="Standardnpsmoodstavce"/>
    <w:link w:val="Nadpis3"/>
    <w:uiPriority w:val="9"/>
    <w:semiHidden/>
    <w:qFormat/>
    <w:rsid w:val="000156DB"/>
    <w:rPr>
      <w:rFonts w:asciiTheme="majorHAnsi" w:eastAsiaTheme="majorEastAsia" w:hAnsiTheme="majorHAnsi" w:cstheme="majorBidi"/>
      <w:color w:val="1F4D78" w:themeColor="accent1" w:themeShade="7F"/>
      <w:sz w:val="24"/>
      <w:szCs w:val="24"/>
    </w:rPr>
  </w:style>
  <w:style w:type="character" w:customStyle="1" w:styleId="Ohne">
    <w:name w:val="Ohne"/>
    <w:uiPriority w:val="99"/>
    <w:qFormat/>
    <w:rsid w:val="005772F9"/>
  </w:style>
  <w:style w:type="character" w:customStyle="1" w:styleId="Nadpis1Char">
    <w:name w:val="Nadpis 1 Char"/>
    <w:basedOn w:val="Standardnpsmoodstavce"/>
    <w:link w:val="Nadpis1"/>
    <w:uiPriority w:val="9"/>
    <w:qFormat/>
    <w:rsid w:val="00A7737A"/>
    <w:rPr>
      <w:rFonts w:asciiTheme="majorHAnsi" w:eastAsiaTheme="majorEastAsia" w:hAnsiTheme="majorHAnsi" w:cstheme="majorBidi"/>
      <w:color w:val="2E74B5" w:themeColor="accent1" w:themeShade="BF"/>
      <w:sz w:val="32"/>
      <w:szCs w:val="32"/>
    </w:rPr>
  </w:style>
  <w:style w:type="character" w:styleId="Hypertextovodkaz">
    <w:name w:val="Hyperlink"/>
    <w:basedOn w:val="Standardnpsmoodstavce"/>
    <w:unhideWhenUsed/>
    <w:rsid w:val="00F8348D"/>
    <w:rPr>
      <w:color w:val="0563C1" w:themeColor="hyperlink"/>
      <w:u w:val="single"/>
    </w:rPr>
  </w:style>
  <w:style w:type="paragraph" w:customStyle="1" w:styleId="Heading">
    <w:name w:val="Heading"/>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pPr>
      <w:spacing w:after="140" w:line="276" w:lineRule="auto"/>
    </w:pPr>
  </w:style>
  <w:style w:type="paragraph" w:styleId="Seznam">
    <w:name w:val="List"/>
    <w:basedOn w:val="Zkladntext"/>
    <w:rPr>
      <w:rFonts w:cs="Arial Unicode MS"/>
    </w:rPr>
  </w:style>
  <w:style w:type="paragraph" w:styleId="Titulek">
    <w:name w:val="caption"/>
    <w:basedOn w:val="Normln"/>
    <w:qFormat/>
    <w:pPr>
      <w:suppressLineNumbers/>
      <w:spacing w:before="120" w:after="120"/>
    </w:pPr>
    <w:rPr>
      <w:rFonts w:cs="Arial Unicode MS"/>
      <w:i/>
      <w:iCs/>
      <w:sz w:val="24"/>
      <w:szCs w:val="24"/>
    </w:rPr>
  </w:style>
  <w:style w:type="paragraph" w:customStyle="1" w:styleId="Index">
    <w:name w:val="Index"/>
    <w:basedOn w:val="Normln"/>
    <w:qFormat/>
    <w:pPr>
      <w:suppressLineNumbers/>
    </w:pPr>
    <w:rPr>
      <w:rFonts w:cs="Lohit Devanagari"/>
    </w:rPr>
  </w:style>
  <w:style w:type="paragraph" w:customStyle="1" w:styleId="Nadpis">
    <w:name w:val="Nadpis"/>
    <w:basedOn w:val="Normln"/>
    <w:next w:val="Zkladntext"/>
    <w:qFormat/>
    <w:pPr>
      <w:keepNext/>
      <w:spacing w:before="240" w:after="120"/>
    </w:pPr>
    <w:rPr>
      <w:rFonts w:ascii="Liberation Sans" w:eastAsia="Noto Sans CJK SC" w:hAnsi="Liberation Sans" w:cs="Arial Unicode MS"/>
      <w:sz w:val="28"/>
      <w:szCs w:val="28"/>
    </w:rPr>
  </w:style>
  <w:style w:type="paragraph" w:customStyle="1" w:styleId="Rejstk">
    <w:name w:val="Rejstřík"/>
    <w:basedOn w:val="Normln"/>
    <w:qFormat/>
    <w:pPr>
      <w:suppressLineNumbers/>
    </w:pPr>
    <w:rPr>
      <w:rFonts w:cs="Arial Unicode MS"/>
    </w:rPr>
  </w:style>
  <w:style w:type="paragraph" w:styleId="Bezmezer">
    <w:name w:val="No Spacing"/>
    <w:uiPriority w:val="1"/>
    <w:qFormat/>
    <w:rsid w:val="00A6284C"/>
    <w:pPr>
      <w:widowControl w:val="0"/>
      <w:jc w:val="both"/>
    </w:pPr>
    <w:rPr>
      <w:rFonts w:ascii="Arial Narrow" w:hAnsi="Arial Narrow"/>
      <w:szCs w:val="20"/>
    </w:rPr>
  </w:style>
  <w:style w:type="paragraph" w:customStyle="1" w:styleId="Zhlavazpat">
    <w:name w:val="Záhlaví a zápatí"/>
    <w:basedOn w:val="Normln"/>
    <w:qFormat/>
  </w:style>
  <w:style w:type="paragraph" w:customStyle="1" w:styleId="HeaderandFooter">
    <w:name w:val="Header and Footer"/>
    <w:basedOn w:val="Normln"/>
    <w:qFormat/>
  </w:style>
  <w:style w:type="paragraph" w:styleId="Zhlav">
    <w:name w:val="header"/>
    <w:basedOn w:val="Normln"/>
    <w:link w:val="ZhlavChar"/>
    <w:uiPriority w:val="99"/>
    <w:unhideWhenUsed/>
    <w:rsid w:val="00A24846"/>
    <w:pPr>
      <w:tabs>
        <w:tab w:val="center" w:pos="4536"/>
        <w:tab w:val="right" w:pos="9072"/>
      </w:tabs>
    </w:pPr>
  </w:style>
  <w:style w:type="paragraph" w:styleId="Zpat">
    <w:name w:val="footer"/>
    <w:basedOn w:val="Normln"/>
    <w:link w:val="ZpatChar"/>
    <w:uiPriority w:val="99"/>
    <w:unhideWhenUsed/>
    <w:rsid w:val="00A24846"/>
    <w:pPr>
      <w:tabs>
        <w:tab w:val="center" w:pos="4536"/>
        <w:tab w:val="right" w:pos="9072"/>
      </w:tabs>
    </w:pPr>
  </w:style>
  <w:style w:type="paragraph" w:styleId="Textpoznpodarou">
    <w:name w:val="footnote text"/>
    <w:basedOn w:val="Normln"/>
    <w:link w:val="TextpoznpodarouChar"/>
    <w:uiPriority w:val="99"/>
    <w:semiHidden/>
    <w:unhideWhenUsed/>
    <w:rsid w:val="001E045C"/>
  </w:style>
  <w:style w:type="paragraph" w:styleId="Textkomente">
    <w:name w:val="annotation text"/>
    <w:basedOn w:val="Normln"/>
    <w:link w:val="TextkomenteChar"/>
    <w:uiPriority w:val="99"/>
    <w:unhideWhenUsed/>
    <w:qFormat/>
    <w:rsid w:val="00CD1011"/>
  </w:style>
  <w:style w:type="paragraph" w:styleId="Pedmtkomente">
    <w:name w:val="annotation subject"/>
    <w:basedOn w:val="Textkomente"/>
    <w:next w:val="Textkomente"/>
    <w:link w:val="PedmtkomenteChar"/>
    <w:uiPriority w:val="99"/>
    <w:semiHidden/>
    <w:unhideWhenUsed/>
    <w:qFormat/>
    <w:rsid w:val="00CD1011"/>
    <w:rPr>
      <w:b/>
      <w:bCs/>
    </w:rPr>
  </w:style>
  <w:style w:type="paragraph" w:styleId="Textbubliny">
    <w:name w:val="Balloon Text"/>
    <w:basedOn w:val="Normln"/>
    <w:link w:val="TextbublinyChar"/>
    <w:uiPriority w:val="99"/>
    <w:semiHidden/>
    <w:unhideWhenUsed/>
    <w:qFormat/>
    <w:rsid w:val="00CD1011"/>
    <w:rPr>
      <w:rFonts w:ascii="Segoe UI" w:hAnsi="Segoe UI" w:cs="Segoe UI"/>
      <w:sz w:val="18"/>
      <w:szCs w:val="18"/>
    </w:rPr>
  </w:style>
  <w:style w:type="paragraph" w:styleId="Revize">
    <w:name w:val="Revision"/>
    <w:uiPriority w:val="99"/>
    <w:semiHidden/>
    <w:qFormat/>
    <w:rsid w:val="005D3FB3"/>
    <w:rPr>
      <w:rFonts w:ascii="Arial" w:hAnsi="Arial"/>
      <w:szCs w:val="20"/>
    </w:rPr>
  </w:style>
  <w:style w:type="paragraph" w:styleId="Odstavecseseznamem">
    <w:name w:val="List Paragraph"/>
    <w:basedOn w:val="Normln"/>
    <w:link w:val="OdstavecseseznamemChar"/>
    <w:uiPriority w:val="34"/>
    <w:qFormat/>
    <w:rsid w:val="00087ACC"/>
    <w:pPr>
      <w:spacing w:after="120" w:line="360" w:lineRule="auto"/>
      <w:ind w:left="720"/>
      <w:contextualSpacing/>
      <w:jc w:val="both"/>
    </w:pPr>
    <w:rPr>
      <w:rFonts w:ascii="Trebuchet MS" w:eastAsia="Times New Roman" w:hAnsi="Trebuchet MS" w:cs="Times New Roman"/>
      <w:sz w:val="24"/>
      <w:szCs w:val="24"/>
      <w:lang w:eastAsia="cs-CZ"/>
    </w:rPr>
  </w:style>
  <w:style w:type="paragraph" w:styleId="Prosttext">
    <w:name w:val="Plain Text"/>
    <w:basedOn w:val="Normln"/>
    <w:link w:val="ProsttextChar"/>
    <w:uiPriority w:val="99"/>
    <w:unhideWhenUsed/>
    <w:qFormat/>
    <w:rsid w:val="005B155E"/>
    <w:rPr>
      <w:rFonts w:ascii="Calibri" w:hAnsi="Calibri"/>
      <w:sz w:val="22"/>
      <w:szCs w:val="21"/>
    </w:rPr>
  </w:style>
  <w:style w:type="paragraph" w:styleId="Normlnweb">
    <w:name w:val="Normal (Web)"/>
    <w:basedOn w:val="Normln"/>
    <w:uiPriority w:val="99"/>
    <w:unhideWhenUsed/>
    <w:qFormat/>
    <w:rsid w:val="00BE0780"/>
    <w:pPr>
      <w:spacing w:beforeAutospacing="1" w:afterAutospacing="1"/>
    </w:pPr>
    <w:rPr>
      <w:rFonts w:ascii="Times New Roman" w:hAnsi="Times New Roman" w:cs="Times New Roman"/>
      <w:sz w:val="24"/>
      <w:szCs w:val="24"/>
      <w:lang w:eastAsia="cs-CZ"/>
    </w:rPr>
  </w:style>
  <w:style w:type="paragraph" w:customStyle="1" w:styleId="Default">
    <w:name w:val="Default"/>
    <w:qFormat/>
    <w:rsid w:val="00BF66EF"/>
    <w:rPr>
      <w:rFonts w:ascii="Calibri" w:eastAsia="Calibri" w:hAnsi="Calibri" w:cs="Calibri"/>
      <w:color w:val="000000"/>
      <w:sz w:val="24"/>
      <w:szCs w:val="24"/>
    </w:rPr>
  </w:style>
  <w:style w:type="paragraph" w:customStyle="1" w:styleId="Standard">
    <w:name w:val="Standard"/>
    <w:qFormat/>
    <w:rsid w:val="000C6557"/>
    <w:pPr>
      <w:spacing w:after="200" w:line="276" w:lineRule="auto"/>
      <w:textAlignment w:val="baseline"/>
    </w:pPr>
    <w:rPr>
      <w:rFonts w:eastAsia="SimSun" w:cs="F"/>
      <w:kern w:val="2"/>
      <w:lang w:eastAsia="cs-CZ"/>
    </w:rPr>
  </w:style>
  <w:style w:type="paragraph" w:customStyle="1" w:styleId="paragraph">
    <w:name w:val="paragraph"/>
    <w:basedOn w:val="Normln"/>
    <w:qFormat/>
    <w:rsid w:val="00FB3C1A"/>
    <w:pPr>
      <w:spacing w:beforeAutospacing="1" w:afterAutospacing="1"/>
    </w:pPr>
    <w:rPr>
      <w:rFonts w:ascii="Times New Roman" w:eastAsia="Times New Roman" w:hAnsi="Times New Roman" w:cs="Times New Roman"/>
      <w:sz w:val="24"/>
      <w:szCs w:val="24"/>
      <w:lang w:eastAsia="cs-CZ"/>
    </w:rPr>
  </w:style>
  <w:style w:type="paragraph" w:customStyle="1" w:styleId="bb">
    <w:name w:val="bb"/>
    <w:basedOn w:val="Normln"/>
    <w:qFormat/>
    <w:rsid w:val="00807D71"/>
    <w:pPr>
      <w:ind w:left="283" w:hanging="283"/>
    </w:pPr>
    <w:rPr>
      <w:rFonts w:ascii="Times New Roman" w:eastAsia="Times New Roman" w:hAnsi="Times New Roman" w:cs="Times New Roman"/>
      <w:color w:val="00000A"/>
      <w:lang w:eastAsia="cs-CZ"/>
    </w:rPr>
  </w:style>
  <w:style w:type="paragraph" w:customStyle="1" w:styleId="dx-doi">
    <w:name w:val="dx-doi"/>
    <w:basedOn w:val="Normln"/>
    <w:qFormat/>
    <w:rsid w:val="006E6769"/>
    <w:pPr>
      <w:spacing w:beforeAutospacing="1" w:afterAutospacing="1"/>
    </w:pPr>
    <w:rPr>
      <w:rFonts w:ascii="Times New Roman" w:eastAsia="Times New Roman" w:hAnsi="Times New Roman" w:cs="Times New Roman"/>
      <w:sz w:val="24"/>
      <w:szCs w:val="24"/>
      <w:lang w:eastAsia="cs-CZ"/>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1504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681C0-11D4-48A5-BBA9-40F3A1623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Pages>
  <Words>1103</Words>
  <Characters>6514</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CPP UJEP</Company>
  <LinksUpToDate>false</LinksUpToDate>
  <CharactersWithSpaces>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zukersteinj</dc:creator>
  <dc:description/>
  <cp:lastModifiedBy>Libor Marek</cp:lastModifiedBy>
  <cp:revision>25</cp:revision>
  <cp:lastPrinted>2022-10-03T06:48:00Z</cp:lastPrinted>
  <dcterms:created xsi:type="dcterms:W3CDTF">2022-10-20T14:11:00Z</dcterms:created>
  <dcterms:modified xsi:type="dcterms:W3CDTF">2022-11-13T20:45:00Z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