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705CE947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 xml:space="preserve">Dodatek č. </w:t>
      </w:r>
      <w:r w:rsidR="00B47544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3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7CF89B48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DB62E3">
        <w:rPr>
          <w:b/>
          <w:i/>
        </w:rPr>
        <w:t>1</w:t>
      </w:r>
      <w:r w:rsidR="00E578DD">
        <w:rPr>
          <w:b/>
          <w:i/>
        </w:rPr>
        <w:t>9</w:t>
      </w:r>
      <w:r>
        <w:rPr>
          <w:b/>
          <w:i/>
        </w:rPr>
        <w:t xml:space="preserve">. </w:t>
      </w:r>
      <w:r w:rsidR="00B47544">
        <w:rPr>
          <w:b/>
          <w:i/>
        </w:rPr>
        <w:t>listopadu</w:t>
      </w:r>
      <w:r>
        <w:rPr>
          <w:b/>
          <w:i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126F81D3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5AD430B3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195D33F2" w14:textId="77777777" w:rsidR="00C11981" w:rsidRPr="009557A9" w:rsidRDefault="00C11981" w:rsidP="00C11981"/>
    <w:p w14:paraId="279E9A7D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0A998382" w14:textId="77777777" w:rsidR="00C11981" w:rsidRPr="00C2177C" w:rsidRDefault="00C11981" w:rsidP="00C11981">
      <w:r w:rsidRPr="00C2177C">
        <w:t xml:space="preserve">Zpracoval: </w:t>
      </w:r>
      <w:r w:rsidRPr="00C2177C">
        <w:tab/>
        <w:t xml:space="preserve">Ing. Silvie Vodinská </w:t>
      </w:r>
    </w:p>
    <w:p w14:paraId="3E56BA63" w14:textId="77777777" w:rsidR="00C11981" w:rsidRPr="00C2177C" w:rsidRDefault="00C11981" w:rsidP="00C11981">
      <w:pPr>
        <w:ind w:left="708" w:firstLine="708"/>
      </w:pPr>
      <w:r w:rsidRPr="00C2177C">
        <w:t>kvestorka</w:t>
      </w:r>
    </w:p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/>
    <w:p w14:paraId="4C7F8F00" w14:textId="77777777" w:rsidR="001D2F2B" w:rsidRDefault="001D2F2B" w:rsidP="00C3439D">
      <w:bookmarkStart w:id="95" w:name="_GoBack"/>
      <w:bookmarkEnd w:id="95"/>
    </w:p>
    <w:p w14:paraId="75F06FE6" w14:textId="29397EC3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</w:t>
      </w:r>
      <w:r w:rsidR="007E24FD">
        <w:t>vč. Dodatku č. 1</w:t>
      </w:r>
      <w:r w:rsidR="00D73478">
        <w:t xml:space="preserve"> a </w:t>
      </w:r>
      <w:r w:rsidR="00D73478">
        <w:t xml:space="preserve">Dodatku č. </w:t>
      </w:r>
      <w:r w:rsidR="00D73478">
        <w:t>2</w:t>
      </w:r>
      <w:r w:rsidR="00D73478">
        <w:t xml:space="preserve"> Rozpisu rozpočtu UTB ve Zlíně na rok 2024 </w:t>
      </w:r>
      <w:r w:rsidRPr="002D0EC8">
        <w:t xml:space="preserve">se </w:t>
      </w:r>
      <w:r w:rsidR="00021401">
        <w:t>doplňuje</w:t>
      </w:r>
      <w:r w:rsidRPr="002D0EC8">
        <w:t xml:space="preserve"> takto:</w:t>
      </w:r>
    </w:p>
    <w:p w14:paraId="446C29EA" w14:textId="450A2F82" w:rsidR="001D2F2B" w:rsidRDefault="001D2F2B" w:rsidP="00C3439D"/>
    <w:p w14:paraId="32CD6D16" w14:textId="31715FEE" w:rsidR="00B47544" w:rsidRDefault="00B47544" w:rsidP="00B47544">
      <w:pPr>
        <w:jc w:val="both"/>
      </w:pPr>
      <w:r>
        <w:t xml:space="preserve">Na základě žádosti UMŠ Qočna ze dne 30. 10. 2024 o navýšení prostředků na provoz roku 2024 o částku 200 tis. Kč z důvodu </w:t>
      </w:r>
      <w:r w:rsidR="00E578DD">
        <w:t xml:space="preserve">mimořádného omezení provozu v době letních prázdnin a následného </w:t>
      </w:r>
      <w:r>
        <w:t xml:space="preserve">nižšího výběru školného </w:t>
      </w:r>
      <w:r w:rsidR="00E578DD">
        <w:t>za</w:t>
      </w:r>
      <w:r w:rsidR="00E578DD">
        <w:t> </w:t>
      </w:r>
      <w:r>
        <w:t xml:space="preserve">období </w:t>
      </w:r>
      <w:r w:rsidR="00E578DD">
        <w:t>červenec a srpen 2024</w:t>
      </w:r>
      <w:r>
        <w:t xml:space="preserve"> a </w:t>
      </w:r>
      <w:r w:rsidR="00E578DD">
        <w:t>také z důvodu zvýšených</w:t>
      </w:r>
      <w:r>
        <w:t xml:space="preserve"> výdajů v roce 2024 spojených s revitalizací hřiště se zvyšuje příspěvek UMŠ z</w:t>
      </w:r>
      <w:r w:rsidR="00E578DD">
        <w:t> </w:t>
      </w:r>
      <w:r>
        <w:t>částky</w:t>
      </w:r>
      <w:r w:rsidR="00E578DD">
        <w:t xml:space="preserve"> </w:t>
      </w:r>
      <w:r>
        <w:t>1 100 tis. Kč na 1 300 tis. Kč.</w:t>
      </w:r>
    </w:p>
    <w:p w14:paraId="0BD9C378" w14:textId="3C2C7D74" w:rsidR="00B47544" w:rsidRDefault="00B47544" w:rsidP="00B47544">
      <w:pPr>
        <w:jc w:val="both"/>
      </w:pPr>
    </w:p>
    <w:p w14:paraId="11D5A116" w14:textId="1C33A35C" w:rsidR="00B47544" w:rsidRDefault="00B47544" w:rsidP="00B47544">
      <w:pPr>
        <w:jc w:val="both"/>
      </w:pPr>
      <w:r>
        <w:t>Navýšení příspěvku UMŠ bude</w:t>
      </w:r>
      <w:r w:rsidR="00357594">
        <w:t xml:space="preserve"> v plné výši</w:t>
      </w:r>
      <w:r>
        <w:t xml:space="preserve"> kompenzováno z</w:t>
      </w:r>
      <w:r w:rsidR="00357594">
        <w:t> interního fondu kvestora.</w:t>
      </w:r>
    </w:p>
    <w:p w14:paraId="040EC955" w14:textId="464E6B3D" w:rsidR="00357594" w:rsidRDefault="00357594" w:rsidP="00B47544">
      <w:pPr>
        <w:jc w:val="both"/>
      </w:pPr>
    </w:p>
    <w:p w14:paraId="4974E730" w14:textId="6EF52588" w:rsidR="00357594" w:rsidRDefault="00357594" w:rsidP="00B47544">
      <w:pPr>
        <w:jc w:val="both"/>
      </w:pPr>
      <w:r>
        <w:t>Celkové čerpání dispozičního fondu uvedené v kapitole 6.4. Rozpisu rozpočtu UTB pro rok 2024 se v roce 2024 mění z 8 900 tis. Kč na 9 100 tis. Kč.</w:t>
      </w:r>
    </w:p>
    <w:sectPr w:rsidR="00357594" w:rsidSect="001D2F2B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0C49" w14:textId="77777777" w:rsidR="00A10218" w:rsidRDefault="00A10218" w:rsidP="00433C5A">
      <w:r>
        <w:separator/>
      </w:r>
    </w:p>
  </w:endnote>
  <w:endnote w:type="continuationSeparator" w:id="0">
    <w:p w14:paraId="6BE893AE" w14:textId="77777777" w:rsidR="00A10218" w:rsidRDefault="00A10218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4820B12A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</w:t>
    </w:r>
    <w:r w:rsidR="007F67B7">
      <w:rPr>
        <w:rFonts w:ascii="Arial" w:hAnsi="Arial" w:cs="Arial"/>
        <w:b/>
        <w:i/>
        <w:sz w:val="20"/>
        <w:szCs w:val="20"/>
      </w:rPr>
      <w:t>1</w:t>
    </w:r>
    <w:r w:rsidR="00D73478">
      <w:rPr>
        <w:rFonts w:ascii="Arial" w:hAnsi="Arial" w:cs="Arial"/>
        <w:b/>
        <w:i/>
        <w:sz w:val="20"/>
        <w:szCs w:val="20"/>
      </w:rPr>
      <w:t>9</w:t>
    </w:r>
    <w:r>
      <w:rPr>
        <w:rFonts w:ascii="Arial" w:hAnsi="Arial" w:cs="Arial"/>
        <w:b/>
        <w:i/>
        <w:sz w:val="20"/>
        <w:szCs w:val="20"/>
      </w:rPr>
      <w:t xml:space="preserve">. </w:t>
    </w:r>
    <w:r w:rsidR="00B47544">
      <w:rPr>
        <w:rFonts w:ascii="Arial" w:hAnsi="Arial" w:cs="Arial"/>
        <w:b/>
        <w:i/>
        <w:sz w:val="20"/>
        <w:szCs w:val="20"/>
      </w:rPr>
      <w:t>listo</w:t>
    </w:r>
    <w:r w:rsidR="00357594">
      <w:rPr>
        <w:rFonts w:ascii="Arial" w:hAnsi="Arial" w:cs="Arial"/>
        <w:b/>
        <w:i/>
        <w:sz w:val="20"/>
        <w:szCs w:val="20"/>
      </w:rPr>
      <w:t>p</w:t>
    </w:r>
    <w:r w:rsidR="00B47544">
      <w:rPr>
        <w:rFonts w:ascii="Arial" w:hAnsi="Arial" w:cs="Arial"/>
        <w:b/>
        <w:i/>
        <w:sz w:val="20"/>
        <w:szCs w:val="20"/>
      </w:rPr>
      <w:t>adu</w:t>
    </w:r>
    <w:r>
      <w:rPr>
        <w:rFonts w:ascii="Arial" w:hAnsi="Arial" w:cs="Arial"/>
        <w:b/>
        <w:i/>
        <w:sz w:val="20"/>
        <w:szCs w:val="20"/>
      </w:rPr>
      <w:t xml:space="preserve"> 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7D64" w14:textId="77777777" w:rsidR="00A10218" w:rsidRDefault="00A10218" w:rsidP="00433C5A">
      <w:r>
        <w:separator/>
      </w:r>
    </w:p>
  </w:footnote>
  <w:footnote w:type="continuationSeparator" w:id="0">
    <w:p w14:paraId="4824E2F7" w14:textId="77777777" w:rsidR="00A10218" w:rsidRDefault="00A10218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5CF773EC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B47544">
      <w:rPr>
        <w:rFonts w:ascii="Arial" w:hAnsi="Arial" w:cs="Arial"/>
        <w:b/>
        <w:i/>
        <w:lang w:val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12539"/>
    <w:rsid w:val="00021401"/>
    <w:rsid w:val="00024921"/>
    <w:rsid w:val="000578AF"/>
    <w:rsid w:val="00067F89"/>
    <w:rsid w:val="000E536A"/>
    <w:rsid w:val="001051B2"/>
    <w:rsid w:val="001203E1"/>
    <w:rsid w:val="00176A16"/>
    <w:rsid w:val="001826D1"/>
    <w:rsid w:val="001C15B9"/>
    <w:rsid w:val="001D2F2B"/>
    <w:rsid w:val="001F5F44"/>
    <w:rsid w:val="00235F17"/>
    <w:rsid w:val="00280ED1"/>
    <w:rsid w:val="002B3FCE"/>
    <w:rsid w:val="002C571B"/>
    <w:rsid w:val="002D0EC8"/>
    <w:rsid w:val="002D7C8A"/>
    <w:rsid w:val="003179A7"/>
    <w:rsid w:val="003312A2"/>
    <w:rsid w:val="003417C4"/>
    <w:rsid w:val="00357594"/>
    <w:rsid w:val="00391090"/>
    <w:rsid w:val="003D71DC"/>
    <w:rsid w:val="003D77A4"/>
    <w:rsid w:val="003E39C7"/>
    <w:rsid w:val="004110A0"/>
    <w:rsid w:val="00412EC0"/>
    <w:rsid w:val="00433833"/>
    <w:rsid w:val="00433C5A"/>
    <w:rsid w:val="00450069"/>
    <w:rsid w:val="0047594D"/>
    <w:rsid w:val="00490A7A"/>
    <w:rsid w:val="004D79A1"/>
    <w:rsid w:val="004F23DD"/>
    <w:rsid w:val="004F7C9D"/>
    <w:rsid w:val="00525651"/>
    <w:rsid w:val="0054103B"/>
    <w:rsid w:val="0054464C"/>
    <w:rsid w:val="00547407"/>
    <w:rsid w:val="00584B73"/>
    <w:rsid w:val="005F0CEB"/>
    <w:rsid w:val="00604A69"/>
    <w:rsid w:val="00642FD5"/>
    <w:rsid w:val="00660ACD"/>
    <w:rsid w:val="00672667"/>
    <w:rsid w:val="006A12C2"/>
    <w:rsid w:val="006B1F85"/>
    <w:rsid w:val="006C3B24"/>
    <w:rsid w:val="006C7386"/>
    <w:rsid w:val="006F62FC"/>
    <w:rsid w:val="00731D8E"/>
    <w:rsid w:val="00765C32"/>
    <w:rsid w:val="007B24A3"/>
    <w:rsid w:val="007B7136"/>
    <w:rsid w:val="007C2C39"/>
    <w:rsid w:val="007E24FD"/>
    <w:rsid w:val="007F67B7"/>
    <w:rsid w:val="008315DF"/>
    <w:rsid w:val="00850711"/>
    <w:rsid w:val="00855C96"/>
    <w:rsid w:val="00861BD4"/>
    <w:rsid w:val="008731FF"/>
    <w:rsid w:val="00892B2D"/>
    <w:rsid w:val="008C1096"/>
    <w:rsid w:val="008E327F"/>
    <w:rsid w:val="008F0981"/>
    <w:rsid w:val="008F0C42"/>
    <w:rsid w:val="009058AA"/>
    <w:rsid w:val="009557A9"/>
    <w:rsid w:val="0097108B"/>
    <w:rsid w:val="009A56FD"/>
    <w:rsid w:val="00A10218"/>
    <w:rsid w:val="00A1344F"/>
    <w:rsid w:val="00A24390"/>
    <w:rsid w:val="00A279F0"/>
    <w:rsid w:val="00A37B06"/>
    <w:rsid w:val="00A54257"/>
    <w:rsid w:val="00A60F7D"/>
    <w:rsid w:val="00AC2B32"/>
    <w:rsid w:val="00B326C7"/>
    <w:rsid w:val="00B47544"/>
    <w:rsid w:val="00B60656"/>
    <w:rsid w:val="00B71499"/>
    <w:rsid w:val="00B7263F"/>
    <w:rsid w:val="00BA26CB"/>
    <w:rsid w:val="00BB3C45"/>
    <w:rsid w:val="00BD4552"/>
    <w:rsid w:val="00BE685B"/>
    <w:rsid w:val="00BF04D8"/>
    <w:rsid w:val="00C07268"/>
    <w:rsid w:val="00C11981"/>
    <w:rsid w:val="00C17EA4"/>
    <w:rsid w:val="00C3439D"/>
    <w:rsid w:val="00C52A8B"/>
    <w:rsid w:val="00C67C96"/>
    <w:rsid w:val="00CA5C95"/>
    <w:rsid w:val="00CD3DC5"/>
    <w:rsid w:val="00CD6D04"/>
    <w:rsid w:val="00CE47E4"/>
    <w:rsid w:val="00D01F58"/>
    <w:rsid w:val="00D06AFC"/>
    <w:rsid w:val="00D5374C"/>
    <w:rsid w:val="00D63CC2"/>
    <w:rsid w:val="00D73478"/>
    <w:rsid w:val="00D8083C"/>
    <w:rsid w:val="00DB62E3"/>
    <w:rsid w:val="00DB7897"/>
    <w:rsid w:val="00DC243F"/>
    <w:rsid w:val="00E30BDA"/>
    <w:rsid w:val="00E37130"/>
    <w:rsid w:val="00E54765"/>
    <w:rsid w:val="00E578DD"/>
    <w:rsid w:val="00E71007"/>
    <w:rsid w:val="00E73C53"/>
    <w:rsid w:val="00EB3A4E"/>
    <w:rsid w:val="00EB7FAD"/>
    <w:rsid w:val="00EC02BE"/>
    <w:rsid w:val="00ED3289"/>
    <w:rsid w:val="00EE1E06"/>
    <w:rsid w:val="00F04198"/>
    <w:rsid w:val="00F05D3C"/>
    <w:rsid w:val="00F458CC"/>
    <w:rsid w:val="00F759A5"/>
    <w:rsid w:val="00F96675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A5A1-0507-47E5-96BE-C10A06A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4.xml><?xml version="1.0" encoding="utf-8"?>
<ds:datastoreItem xmlns:ds="http://schemas.openxmlformats.org/officeDocument/2006/customXml" ds:itemID="{FB7C19AE-AFB9-4448-AF6B-50BCAA53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2</cp:revision>
  <cp:lastPrinted>2024-10-17T10:12:00Z</cp:lastPrinted>
  <dcterms:created xsi:type="dcterms:W3CDTF">2024-11-05T20:13:00Z</dcterms:created>
  <dcterms:modified xsi:type="dcterms:W3CDTF">2024-11-05T20:13:00Z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