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3BE8A63E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 xml:space="preserve">Dodatek č. </w:t>
      </w:r>
      <w:r w:rsidR="007B7136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2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1E5781FA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356247" w:rsidRPr="00F6708B">
        <w:rPr>
          <w:b/>
          <w:i/>
          <w:color w:val="FF0000"/>
        </w:rPr>
        <w:t>19</w:t>
      </w:r>
      <w:r w:rsidRPr="00F6708B">
        <w:rPr>
          <w:b/>
          <w:i/>
          <w:color w:val="FF0000"/>
        </w:rPr>
        <w:t>.</w:t>
      </w:r>
      <w:r w:rsidR="00356247" w:rsidRPr="00F6708B">
        <w:rPr>
          <w:b/>
          <w:i/>
          <w:color w:val="FF0000"/>
        </w:rPr>
        <w:t xml:space="preserve"> listopadu</w:t>
      </w:r>
      <w:r w:rsidRPr="00F6708B">
        <w:rPr>
          <w:b/>
          <w:i/>
          <w:color w:val="FF0000"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126F81D3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5AD430B3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95D33F2" w14:textId="77777777" w:rsidR="00C11981" w:rsidRPr="009557A9" w:rsidRDefault="00C11981" w:rsidP="00C11981"/>
    <w:p w14:paraId="279E9A7D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0A998382" w14:textId="77777777" w:rsidR="00C11981" w:rsidRPr="00C2177C" w:rsidRDefault="00C11981" w:rsidP="00C11981">
      <w:r w:rsidRPr="00C2177C">
        <w:t xml:space="preserve">Zpracoval: </w:t>
      </w:r>
      <w:r w:rsidRPr="00C2177C">
        <w:tab/>
        <w:t xml:space="preserve">Ing. Silvie Vodinská </w:t>
      </w:r>
    </w:p>
    <w:p w14:paraId="3E56BA63" w14:textId="77777777" w:rsidR="00C11981" w:rsidRPr="00C2177C" w:rsidRDefault="00C11981" w:rsidP="00C11981">
      <w:pPr>
        <w:ind w:left="708" w:firstLine="708"/>
      </w:pPr>
      <w:r w:rsidRPr="00C2177C">
        <w:t>kvestorka</w:t>
      </w:r>
    </w:p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4C7F8F00" w14:textId="77777777" w:rsidR="001D2F2B" w:rsidRDefault="001D2F2B" w:rsidP="00C3439D"/>
    <w:p w14:paraId="75F06FE6" w14:textId="5CB268FA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</w:t>
      </w:r>
      <w:r w:rsidR="007E24FD">
        <w:t>vč. Dodatku č. 1 Rozpisu rozpo</w:t>
      </w:r>
      <w:r w:rsidR="00021401">
        <w:t xml:space="preserve">čtu UTB ve Zlíně na rok 2024 </w:t>
      </w:r>
      <w:r w:rsidRPr="002D0EC8">
        <w:t xml:space="preserve">se </w:t>
      </w:r>
      <w:r w:rsidR="00021401">
        <w:t>doplňuje</w:t>
      </w:r>
      <w:r w:rsidRPr="002D0EC8">
        <w:t xml:space="preserve"> takto:</w:t>
      </w:r>
    </w:p>
    <w:p w14:paraId="446C29EA" w14:textId="2C502B12" w:rsidR="001D2F2B" w:rsidRDefault="001D2F2B" w:rsidP="00C3439D"/>
    <w:p w14:paraId="4B02AEA9" w14:textId="77777777" w:rsidR="003D77A4" w:rsidRDefault="007B7136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průběhu roku 2024 došlo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 navýšení poskytnutého příspěvku, a 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základě </w:t>
      </w:r>
      <w:r w:rsidRPr="003D77A4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Podnětu k podání žádosti o poskytnutí příspěvku v rámci Fondu vzdělávací politiky na podporu mzdové koheze na veřejných vysokých školách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4CAD398" w14:textId="7B9254BB" w:rsidR="007B7136" w:rsidRDefault="00660AC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UTB ve Zlíně byl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příspěvek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ukazatele F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rok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navýšen o </w:t>
      </w:r>
      <w:r w:rsidR="007B7136" w:rsidRPr="00660AC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21 753 545 Kč</w:t>
      </w:r>
      <w:r w:rsid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08FC6BC" w14:textId="3C617E7D" w:rsidR="00067F89" w:rsidRDefault="00067F89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33E4D64" w14:textId="67769247" w:rsidR="00021401" w:rsidRPr="00863C37" w:rsidRDefault="00A5425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odstatou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tohoto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příspěvku ukazatele F je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realizovat takov</w:t>
      </w:r>
      <w:r w:rsidR="00B81C0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opatření, kter</w:t>
      </w:r>
      <w:r w:rsidR="00B81C0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 jednotlivé kategorie zaměstnanců zajistí srovnatelné mzdové ohodnocení, a to jak z krátkodobého, tak z dlouhodobého hlediska.  Závazek úpravy mzdového předpisu vyplývá i z Kolektivní smlouvy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(článek 24, bod 24.4)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uzavřené dne 15. 7. 2024, kde je uvedeno, že</w:t>
      </w:r>
      <w:r w:rsidR="00672667"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zaměstnavatel, tj. UTB ve Zlíně, zavazuje aktualizovat mzdové tarify do 31. 5. 2025.</w:t>
      </w:r>
    </w:p>
    <w:p w14:paraId="03252568" w14:textId="516BE52C" w:rsidR="00672667" w:rsidRDefault="0067266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Prostředky ukazatele F na mzdovou kohezi tak umožňují UTB ve Zlíně již v roce 2024 provést formou odměny okamžitou kompenzaci nahrazující 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alespoň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částeč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již dříve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avizovanou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aktualizaci mzdových tarifů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343B615" w14:textId="6B9FD14C" w:rsidR="0047594D" w:rsidRDefault="0047594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4BE91C" w14:textId="44BCAB8B" w:rsidR="00660ACD" w:rsidRPr="00067F89" w:rsidRDefault="0047594D" w:rsidP="00067F89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účelem zabezpečení nepřečerpání prostředků ukazatele F mzdová koheze, bude nejprve z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poskytnutého příspěvku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oddělena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částka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ponechána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412EC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finanční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 ve výši 15 %, to je 3 263 031 Kč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ato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oddělená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částka bude určena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krytí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náhrad za dovolené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zotavenou vč. souvisejících odvodů na zdravotní a sociální pojištění a pojištění odpovědnosti zaměstnavatele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proúčtované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následujícím čtvrtletí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(leden až březen 2025)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Dále bude oddělena 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částka na úhradu souvisejících odvodů na zdravotní a sociální pojištění a pojištění odpovědnosti zaměstnavatele z odměny. 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Zbylá část p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oskytnut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příspěvk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u, označeného dále jako příspěvek na krytí odměn,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využit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úhradu odměn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660ACD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dorovnání rozdílů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minimální mzdě a </w:t>
      </w:r>
      <w:r w:rsidR="00660ACD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odměňování za práci stejného či srovnatelného rozsahu, složitosti, odpovědnosti a namáhavosti.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Odměna</w:t>
      </w:r>
      <w:r w:rsidR="006F62FC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zaměstnancům UTB ve Zlíně vyplacen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nejpozději k 31. 12. 2024. </w:t>
      </w:r>
    </w:p>
    <w:p w14:paraId="7F4C1BB4" w14:textId="25CFBC75" w:rsidR="00067F89" w:rsidRDefault="00067F89" w:rsidP="00660ACD">
      <w:pPr>
        <w:pStyle w:val="Default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13453251" w14:textId="5A5AF21E" w:rsidR="00660ACD" w:rsidRDefault="006F62FC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účelem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minimalizace propadu mzdového tarifu pod minimální mzdu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dále také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zajištění skutečného narovnání v odměňování </w:t>
      </w:r>
      <w:r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práci stejného či srovnatelného rozsahu, složitosti, odpovědnosti a namáhavosti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období leden až září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pro výplatu odměny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použit následující algoritmus:</w:t>
      </w:r>
    </w:p>
    <w:p w14:paraId="5543A04F" w14:textId="297917BF" w:rsidR="007B7136" w:rsidRPr="005664F4" w:rsidRDefault="00356247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bookmarkStart w:id="95" w:name="_Hlk180073504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zaměstnancům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9D55B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základě pracovní smlouvy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platné k 30. 11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4767C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2024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kteří jsou zařazeni do mzdové třídy a stupně se mzdovým tarifem,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jehož hodnota v Kč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 nižší než hodnota minimální mzdy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Kč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platné k 1. 1. 2024, bude za každý měsíc jejich úvazku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rozhodném období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doplacena fixní částka, a to ve výši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zohledňující výši jejich úvazku k rozhodnému dni násobené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hodnotou spočítanou jako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jedn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polovin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rozdílu minimální mzdy a jejich mzdového tarifu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 rozhodnému dni</w:t>
      </w:r>
      <w:r w:rsidR="00E4695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="00E37130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bookmarkEnd w:id="95"/>
    <w:p w14:paraId="749E039B" w14:textId="217EF8EA" w:rsidR="003D77A4" w:rsidRPr="005664F4" w:rsidRDefault="009D55B4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 rozdělovaného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příspěvku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snížená o hodnotu objemu ad 1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použita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krytí odměn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to</w:t>
      </w:r>
      <w:r w:rsidR="00B6730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dle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podílu vyplaceného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mzdového tarifu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/smluvní mzdy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pracovníka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rozhodné období na všech vyplacených mzdových tarifech 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rozhodného období 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všech zaměstnanců splňující podmínku úvazku k rozhodnému dni a aktivní pracovní smlouvu k 30.</w:t>
      </w:r>
      <w:r w:rsidR="00E4695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11. </w:t>
      </w:r>
      <w:r w:rsidR="004767C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2024.</w:t>
      </w:r>
    </w:p>
    <w:p w14:paraId="42D6443E" w14:textId="3104E567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E162F5" w14:textId="4C650871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obdobím je leden až září 2024.</w:t>
      </w:r>
    </w:p>
    <w:p w14:paraId="5B01BE3A" w14:textId="0CA9FD74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dnem je 30. 9. 2024</w:t>
      </w:r>
      <w:r w:rsidR="00E4695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8BBD9C0" w14:textId="77777777" w:rsidR="007B24A3" w:rsidRDefault="007B24A3" w:rsidP="00863C37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E7FDA3" w14:textId="257ECDCD" w:rsidR="003179A7" w:rsidRPr="002D0EC8" w:rsidRDefault="007B24A3" w:rsidP="00391090">
      <w:pPr>
        <w:jc w:val="both"/>
      </w:pPr>
      <w:r>
        <w:t xml:space="preserve">Uvedeným algoritmem </w:t>
      </w:r>
      <w:r w:rsidR="00EE1E06">
        <w:t xml:space="preserve">bude realizováno alespoň částečné </w:t>
      </w:r>
      <w:r w:rsidR="00A0202B">
        <w:t>dorovnání mzdových tarifů stanovených pod úrovní minimální mzdy a</w:t>
      </w:r>
      <w:r w:rsidR="008A6915">
        <w:t xml:space="preserve"> dojte tak k dílčímu </w:t>
      </w:r>
      <w:r w:rsidR="00EE1E06">
        <w:t>plánované</w:t>
      </w:r>
      <w:r w:rsidR="00A0202B">
        <w:t>mu</w:t>
      </w:r>
      <w:r w:rsidR="00EE1E06">
        <w:t xml:space="preserve"> navýšení mzdových prostředků</w:t>
      </w:r>
      <w:r w:rsidR="00EB3A4E">
        <w:t xml:space="preserve"> pro všechny pracovníky splňující podmínku </w:t>
      </w:r>
      <w:r w:rsidR="00A0202B">
        <w:t>rozhodného období, rozhodného dne a aktivní pracovní smlouvy</w:t>
      </w:r>
      <w:r w:rsidR="008A6915">
        <w:t>.</w:t>
      </w:r>
      <w:r w:rsidR="00EB3A4E">
        <w:t xml:space="preserve"> </w:t>
      </w:r>
      <w:r w:rsidR="008A6915">
        <w:t>Implementací algoritmu podle bodu 1 a bodu 2 doj</w:t>
      </w:r>
      <w:r w:rsidR="00E46953">
        <w:t>d</w:t>
      </w:r>
      <w:r w:rsidR="008A6915">
        <w:t xml:space="preserve">e </w:t>
      </w:r>
      <w:r w:rsidR="00EB3A4E">
        <w:t>k</w:t>
      </w:r>
      <w:r w:rsidR="008A6915">
        <w:t> </w:t>
      </w:r>
      <w:r w:rsidR="00EB3A4E">
        <w:t>dorovnání</w:t>
      </w:r>
      <w:r w:rsidR="008A6915">
        <w:t xml:space="preserve"> mzdových tarifů </w:t>
      </w:r>
      <w:r w:rsidR="00E46953">
        <w:t xml:space="preserve">nejen u </w:t>
      </w:r>
      <w:r w:rsidR="00EE1E06">
        <w:t>akademick</w:t>
      </w:r>
      <w:r w:rsidR="00E46953">
        <w:t>ých</w:t>
      </w:r>
      <w:r w:rsidR="00EE1E06">
        <w:t xml:space="preserve"> a vědeck</w:t>
      </w:r>
      <w:r w:rsidR="00E46953">
        <w:t>ých</w:t>
      </w:r>
      <w:r w:rsidR="00EE1E06">
        <w:t xml:space="preserve"> pracovník</w:t>
      </w:r>
      <w:r w:rsidR="00E46953">
        <w:t>ů</w:t>
      </w:r>
      <w:r w:rsidR="00EE1E06">
        <w:t xml:space="preserve"> a část</w:t>
      </w:r>
      <w:r w:rsidR="00E46953">
        <w:t>i</w:t>
      </w:r>
      <w:r w:rsidR="00EE1E06">
        <w:t xml:space="preserve"> ostatních pracovníků zařazených ve mzdové třídě T</w:t>
      </w:r>
      <w:r w:rsidR="00BB357D">
        <w:t>8/2</w:t>
      </w:r>
      <w:r w:rsidR="00A0202B">
        <w:t xml:space="preserve"> až</w:t>
      </w:r>
      <w:r w:rsidR="00EE1E06">
        <w:t xml:space="preserve"> T12</w:t>
      </w:r>
      <w:r w:rsidR="00AC4D04">
        <w:t>,</w:t>
      </w:r>
      <w:r w:rsidR="00EE1E06">
        <w:t xml:space="preserve"> </w:t>
      </w:r>
      <w:r w:rsidR="00E46953">
        <w:t xml:space="preserve">ale dojde i k dorovnání mzdových tarifů u pracovníků zařazených ve mzdových třídách </w:t>
      </w:r>
      <w:r w:rsidR="00EB3A4E">
        <w:t>T1-T</w:t>
      </w:r>
      <w:r w:rsidR="00BB357D">
        <w:t>8/1</w:t>
      </w:r>
      <w:r w:rsidR="00EB3A4E">
        <w:t>.</w:t>
      </w:r>
      <w:r w:rsidR="00EE1E06">
        <w:t xml:space="preserve"> </w:t>
      </w:r>
    </w:p>
    <w:sectPr w:rsidR="003179A7" w:rsidRPr="002D0EC8" w:rsidSect="001D2F2B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8B495" w14:textId="77777777" w:rsidR="00CA116B" w:rsidRDefault="00CA116B" w:rsidP="00433C5A">
      <w:r>
        <w:separator/>
      </w:r>
    </w:p>
  </w:endnote>
  <w:endnote w:type="continuationSeparator" w:id="0">
    <w:p w14:paraId="15371ACD" w14:textId="77777777" w:rsidR="00CA116B" w:rsidRDefault="00CA116B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E2A7" w14:textId="52602AB1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356247" w:rsidRPr="00F6708B">
      <w:rPr>
        <w:rFonts w:ascii="Arial" w:hAnsi="Arial" w:cs="Arial"/>
        <w:b/>
        <w:i/>
        <w:color w:val="FF0000"/>
        <w:sz w:val="20"/>
        <w:szCs w:val="20"/>
      </w:rPr>
      <w:t>1</w:t>
    </w:r>
    <w:r w:rsidR="008C56F0" w:rsidRPr="00F6708B">
      <w:rPr>
        <w:rFonts w:ascii="Arial" w:hAnsi="Arial" w:cs="Arial"/>
        <w:b/>
        <w:i/>
        <w:color w:val="FF0000"/>
        <w:sz w:val="20"/>
        <w:szCs w:val="20"/>
      </w:rPr>
      <w:t>9</w:t>
    </w:r>
    <w:r w:rsidRPr="00F6708B">
      <w:rPr>
        <w:rFonts w:ascii="Arial" w:hAnsi="Arial" w:cs="Arial"/>
        <w:b/>
        <w:i/>
        <w:color w:val="FF0000"/>
        <w:sz w:val="20"/>
        <w:szCs w:val="20"/>
      </w:rPr>
      <w:t xml:space="preserve">. </w:t>
    </w:r>
    <w:r w:rsidR="00356247" w:rsidRPr="00F6708B">
      <w:rPr>
        <w:rFonts w:ascii="Arial" w:hAnsi="Arial" w:cs="Arial"/>
        <w:b/>
        <w:i/>
        <w:color w:val="FF0000"/>
        <w:sz w:val="20"/>
        <w:szCs w:val="20"/>
      </w:rPr>
      <w:t>listopadu</w:t>
    </w:r>
    <w:r w:rsidRPr="00F6708B">
      <w:rPr>
        <w:rFonts w:ascii="Arial" w:hAnsi="Arial" w:cs="Arial"/>
        <w:b/>
        <w:i/>
        <w:color w:val="FF0000"/>
        <w:sz w:val="20"/>
        <w:szCs w:val="20"/>
      </w:rPr>
      <w:t xml:space="preserve"> </w:t>
    </w:r>
    <w:r>
      <w:rPr>
        <w:rFonts w:ascii="Arial" w:hAnsi="Arial" w:cs="Arial"/>
        <w:b/>
        <w:i/>
        <w:sz w:val="20"/>
        <w:szCs w:val="20"/>
      </w:rPr>
      <w:t>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3F5A0" w14:textId="77777777" w:rsidR="00CA116B" w:rsidRDefault="00CA116B" w:rsidP="00433C5A">
      <w:r>
        <w:separator/>
      </w:r>
    </w:p>
  </w:footnote>
  <w:footnote w:type="continuationSeparator" w:id="0">
    <w:p w14:paraId="5B26678E" w14:textId="77777777" w:rsidR="00CA116B" w:rsidRDefault="00CA116B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7668" w14:textId="74CA22F6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7B7136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981797">
    <w:abstractNumId w:val="0"/>
  </w:num>
  <w:num w:numId="2" w16cid:durableId="1291782614">
    <w:abstractNumId w:val="8"/>
  </w:num>
  <w:num w:numId="3" w16cid:durableId="442579218">
    <w:abstractNumId w:val="4"/>
  </w:num>
  <w:num w:numId="4" w16cid:durableId="1561138891">
    <w:abstractNumId w:val="2"/>
  </w:num>
  <w:num w:numId="5" w16cid:durableId="1343311948">
    <w:abstractNumId w:val="1"/>
  </w:num>
  <w:num w:numId="6" w16cid:durableId="369694833">
    <w:abstractNumId w:val="3"/>
  </w:num>
  <w:num w:numId="7" w16cid:durableId="1792047328">
    <w:abstractNumId w:val="10"/>
  </w:num>
  <w:num w:numId="8" w16cid:durableId="1479028906">
    <w:abstractNumId w:val="6"/>
  </w:num>
  <w:num w:numId="9" w16cid:durableId="1287005795">
    <w:abstractNumId w:val="9"/>
  </w:num>
  <w:num w:numId="10" w16cid:durableId="1521159374">
    <w:abstractNumId w:val="7"/>
  </w:num>
  <w:num w:numId="11" w16cid:durableId="1108996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1401"/>
    <w:rsid w:val="00024921"/>
    <w:rsid w:val="000578AF"/>
    <w:rsid w:val="00067F89"/>
    <w:rsid w:val="000A730A"/>
    <w:rsid w:val="000E536A"/>
    <w:rsid w:val="001051B2"/>
    <w:rsid w:val="001203E1"/>
    <w:rsid w:val="00176A16"/>
    <w:rsid w:val="001826D1"/>
    <w:rsid w:val="001C15B9"/>
    <w:rsid w:val="001D2F2B"/>
    <w:rsid w:val="001F5F44"/>
    <w:rsid w:val="00235F17"/>
    <w:rsid w:val="00262724"/>
    <w:rsid w:val="00280ED1"/>
    <w:rsid w:val="002B31E1"/>
    <w:rsid w:val="002B3FCE"/>
    <w:rsid w:val="002C571B"/>
    <w:rsid w:val="002D0EC8"/>
    <w:rsid w:val="002D7C8A"/>
    <w:rsid w:val="003179A7"/>
    <w:rsid w:val="003312A2"/>
    <w:rsid w:val="003417C4"/>
    <w:rsid w:val="003470BD"/>
    <w:rsid w:val="00356247"/>
    <w:rsid w:val="00391090"/>
    <w:rsid w:val="003D71DC"/>
    <w:rsid w:val="003D77A4"/>
    <w:rsid w:val="003E39C7"/>
    <w:rsid w:val="004110A0"/>
    <w:rsid w:val="00412EC0"/>
    <w:rsid w:val="00433833"/>
    <w:rsid w:val="00433C5A"/>
    <w:rsid w:val="00450069"/>
    <w:rsid w:val="0047594D"/>
    <w:rsid w:val="004767C6"/>
    <w:rsid w:val="00490A7A"/>
    <w:rsid w:val="004F23DD"/>
    <w:rsid w:val="004F7C9D"/>
    <w:rsid w:val="00525651"/>
    <w:rsid w:val="0054464C"/>
    <w:rsid w:val="00547407"/>
    <w:rsid w:val="005664F4"/>
    <w:rsid w:val="00584B73"/>
    <w:rsid w:val="005F0CEB"/>
    <w:rsid w:val="00604A69"/>
    <w:rsid w:val="00642FD5"/>
    <w:rsid w:val="00660ACD"/>
    <w:rsid w:val="00672667"/>
    <w:rsid w:val="006A12C2"/>
    <w:rsid w:val="006B1F85"/>
    <w:rsid w:val="006C3B24"/>
    <w:rsid w:val="006C7386"/>
    <w:rsid w:val="006F62FC"/>
    <w:rsid w:val="00731D8E"/>
    <w:rsid w:val="00734EAA"/>
    <w:rsid w:val="00765C32"/>
    <w:rsid w:val="007B24A3"/>
    <w:rsid w:val="007B7136"/>
    <w:rsid w:val="007C2C39"/>
    <w:rsid w:val="007D5F41"/>
    <w:rsid w:val="007E24FD"/>
    <w:rsid w:val="008315DF"/>
    <w:rsid w:val="00850711"/>
    <w:rsid w:val="00855C96"/>
    <w:rsid w:val="00861BD4"/>
    <w:rsid w:val="00863C37"/>
    <w:rsid w:val="008731FF"/>
    <w:rsid w:val="00892B2D"/>
    <w:rsid w:val="00893267"/>
    <w:rsid w:val="008A6915"/>
    <w:rsid w:val="008C1096"/>
    <w:rsid w:val="008C56F0"/>
    <w:rsid w:val="008E327F"/>
    <w:rsid w:val="008F0981"/>
    <w:rsid w:val="008F0C42"/>
    <w:rsid w:val="009058AA"/>
    <w:rsid w:val="009557A9"/>
    <w:rsid w:val="0097108B"/>
    <w:rsid w:val="009A56FD"/>
    <w:rsid w:val="009D55B4"/>
    <w:rsid w:val="00A0202B"/>
    <w:rsid w:val="00A24390"/>
    <w:rsid w:val="00A279F0"/>
    <w:rsid w:val="00A27FB3"/>
    <w:rsid w:val="00A37B06"/>
    <w:rsid w:val="00A54257"/>
    <w:rsid w:val="00A60F7D"/>
    <w:rsid w:val="00AC2B32"/>
    <w:rsid w:val="00AC4D04"/>
    <w:rsid w:val="00AD2A8A"/>
    <w:rsid w:val="00B326C7"/>
    <w:rsid w:val="00B60656"/>
    <w:rsid w:val="00B6730A"/>
    <w:rsid w:val="00B71499"/>
    <w:rsid w:val="00B7263F"/>
    <w:rsid w:val="00B81C0D"/>
    <w:rsid w:val="00BA26CB"/>
    <w:rsid w:val="00BB0191"/>
    <w:rsid w:val="00BB357D"/>
    <w:rsid w:val="00BB3C45"/>
    <w:rsid w:val="00BC5EF0"/>
    <w:rsid w:val="00BD4552"/>
    <w:rsid w:val="00BE685B"/>
    <w:rsid w:val="00BF04D8"/>
    <w:rsid w:val="00C07268"/>
    <w:rsid w:val="00C11981"/>
    <w:rsid w:val="00C17EA4"/>
    <w:rsid w:val="00C3439D"/>
    <w:rsid w:val="00C52A8B"/>
    <w:rsid w:val="00C67C96"/>
    <w:rsid w:val="00CA116B"/>
    <w:rsid w:val="00CA5C95"/>
    <w:rsid w:val="00CC1C1A"/>
    <w:rsid w:val="00CD3DC5"/>
    <w:rsid w:val="00CD6D04"/>
    <w:rsid w:val="00CE47E4"/>
    <w:rsid w:val="00D01F58"/>
    <w:rsid w:val="00D06AFC"/>
    <w:rsid w:val="00D5374C"/>
    <w:rsid w:val="00D53C35"/>
    <w:rsid w:val="00D63CC2"/>
    <w:rsid w:val="00D8083C"/>
    <w:rsid w:val="00DB7897"/>
    <w:rsid w:val="00DC243F"/>
    <w:rsid w:val="00E149BD"/>
    <w:rsid w:val="00E30BDA"/>
    <w:rsid w:val="00E37130"/>
    <w:rsid w:val="00E46953"/>
    <w:rsid w:val="00E54765"/>
    <w:rsid w:val="00E71007"/>
    <w:rsid w:val="00E73C53"/>
    <w:rsid w:val="00EA629E"/>
    <w:rsid w:val="00EB3A4E"/>
    <w:rsid w:val="00EB7FAD"/>
    <w:rsid w:val="00EC02BE"/>
    <w:rsid w:val="00ED3289"/>
    <w:rsid w:val="00EE1E06"/>
    <w:rsid w:val="00F04198"/>
    <w:rsid w:val="00F05D3C"/>
    <w:rsid w:val="00F16F31"/>
    <w:rsid w:val="00F458CC"/>
    <w:rsid w:val="00F6708B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0442D-4198-4359-9981-840C652D0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4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3</cp:revision>
  <cp:lastPrinted>2024-11-05T13:55:00Z</cp:lastPrinted>
  <dcterms:created xsi:type="dcterms:W3CDTF">2024-11-05T20:06:00Z</dcterms:created>
  <dcterms:modified xsi:type="dcterms:W3CDTF">2024-11-12T13:10:00Z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