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B700" w14:textId="565F09C0" w:rsidR="00D02164" w:rsidRPr="006220F5" w:rsidRDefault="00D02164" w:rsidP="00D02164">
      <w:pPr>
        <w:spacing w:after="14" w:line="270" w:lineRule="auto"/>
        <w:ind w:left="10" w:right="484" w:hanging="10"/>
      </w:pPr>
      <w:r w:rsidRPr="006220F5">
        <w:rPr>
          <w:b/>
          <w:i/>
        </w:rPr>
        <w:t xml:space="preserve">Příloha č. </w:t>
      </w:r>
      <w:r w:rsidR="000517C9">
        <w:rPr>
          <w:b/>
          <w:i/>
        </w:rPr>
        <w:t>5</w:t>
      </w:r>
      <w:r w:rsidRPr="006220F5">
        <w:rPr>
          <w:b/>
          <w:i/>
        </w:rPr>
        <w:t xml:space="preserve">  </w:t>
      </w:r>
    </w:p>
    <w:p w14:paraId="42DE2569" w14:textId="77777777" w:rsidR="00D02164" w:rsidRPr="006220F5" w:rsidRDefault="00D02164" w:rsidP="00D02164">
      <w:pPr>
        <w:spacing w:after="84" w:line="270" w:lineRule="auto"/>
        <w:ind w:left="10" w:right="484" w:hanging="10"/>
      </w:pPr>
      <w:r w:rsidRPr="006220F5">
        <w:rPr>
          <w:b/>
          <w:i/>
        </w:rPr>
        <w:t xml:space="preserve">k Mzdovému předpisu UTB ve Zlíně </w:t>
      </w:r>
    </w:p>
    <w:p w14:paraId="5F4DFFA4" w14:textId="77777777" w:rsidR="00D02164" w:rsidRDefault="00D02164" w:rsidP="00D02164"/>
    <w:p w14:paraId="4E550FE4" w14:textId="09F2F737" w:rsidR="00D02164" w:rsidRPr="005159F8" w:rsidRDefault="00671304" w:rsidP="00D02164">
      <w:pPr>
        <w:rPr>
          <w:b/>
          <w:bCs/>
          <w:sz w:val="32"/>
          <w:szCs w:val="32"/>
        </w:rPr>
      </w:pPr>
      <w:r>
        <w:rPr>
          <w:b/>
          <w:bCs/>
          <w:sz w:val="32"/>
          <w:szCs w:val="32"/>
        </w:rPr>
        <w:t>Příplatek za vedení a výkon funkce</w:t>
      </w:r>
    </w:p>
    <w:p w14:paraId="69F5E41C" w14:textId="77777777" w:rsidR="004F2185" w:rsidRDefault="004F2185" w:rsidP="00CD7934">
      <w:pPr>
        <w:spacing w:after="133" w:line="268" w:lineRule="auto"/>
        <w:jc w:val="both"/>
        <w:rPr>
          <w:rFonts w:ascii="Times New Roman" w:hAnsi="Times New Roman" w:cs="Times New Roman"/>
          <w:b/>
        </w:rPr>
      </w:pPr>
    </w:p>
    <w:p w14:paraId="7DC9D8DC" w14:textId="59AD100F" w:rsidR="000517C9" w:rsidRPr="006220F5" w:rsidRDefault="000517C9" w:rsidP="000517C9">
      <w:pPr>
        <w:spacing w:after="191"/>
        <w:ind w:left="338"/>
        <w:jc w:val="center"/>
      </w:pPr>
    </w:p>
    <w:p w14:paraId="43915BBE" w14:textId="77777777" w:rsidR="000517C9" w:rsidRPr="006220F5" w:rsidRDefault="000517C9" w:rsidP="000517C9">
      <w:pPr>
        <w:pStyle w:val="Nadpis1"/>
        <w:spacing w:after="81"/>
        <w:ind w:left="678" w:right="392"/>
      </w:pPr>
      <w:r w:rsidRPr="006220F5">
        <w:rPr>
          <w:sz w:val="28"/>
        </w:rPr>
        <w:t>Příplatek za vedení a výkon funkce</w:t>
      </w:r>
      <w:r w:rsidRPr="006220F5">
        <w:rPr>
          <w:b w:val="0"/>
          <w:sz w:val="28"/>
        </w:rPr>
        <w:t xml:space="preserve"> </w:t>
      </w:r>
    </w:p>
    <w:p w14:paraId="3A79708D" w14:textId="3F7267F1" w:rsidR="000517C9" w:rsidRPr="006220F5" w:rsidRDefault="000517C9" w:rsidP="000517C9">
      <w:pPr>
        <w:numPr>
          <w:ilvl w:val="0"/>
          <w:numId w:val="15"/>
        </w:numPr>
        <w:spacing w:after="107" w:line="268" w:lineRule="auto"/>
        <w:ind w:firstLine="283"/>
        <w:jc w:val="both"/>
      </w:pPr>
      <w:r w:rsidRPr="006220F5">
        <w:t xml:space="preserve">Akademickým funkcionářům (čl. 40 odst. 2 Statutu UTB) ve funkci prorektorů náleží za výkon funkce příplatek měsíčně až </w:t>
      </w:r>
      <w:r w:rsidR="00372E9E">
        <w:t>30</w:t>
      </w:r>
      <w:r w:rsidRPr="006220F5">
        <w:t xml:space="preserve"> 000 Kč. </w:t>
      </w:r>
    </w:p>
    <w:p w14:paraId="5FDF939C" w14:textId="5D260DC3" w:rsidR="000517C9" w:rsidRPr="006220F5" w:rsidRDefault="000517C9" w:rsidP="000517C9">
      <w:pPr>
        <w:numPr>
          <w:ilvl w:val="0"/>
          <w:numId w:val="15"/>
        </w:numPr>
        <w:spacing w:after="131" w:line="268" w:lineRule="auto"/>
        <w:ind w:firstLine="283"/>
        <w:jc w:val="both"/>
      </w:pPr>
      <w:r w:rsidRPr="006220F5">
        <w:t xml:space="preserve">Akademickým funkcionářům (čl. 40 odst. 2 Statutu UTB) ve funkci děkan náleží za výkon funkce příplatek měsíčně až </w:t>
      </w:r>
      <w:r w:rsidR="00372E9E">
        <w:t>30</w:t>
      </w:r>
      <w:r w:rsidRPr="006220F5">
        <w:t xml:space="preserve"> 000 Kč. </w:t>
      </w:r>
    </w:p>
    <w:p w14:paraId="1F2E9EF7" w14:textId="279FCC59" w:rsidR="000517C9" w:rsidRPr="006220F5" w:rsidRDefault="000517C9" w:rsidP="000517C9">
      <w:pPr>
        <w:numPr>
          <w:ilvl w:val="0"/>
          <w:numId w:val="15"/>
        </w:numPr>
        <w:spacing w:after="129" w:line="268" w:lineRule="auto"/>
        <w:ind w:firstLine="283"/>
        <w:jc w:val="both"/>
      </w:pPr>
      <w:r w:rsidRPr="006220F5">
        <w:t>Akademickým funkcionářům (čl. 40 odst. 2 Statutu UTB) ve funkci proděkanů náleží za výkon funkce příplatek měsíčně až 2</w:t>
      </w:r>
      <w:r w:rsidR="00372E9E">
        <w:t>0</w:t>
      </w:r>
      <w:r w:rsidRPr="006220F5">
        <w:t xml:space="preserve"> 000 Kč. </w:t>
      </w:r>
    </w:p>
    <w:p w14:paraId="5A9534A8" w14:textId="77777777" w:rsidR="000517C9" w:rsidRPr="006220F5" w:rsidRDefault="000517C9" w:rsidP="000517C9">
      <w:pPr>
        <w:numPr>
          <w:ilvl w:val="0"/>
          <w:numId w:val="15"/>
        </w:numPr>
        <w:spacing w:after="124" w:line="268" w:lineRule="auto"/>
        <w:ind w:firstLine="283"/>
        <w:jc w:val="both"/>
      </w:pPr>
      <w:r w:rsidRPr="006220F5">
        <w:t xml:space="preserve">Předsedovi a členům akademických senátů náleží příplatek za výkon funkce Kč měsíčně: </w:t>
      </w:r>
    </w:p>
    <w:p w14:paraId="29120373" w14:textId="75F6447D" w:rsidR="000517C9" w:rsidRDefault="000517C9" w:rsidP="000517C9">
      <w:pPr>
        <w:numPr>
          <w:ilvl w:val="0"/>
          <w:numId w:val="16"/>
        </w:numPr>
        <w:spacing w:after="136" w:line="268" w:lineRule="auto"/>
        <w:ind w:hanging="286"/>
        <w:jc w:val="both"/>
      </w:pPr>
      <w:r w:rsidRPr="006220F5">
        <w:t xml:space="preserve">členu </w:t>
      </w:r>
      <w:r w:rsidR="009A67E0">
        <w:t>A</w:t>
      </w:r>
      <w:r w:rsidRPr="006220F5">
        <w:t xml:space="preserve">kademického senátu </w:t>
      </w:r>
      <w:r w:rsidR="00850397">
        <w:t xml:space="preserve">UTB </w:t>
      </w:r>
      <w:r w:rsidRPr="006220F5">
        <w:t xml:space="preserve">až </w:t>
      </w:r>
      <w:r w:rsidR="00AF720A">
        <w:t>2</w:t>
      </w:r>
      <w:r w:rsidR="00D86C87">
        <w:t> </w:t>
      </w:r>
      <w:r w:rsidRPr="006220F5">
        <w:t>500</w:t>
      </w:r>
      <w:r w:rsidR="00D86C87">
        <w:t xml:space="preserve"> Kč</w:t>
      </w:r>
    </w:p>
    <w:p w14:paraId="2D91D614" w14:textId="2CDC22CB" w:rsidR="00B71B4A" w:rsidRPr="006220F5" w:rsidRDefault="00B71B4A" w:rsidP="00B71B4A">
      <w:pPr>
        <w:numPr>
          <w:ilvl w:val="0"/>
          <w:numId w:val="16"/>
        </w:numPr>
        <w:spacing w:after="120" w:line="268" w:lineRule="auto"/>
        <w:ind w:hanging="286"/>
        <w:jc w:val="both"/>
      </w:pPr>
      <w:r w:rsidRPr="006220F5">
        <w:t>předsedovi Akademického senátu UTB až trojnásobek příplatku stanoveného podle písmena a)</w:t>
      </w:r>
    </w:p>
    <w:p w14:paraId="341307D4" w14:textId="42CFDE46" w:rsidR="009A67E0" w:rsidRDefault="009A67E0" w:rsidP="000517C9">
      <w:pPr>
        <w:numPr>
          <w:ilvl w:val="0"/>
          <w:numId w:val="16"/>
        </w:numPr>
        <w:spacing w:after="136" w:line="268" w:lineRule="auto"/>
        <w:ind w:hanging="286"/>
        <w:jc w:val="both"/>
      </w:pPr>
      <w:r w:rsidRPr="006220F5">
        <w:t>předsedovi ekonomické komise Akademického senátu UTB a předsedovi legislativní komise Akademického senátu UTB až dvojnásobek příplatku stanoveného podle písmena a)</w:t>
      </w:r>
    </w:p>
    <w:p w14:paraId="069EA03E" w14:textId="649DE551" w:rsidR="00D86C87" w:rsidRPr="006220F5" w:rsidRDefault="00D86C87" w:rsidP="000517C9">
      <w:pPr>
        <w:numPr>
          <w:ilvl w:val="0"/>
          <w:numId w:val="16"/>
        </w:numPr>
        <w:spacing w:after="136" w:line="268" w:lineRule="auto"/>
        <w:ind w:hanging="286"/>
        <w:jc w:val="both"/>
      </w:pPr>
      <w:r>
        <w:t>členu akademického senátu fakulty až 2 000 Kč</w:t>
      </w:r>
    </w:p>
    <w:p w14:paraId="331B1444" w14:textId="2FDBEB07" w:rsidR="000517C9" w:rsidRPr="006220F5" w:rsidRDefault="000517C9" w:rsidP="000517C9">
      <w:pPr>
        <w:numPr>
          <w:ilvl w:val="0"/>
          <w:numId w:val="16"/>
        </w:numPr>
        <w:spacing w:after="133" w:line="268" w:lineRule="auto"/>
        <w:ind w:hanging="286"/>
        <w:jc w:val="both"/>
      </w:pPr>
      <w:r w:rsidRPr="006220F5">
        <w:t xml:space="preserve">předsedovi akademického senátu fakulty, předsedovi ekonomické komise </w:t>
      </w:r>
      <w:r w:rsidR="006F2B76">
        <w:t>a</w:t>
      </w:r>
      <w:r w:rsidRPr="006220F5">
        <w:t xml:space="preserve">kademického senátu </w:t>
      </w:r>
      <w:r w:rsidR="006F2B76">
        <w:t>fakulty</w:t>
      </w:r>
      <w:r w:rsidRPr="006220F5">
        <w:t xml:space="preserve"> a předsedovi legislativní komise </w:t>
      </w:r>
      <w:r w:rsidR="006F2B76">
        <w:t>a</w:t>
      </w:r>
      <w:r w:rsidRPr="006220F5">
        <w:t xml:space="preserve">kademického senátu </w:t>
      </w:r>
      <w:r w:rsidR="006F2B76">
        <w:t>fakulty</w:t>
      </w:r>
      <w:r w:rsidRPr="006220F5">
        <w:t xml:space="preserve"> až dvojnásobek příplatku stanoveného podle písmena </w:t>
      </w:r>
      <w:r w:rsidR="00D56E3D">
        <w:t>d</w:t>
      </w:r>
      <w:r w:rsidRPr="006220F5">
        <w:t xml:space="preserve">), </w:t>
      </w:r>
    </w:p>
    <w:p w14:paraId="6698CC76" w14:textId="3CD661D8" w:rsidR="000517C9" w:rsidRPr="006220F5" w:rsidRDefault="000517C9" w:rsidP="000517C9">
      <w:pPr>
        <w:numPr>
          <w:ilvl w:val="0"/>
          <w:numId w:val="17"/>
        </w:numPr>
        <w:spacing w:after="127" w:line="268" w:lineRule="auto"/>
        <w:ind w:hanging="360"/>
        <w:jc w:val="both"/>
      </w:pPr>
      <w:r w:rsidRPr="006220F5">
        <w:t xml:space="preserve">Vedoucímu zaměstnanci zaměstnavatele na pozici kvestor náleží příplatek za vedení   měsíčně </w:t>
      </w:r>
      <w:r w:rsidR="0030672D">
        <w:t xml:space="preserve"> </w:t>
      </w:r>
      <w:r w:rsidR="0030672D">
        <w:br/>
      </w:r>
      <w:r w:rsidRPr="006220F5">
        <w:t xml:space="preserve">až </w:t>
      </w:r>
      <w:r w:rsidR="0030672D">
        <w:t>3</w:t>
      </w:r>
      <w:r w:rsidRPr="006220F5">
        <w:t xml:space="preserve">0 000 Kč. </w:t>
      </w:r>
    </w:p>
    <w:p w14:paraId="0EE8B8CA" w14:textId="16894E9F" w:rsidR="000517C9" w:rsidRPr="006220F5" w:rsidRDefault="000517C9" w:rsidP="000517C9">
      <w:pPr>
        <w:numPr>
          <w:ilvl w:val="0"/>
          <w:numId w:val="17"/>
        </w:numPr>
        <w:spacing w:after="130" w:line="268" w:lineRule="auto"/>
        <w:ind w:hanging="360"/>
        <w:jc w:val="both"/>
      </w:pPr>
      <w:r w:rsidRPr="006220F5">
        <w:t xml:space="preserve">Vedoucímu zaměstnanci zaměstnavatele na pozici ředitel vysokoškolského ústavu náleží příplatek za vedení měsíčně až </w:t>
      </w:r>
      <w:r w:rsidR="0030672D">
        <w:t>3</w:t>
      </w:r>
      <w:r w:rsidRPr="006220F5">
        <w:t xml:space="preserve">0 000 Kč. </w:t>
      </w:r>
    </w:p>
    <w:p w14:paraId="1105E2C5" w14:textId="031798EF" w:rsidR="000517C9" w:rsidRPr="006220F5" w:rsidRDefault="000517C9" w:rsidP="000517C9">
      <w:pPr>
        <w:numPr>
          <w:ilvl w:val="0"/>
          <w:numId w:val="17"/>
        </w:numPr>
        <w:spacing w:after="135" w:line="268" w:lineRule="auto"/>
        <w:ind w:hanging="360"/>
        <w:jc w:val="both"/>
      </w:pPr>
      <w:r w:rsidRPr="006220F5">
        <w:t xml:space="preserve">Vedoucímu zaměstnanci zaměstnavatele náleží </w:t>
      </w:r>
      <w:r w:rsidR="00022E87">
        <w:t xml:space="preserve">měsíčně </w:t>
      </w:r>
      <w:r w:rsidRPr="006220F5">
        <w:t>příplatek za vedení</w:t>
      </w:r>
      <w:r w:rsidR="00654A83">
        <w:t xml:space="preserve"> takto</w:t>
      </w:r>
      <w:r w:rsidRPr="006220F5">
        <w:t xml:space="preserve">: </w:t>
      </w:r>
    </w:p>
    <w:p w14:paraId="4F89FB85" w14:textId="35B1964E" w:rsidR="00ED3C21" w:rsidRDefault="000517C9" w:rsidP="00ED3C21">
      <w:pPr>
        <w:numPr>
          <w:ilvl w:val="0"/>
          <w:numId w:val="24"/>
        </w:numPr>
        <w:spacing w:after="136" w:line="268" w:lineRule="auto"/>
        <w:jc w:val="both"/>
      </w:pPr>
      <w:r w:rsidRPr="006220F5">
        <w:t>ředitel</w:t>
      </w:r>
      <w:r w:rsidR="00C06C5E">
        <w:t>i</w:t>
      </w:r>
      <w:r w:rsidRPr="006220F5">
        <w:t xml:space="preserve"> součásti, tajemník</w:t>
      </w:r>
      <w:r w:rsidR="000C12D7">
        <w:t>ovi</w:t>
      </w:r>
      <w:r w:rsidRPr="006220F5">
        <w:t xml:space="preserve"> součásti, ředitel</w:t>
      </w:r>
      <w:r w:rsidR="000C12D7">
        <w:t>i</w:t>
      </w:r>
      <w:r w:rsidRPr="006220F5">
        <w:t xml:space="preserve"> regionálního výzkumného centra, vedoucí</w:t>
      </w:r>
      <w:r w:rsidR="000C12D7">
        <w:t>mu</w:t>
      </w:r>
      <w:r w:rsidRPr="006220F5">
        <w:t xml:space="preserve"> pracoviště (například odboru, ústavu), který řídí více útvarů nebo vedoucí</w:t>
      </w:r>
      <w:r w:rsidR="00654A83">
        <w:t>mi</w:t>
      </w:r>
      <w:r w:rsidRPr="006220F5">
        <w:t xml:space="preserve"> pracovišt</w:t>
      </w:r>
      <w:r w:rsidR="00654A83">
        <w:t>i</w:t>
      </w:r>
      <w:r w:rsidRPr="006220F5">
        <w:t xml:space="preserve"> s celoškolskou působností až </w:t>
      </w:r>
      <w:r w:rsidR="00206F3D">
        <w:t>20</w:t>
      </w:r>
      <w:r w:rsidR="00471E40">
        <w:t> </w:t>
      </w:r>
      <w:r w:rsidRPr="006220F5">
        <w:t>000</w:t>
      </w:r>
      <w:r w:rsidR="00471E40">
        <w:t xml:space="preserve"> Kč</w:t>
      </w:r>
      <w:r w:rsidRPr="006220F5">
        <w:t xml:space="preserve">, </w:t>
      </w:r>
    </w:p>
    <w:p w14:paraId="11D422AB" w14:textId="77777777" w:rsidR="00ED3C21" w:rsidRDefault="000517C9" w:rsidP="00ED3C21">
      <w:pPr>
        <w:numPr>
          <w:ilvl w:val="0"/>
          <w:numId w:val="24"/>
        </w:numPr>
        <w:spacing w:after="136" w:line="268" w:lineRule="auto"/>
        <w:jc w:val="both"/>
      </w:pPr>
      <w:r w:rsidRPr="006220F5">
        <w:t>ředitel</w:t>
      </w:r>
      <w:r w:rsidR="000C12D7">
        <w:t>i</w:t>
      </w:r>
      <w:r w:rsidRPr="006220F5">
        <w:t xml:space="preserve"> ústavu, vedoucí</w:t>
      </w:r>
      <w:r w:rsidR="000C12D7">
        <w:t>mu</w:t>
      </w:r>
      <w:r w:rsidRPr="006220F5">
        <w:t xml:space="preserve"> ateliéru, vedoucí</w:t>
      </w:r>
      <w:r w:rsidR="000C12D7">
        <w:t xml:space="preserve">mu </w:t>
      </w:r>
      <w:r w:rsidRPr="006220F5">
        <w:t>pracoviště, vedoucí</w:t>
      </w:r>
      <w:r w:rsidR="000C12D7">
        <w:t>mi</w:t>
      </w:r>
      <w:r w:rsidRPr="006220F5">
        <w:t xml:space="preserve"> oddělení až </w:t>
      </w:r>
      <w:r w:rsidR="00206F3D">
        <w:t>12</w:t>
      </w:r>
      <w:r w:rsidR="00173CE0">
        <w:t> </w:t>
      </w:r>
      <w:r w:rsidRPr="006220F5">
        <w:t>000</w:t>
      </w:r>
      <w:r w:rsidR="00173CE0">
        <w:t xml:space="preserve"> Kč</w:t>
      </w:r>
      <w:r w:rsidRPr="006220F5">
        <w:t xml:space="preserve">, </w:t>
      </w:r>
    </w:p>
    <w:p w14:paraId="4009105C" w14:textId="5BB38A79" w:rsidR="000517C9" w:rsidRPr="006220F5" w:rsidRDefault="000517C9" w:rsidP="00ED3C21">
      <w:pPr>
        <w:numPr>
          <w:ilvl w:val="0"/>
          <w:numId w:val="24"/>
        </w:numPr>
        <w:spacing w:after="136" w:line="268" w:lineRule="auto"/>
        <w:jc w:val="both"/>
      </w:pPr>
      <w:r w:rsidRPr="006220F5">
        <w:t>zaměstnanci, který není uveden v písmenech a) a b), ale je podle organizačního řádu nebo písemného rozhodnutí vedoucího zaměstnance</w:t>
      </w:r>
      <w:r w:rsidR="00217959">
        <w:t xml:space="preserve"> v souladu se Mzdovým předpisem UTB </w:t>
      </w:r>
      <w:r w:rsidRPr="006220F5">
        <w:t xml:space="preserve">oprávněn organizovat, řídit a kontrolovat práci jiných zaměstnanců a dávat jim k tomu účelu závazné pokyny, přísluší podle náročnosti řídící práce příplatek až </w:t>
      </w:r>
      <w:r w:rsidR="00573246">
        <w:t>6</w:t>
      </w:r>
      <w:r w:rsidR="00173CE0">
        <w:t> </w:t>
      </w:r>
      <w:r w:rsidRPr="006220F5">
        <w:t>000</w:t>
      </w:r>
      <w:r w:rsidR="00173CE0">
        <w:t xml:space="preserve"> Kč</w:t>
      </w:r>
      <w:r w:rsidRPr="006220F5">
        <w:t xml:space="preserve">. </w:t>
      </w:r>
    </w:p>
    <w:p w14:paraId="36C5677F" w14:textId="77777777" w:rsidR="000517C9" w:rsidRPr="006220F5" w:rsidRDefault="000517C9" w:rsidP="00173CE0">
      <w:pPr>
        <w:numPr>
          <w:ilvl w:val="0"/>
          <w:numId w:val="17"/>
        </w:numPr>
        <w:spacing w:after="135" w:line="268" w:lineRule="auto"/>
        <w:ind w:hanging="360"/>
        <w:jc w:val="both"/>
      </w:pPr>
      <w:r w:rsidRPr="006220F5">
        <w:lastRenderedPageBreak/>
        <w:t xml:space="preserve">Výši příplatku za vedení nebo výkon funkce stanoví zaměstnavatel v rámci daného rozpětí. Zaměstnavatel může přiznaný příplatek zvýšit nebo snížit. Zaměstnanec s touto změnou musí být předem seznámen.  </w:t>
      </w:r>
    </w:p>
    <w:p w14:paraId="4E205751" w14:textId="77777777" w:rsidR="000517C9" w:rsidRPr="006220F5" w:rsidRDefault="000517C9" w:rsidP="0007475C">
      <w:pPr>
        <w:numPr>
          <w:ilvl w:val="0"/>
          <w:numId w:val="17"/>
        </w:numPr>
        <w:spacing w:after="135" w:line="268" w:lineRule="auto"/>
        <w:ind w:hanging="360"/>
        <w:jc w:val="both"/>
      </w:pPr>
      <w:r w:rsidRPr="006220F5">
        <w:t xml:space="preserve">Poměrná část příplatku za vedení náleží tomu vedoucímu zaměstnanci, který </w:t>
      </w:r>
    </w:p>
    <w:p w14:paraId="49C292A5" w14:textId="77777777" w:rsidR="000517C9" w:rsidRPr="006220F5" w:rsidRDefault="000517C9" w:rsidP="000517C9">
      <w:pPr>
        <w:numPr>
          <w:ilvl w:val="0"/>
          <w:numId w:val="20"/>
        </w:numPr>
        <w:spacing w:after="134" w:line="268" w:lineRule="auto"/>
        <w:ind w:hanging="286"/>
        <w:jc w:val="both"/>
      </w:pPr>
      <w:r w:rsidRPr="006220F5">
        <w:t xml:space="preserve">má sjednánu kratší než stanovenou týdenní pracovní dobu, </w:t>
      </w:r>
    </w:p>
    <w:p w14:paraId="4880A413" w14:textId="77777777" w:rsidR="000517C9" w:rsidRPr="006220F5" w:rsidRDefault="000517C9" w:rsidP="000517C9">
      <w:pPr>
        <w:numPr>
          <w:ilvl w:val="0"/>
          <w:numId w:val="20"/>
        </w:numPr>
        <w:spacing w:after="136" w:line="268" w:lineRule="auto"/>
        <w:ind w:hanging="286"/>
        <w:jc w:val="both"/>
      </w:pPr>
      <w:r w:rsidRPr="006220F5">
        <w:t xml:space="preserve">nastoupí na pracovní místo v průběhu měsíce, </w:t>
      </w:r>
    </w:p>
    <w:p w14:paraId="0A234878" w14:textId="77777777" w:rsidR="000517C9" w:rsidRDefault="000517C9" w:rsidP="000517C9">
      <w:pPr>
        <w:numPr>
          <w:ilvl w:val="0"/>
          <w:numId w:val="20"/>
        </w:numPr>
        <w:spacing w:after="32" w:line="268" w:lineRule="auto"/>
        <w:ind w:hanging="286"/>
        <w:jc w:val="both"/>
      </w:pPr>
      <w:r w:rsidRPr="006220F5">
        <w:t xml:space="preserve">příslušné činnosti vykonával jen část měsíce (ve zbývající pobíral náhradu mzdy nebo dávky nemocenského pojištění a podobně). </w:t>
      </w:r>
    </w:p>
    <w:p w14:paraId="53BDA342" w14:textId="77777777" w:rsidR="0007475C" w:rsidRPr="006220F5" w:rsidRDefault="0007475C" w:rsidP="0007475C">
      <w:pPr>
        <w:spacing w:after="32" w:line="268" w:lineRule="auto"/>
        <w:ind w:left="569"/>
        <w:jc w:val="both"/>
      </w:pPr>
    </w:p>
    <w:p w14:paraId="0587DA19" w14:textId="12EB15B6" w:rsidR="009C3EEA" w:rsidRDefault="000517C9" w:rsidP="001136D4">
      <w:pPr>
        <w:numPr>
          <w:ilvl w:val="0"/>
          <w:numId w:val="17"/>
        </w:numPr>
        <w:spacing w:after="135" w:line="268" w:lineRule="auto"/>
        <w:ind w:left="-142" w:hanging="360"/>
        <w:jc w:val="both"/>
      </w:pPr>
      <w:r w:rsidRPr="006220F5">
        <w:t xml:space="preserve"> Příplatek za výkon funkce předsedovi Akademického senátu UTB stanovuje rektor. Členům Akademického senátu UTB stanovuje příplatky za výkon funkce rektor na návrh předsedy Akademického senátu UTB. Příplatek za výkon funkce předsedovi akademického senátu fakulty stanovuje děkan, členům akademického senátu fakulty stanovuje příplatky za výkon funkce děkan na návrh předsedy akademického senátu fakulty. Na stanovení příplatku za výkon funkce se vztahují obdobně odstavce</w:t>
      </w:r>
      <w:r w:rsidR="00EC26FA">
        <w:t xml:space="preserve"> </w:t>
      </w:r>
      <w:r w:rsidR="00EC26FA">
        <w:br/>
      </w:r>
      <w:r w:rsidRPr="006220F5">
        <w:t xml:space="preserve"> 8 a 9. </w:t>
      </w:r>
    </w:p>
    <w:p w14:paraId="3CD6E18A" w14:textId="59A2F2F0" w:rsidR="000517C9" w:rsidRPr="006220F5" w:rsidRDefault="000517C9" w:rsidP="00D3445E">
      <w:pPr>
        <w:numPr>
          <w:ilvl w:val="0"/>
          <w:numId w:val="17"/>
        </w:numPr>
        <w:spacing w:after="126" w:line="268" w:lineRule="auto"/>
        <w:ind w:left="-142" w:hanging="360"/>
        <w:jc w:val="both"/>
      </w:pPr>
      <w:r w:rsidRPr="006220F5">
        <w:t xml:space="preserve">Zaměstnanci náleží pouze jeden z příplatků uvedených v odstavcích 1 až 3 a 5 až 7. Výši příplatku určí zaměstnanci zaměstnavatel v rámci rozpětí, které je při plnění stanovených podmínek pro zaměstnance výhodnější. </w:t>
      </w:r>
    </w:p>
    <w:p w14:paraId="1A9741FA" w14:textId="77777777" w:rsidR="000517C9" w:rsidRPr="006220F5" w:rsidRDefault="000517C9" w:rsidP="00E37189">
      <w:pPr>
        <w:numPr>
          <w:ilvl w:val="0"/>
          <w:numId w:val="17"/>
        </w:numPr>
        <w:spacing w:after="126" w:line="268" w:lineRule="auto"/>
        <w:ind w:left="-142" w:hanging="360"/>
        <w:jc w:val="both"/>
      </w:pPr>
      <w:r w:rsidRPr="006220F5">
        <w:t xml:space="preserve">Za metodické vedení žádný příplatek nenáleží. </w:t>
      </w:r>
    </w:p>
    <w:p w14:paraId="37CADB4D" w14:textId="77777777" w:rsidR="000517C9" w:rsidRPr="006220F5" w:rsidRDefault="000517C9" w:rsidP="00E1348B">
      <w:pPr>
        <w:numPr>
          <w:ilvl w:val="0"/>
          <w:numId w:val="17"/>
        </w:numPr>
        <w:spacing w:after="126" w:line="268" w:lineRule="auto"/>
        <w:ind w:left="-142" w:hanging="360"/>
        <w:jc w:val="both"/>
      </w:pPr>
      <w:r w:rsidRPr="006220F5">
        <w:t>Vedoucími zaměstnanci jsou ti zaměstnanci, kteří jsou pověřeni vedením na jednotlivých stupních řízení u zaměstnavatele, jsou oprávněni stanovit a ukládat podřízeným zaměstnancům zaměstnavatele pracovní úkoly, organizovat, řídit a kontrolovat jejich práci a dávat jim k tomu účelu závazné pokyny</w:t>
      </w:r>
      <w:r w:rsidRPr="006220F5">
        <w:rPr>
          <w:vertAlign w:val="superscript"/>
        </w:rPr>
        <w:footnoteReference w:id="1"/>
      </w:r>
      <w:r w:rsidRPr="006220F5">
        <w:rPr>
          <w:vertAlign w:val="superscript"/>
        </w:rPr>
        <w:t>)</w:t>
      </w:r>
      <w:r w:rsidRPr="006220F5">
        <w:t xml:space="preserve">. Z předpisu zaměstnavatele (statutu, tohoto mzdového předpisu, organizačního řádu, případně jiného dokumentu) musí vyplývat postavení vedoucího zaměstnance, rozsah jeho působnosti a odpovědnosti. </w:t>
      </w:r>
    </w:p>
    <w:p w14:paraId="5EED2E8F" w14:textId="77777777" w:rsidR="000517C9" w:rsidRDefault="000517C9" w:rsidP="00CD7934">
      <w:pPr>
        <w:spacing w:after="133" w:line="268" w:lineRule="auto"/>
        <w:jc w:val="both"/>
        <w:rPr>
          <w:rFonts w:ascii="Times New Roman" w:hAnsi="Times New Roman" w:cs="Times New Roman"/>
          <w:b/>
        </w:rPr>
      </w:pPr>
    </w:p>
    <w:sectPr w:rsidR="000517C9" w:rsidSect="00D021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438E" w14:textId="77777777" w:rsidR="00276788" w:rsidRDefault="00276788" w:rsidP="00CD0305">
      <w:pPr>
        <w:spacing w:after="0" w:line="240" w:lineRule="auto"/>
      </w:pPr>
      <w:r>
        <w:separator/>
      </w:r>
    </w:p>
  </w:endnote>
  <w:endnote w:type="continuationSeparator" w:id="0">
    <w:p w14:paraId="142A41CD" w14:textId="77777777" w:rsidR="00276788" w:rsidRDefault="00276788" w:rsidP="00CD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BF0B" w14:textId="77777777" w:rsidR="00276788" w:rsidRDefault="00276788" w:rsidP="00CD0305">
      <w:pPr>
        <w:spacing w:after="0" w:line="240" w:lineRule="auto"/>
      </w:pPr>
      <w:r>
        <w:separator/>
      </w:r>
    </w:p>
  </w:footnote>
  <w:footnote w:type="continuationSeparator" w:id="0">
    <w:p w14:paraId="1934DC84" w14:textId="77777777" w:rsidR="00276788" w:rsidRDefault="00276788" w:rsidP="00CD0305">
      <w:pPr>
        <w:spacing w:after="0" w:line="240" w:lineRule="auto"/>
      </w:pPr>
      <w:r>
        <w:continuationSeparator/>
      </w:r>
    </w:p>
  </w:footnote>
  <w:footnote w:id="1">
    <w:p w14:paraId="7C4BFDBF" w14:textId="77777777" w:rsidR="000517C9" w:rsidRDefault="000517C9" w:rsidP="000517C9">
      <w:pPr>
        <w:pStyle w:val="footnotedescription"/>
        <w:spacing w:after="14"/>
        <w:ind w:left="0" w:right="0"/>
      </w:pPr>
      <w:r>
        <w:rPr>
          <w:rStyle w:val="footnotemark"/>
        </w:rPr>
        <w:footnoteRef/>
      </w:r>
      <w:r>
        <w:t xml:space="preserve"> ) § 11 zákoníku práce. </w:t>
      </w:r>
    </w:p>
    <w:p w14:paraId="0A52945B" w14:textId="77777777" w:rsidR="000517C9" w:rsidRDefault="000517C9" w:rsidP="000517C9">
      <w:pPr>
        <w:pStyle w:val="footnotedescription"/>
        <w:ind w:left="0" w:right="0"/>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C84"/>
    <w:multiLevelType w:val="hybridMultilevel"/>
    <w:tmpl w:val="B98CD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23AB2"/>
    <w:multiLevelType w:val="hybridMultilevel"/>
    <w:tmpl w:val="1922AA0E"/>
    <w:lvl w:ilvl="0" w:tplc="7C041F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2CE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C6C1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2093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C8F4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A8111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6E4C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A163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A8C63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185C0C"/>
    <w:multiLevelType w:val="hybridMultilevel"/>
    <w:tmpl w:val="0BB0C514"/>
    <w:lvl w:ilvl="0" w:tplc="22EE8812">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6BE2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E541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4565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61A1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E60F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0B8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9E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8F5C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D6FE3"/>
    <w:multiLevelType w:val="hybridMultilevel"/>
    <w:tmpl w:val="45B242AA"/>
    <w:lvl w:ilvl="0" w:tplc="E15C0C20">
      <w:start w:val="1"/>
      <w:numFmt w:val="lowerLetter"/>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630A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9C938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04F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E378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C5F62">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EE90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0CA7EA">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10B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E233CA"/>
    <w:multiLevelType w:val="hybridMultilevel"/>
    <w:tmpl w:val="141E41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D2C11"/>
    <w:multiLevelType w:val="hybridMultilevel"/>
    <w:tmpl w:val="6502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4C24BF"/>
    <w:multiLevelType w:val="hybridMultilevel"/>
    <w:tmpl w:val="D826AF92"/>
    <w:lvl w:ilvl="0" w:tplc="05C24F86">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0CA2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E09D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844E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6A78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AEBC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67AB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0262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23D4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CE6EFD"/>
    <w:multiLevelType w:val="hybridMultilevel"/>
    <w:tmpl w:val="A32A2150"/>
    <w:lvl w:ilvl="0" w:tplc="E7E28D06">
      <w:start w:val="1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0052B9"/>
    <w:multiLevelType w:val="hybridMultilevel"/>
    <w:tmpl w:val="79A65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207EE4"/>
    <w:multiLevelType w:val="hybridMultilevel"/>
    <w:tmpl w:val="45B242AA"/>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E23D2F"/>
    <w:multiLevelType w:val="hybridMultilevel"/>
    <w:tmpl w:val="45B242AA"/>
    <w:lvl w:ilvl="0" w:tplc="FFFFFFFF">
      <w:start w:val="1"/>
      <w:numFmt w:val="lowerLetter"/>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302CBD"/>
    <w:multiLevelType w:val="hybridMultilevel"/>
    <w:tmpl w:val="36B64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575A41"/>
    <w:multiLevelType w:val="hybridMultilevel"/>
    <w:tmpl w:val="9620C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923B52"/>
    <w:multiLevelType w:val="hybridMultilevel"/>
    <w:tmpl w:val="DA626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8F76FD"/>
    <w:multiLevelType w:val="hybridMultilevel"/>
    <w:tmpl w:val="28EC4EEC"/>
    <w:lvl w:ilvl="0" w:tplc="1BCCCD54">
      <w:start w:val="1"/>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2C93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42D4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4A00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63BB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2BDC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0F5E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ACC0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CA51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EF2D5E"/>
    <w:multiLevelType w:val="hybridMultilevel"/>
    <w:tmpl w:val="55287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B62D3F"/>
    <w:multiLevelType w:val="hybridMultilevel"/>
    <w:tmpl w:val="F1001EC4"/>
    <w:lvl w:ilvl="0" w:tplc="04050017">
      <w:start w:val="1"/>
      <w:numFmt w:val="lowerLetter"/>
      <w:lvlText w:val="%1)"/>
      <w:lvlJc w:val="left"/>
      <w:pPr>
        <w:ind w:left="929" w:hanging="360"/>
      </w:p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17" w15:restartNumberingAfterBreak="0">
    <w:nsid w:val="5E71672B"/>
    <w:multiLevelType w:val="hybridMultilevel"/>
    <w:tmpl w:val="6FFC8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AC52E9"/>
    <w:multiLevelType w:val="hybridMultilevel"/>
    <w:tmpl w:val="0D2EE63E"/>
    <w:lvl w:ilvl="0" w:tplc="5484B54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2463AA">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C2224">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8C21C">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4ECDC">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CDDCA">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AB206">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055B4">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67BAC">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CB01EC"/>
    <w:multiLevelType w:val="hybridMultilevel"/>
    <w:tmpl w:val="AD6EC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6A3A80"/>
    <w:multiLevelType w:val="hybridMultilevel"/>
    <w:tmpl w:val="DF58BA5C"/>
    <w:lvl w:ilvl="0" w:tplc="FF66718A">
      <w:start w:val="8"/>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A4EF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A644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86B7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C5C0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8CC9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2A28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457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8947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0705D8"/>
    <w:multiLevelType w:val="hybridMultilevel"/>
    <w:tmpl w:val="B85AE544"/>
    <w:lvl w:ilvl="0" w:tplc="10ECAF96">
      <w:start w:val="12"/>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C8C9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22C8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09C5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4728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25EA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6145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88B6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8640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377AC7"/>
    <w:multiLevelType w:val="hybridMultilevel"/>
    <w:tmpl w:val="F398D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1812BD"/>
    <w:multiLevelType w:val="hybridMultilevel"/>
    <w:tmpl w:val="46381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8436300">
    <w:abstractNumId w:val="11"/>
  </w:num>
  <w:num w:numId="2" w16cid:durableId="1060404290">
    <w:abstractNumId w:val="17"/>
  </w:num>
  <w:num w:numId="3" w16cid:durableId="2129540032">
    <w:abstractNumId w:val="15"/>
  </w:num>
  <w:num w:numId="4" w16cid:durableId="2052416489">
    <w:abstractNumId w:val="8"/>
  </w:num>
  <w:num w:numId="5" w16cid:durableId="1532650612">
    <w:abstractNumId w:val="13"/>
  </w:num>
  <w:num w:numId="6" w16cid:durableId="1748258228">
    <w:abstractNumId w:val="12"/>
  </w:num>
  <w:num w:numId="7" w16cid:durableId="91634471">
    <w:abstractNumId w:val="23"/>
  </w:num>
  <w:num w:numId="8" w16cid:durableId="1554611571">
    <w:abstractNumId w:val="0"/>
  </w:num>
  <w:num w:numId="9" w16cid:durableId="165677964">
    <w:abstractNumId w:val="6"/>
  </w:num>
  <w:num w:numId="10" w16cid:durableId="1143502889">
    <w:abstractNumId w:val="19"/>
  </w:num>
  <w:num w:numId="11" w16cid:durableId="908539408">
    <w:abstractNumId w:val="5"/>
  </w:num>
  <w:num w:numId="12" w16cid:durableId="1642269966">
    <w:abstractNumId w:val="22"/>
  </w:num>
  <w:num w:numId="13" w16cid:durableId="2001613464">
    <w:abstractNumId w:val="7"/>
  </w:num>
  <w:num w:numId="14" w16cid:durableId="1561817905">
    <w:abstractNumId w:val="4"/>
  </w:num>
  <w:num w:numId="15" w16cid:durableId="2018002609">
    <w:abstractNumId w:val="1"/>
  </w:num>
  <w:num w:numId="16" w16cid:durableId="1146166838">
    <w:abstractNumId w:val="3"/>
  </w:num>
  <w:num w:numId="17" w16cid:durableId="668601653">
    <w:abstractNumId w:val="2"/>
  </w:num>
  <w:num w:numId="18" w16cid:durableId="1660839038">
    <w:abstractNumId w:val="18"/>
  </w:num>
  <w:num w:numId="19" w16cid:durableId="1038513159">
    <w:abstractNumId w:val="20"/>
  </w:num>
  <w:num w:numId="20" w16cid:durableId="96406998">
    <w:abstractNumId w:val="14"/>
  </w:num>
  <w:num w:numId="21" w16cid:durableId="1179198643">
    <w:abstractNumId w:val="21"/>
  </w:num>
  <w:num w:numId="22" w16cid:durableId="1444421457">
    <w:abstractNumId w:val="9"/>
  </w:num>
  <w:num w:numId="23" w16cid:durableId="2091388660">
    <w:abstractNumId w:val="16"/>
  </w:num>
  <w:num w:numId="24" w16cid:durableId="2010981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5B"/>
    <w:rsid w:val="00022E87"/>
    <w:rsid w:val="00025A24"/>
    <w:rsid w:val="000517C9"/>
    <w:rsid w:val="0007475C"/>
    <w:rsid w:val="00083618"/>
    <w:rsid w:val="00092094"/>
    <w:rsid w:val="000C12D7"/>
    <w:rsid w:val="001136D4"/>
    <w:rsid w:val="001162BF"/>
    <w:rsid w:val="0013736E"/>
    <w:rsid w:val="00146B0B"/>
    <w:rsid w:val="00164BAB"/>
    <w:rsid w:val="00173CE0"/>
    <w:rsid w:val="001C3262"/>
    <w:rsid w:val="00206F3D"/>
    <w:rsid w:val="00217959"/>
    <w:rsid w:val="00241100"/>
    <w:rsid w:val="002509EF"/>
    <w:rsid w:val="00262545"/>
    <w:rsid w:val="00266052"/>
    <w:rsid w:val="00276788"/>
    <w:rsid w:val="002965B2"/>
    <w:rsid w:val="002C3910"/>
    <w:rsid w:val="002D7238"/>
    <w:rsid w:val="002F48E6"/>
    <w:rsid w:val="003010A3"/>
    <w:rsid w:val="00303B88"/>
    <w:rsid w:val="0030672D"/>
    <w:rsid w:val="00324861"/>
    <w:rsid w:val="0034291F"/>
    <w:rsid w:val="003653A9"/>
    <w:rsid w:val="00372E9E"/>
    <w:rsid w:val="00375EA6"/>
    <w:rsid w:val="00386678"/>
    <w:rsid w:val="00393A22"/>
    <w:rsid w:val="003A3E6D"/>
    <w:rsid w:val="003B5014"/>
    <w:rsid w:val="003F0E61"/>
    <w:rsid w:val="0040122B"/>
    <w:rsid w:val="00470A70"/>
    <w:rsid w:val="00471E40"/>
    <w:rsid w:val="004761E7"/>
    <w:rsid w:val="00486E21"/>
    <w:rsid w:val="004A3BE5"/>
    <w:rsid w:val="004A45EB"/>
    <w:rsid w:val="004A7ED0"/>
    <w:rsid w:val="004B1434"/>
    <w:rsid w:val="004F2185"/>
    <w:rsid w:val="0050037F"/>
    <w:rsid w:val="005049A0"/>
    <w:rsid w:val="00511558"/>
    <w:rsid w:val="005535D3"/>
    <w:rsid w:val="00573246"/>
    <w:rsid w:val="00580F82"/>
    <w:rsid w:val="005F0340"/>
    <w:rsid w:val="006039AD"/>
    <w:rsid w:val="006109AF"/>
    <w:rsid w:val="00622E16"/>
    <w:rsid w:val="00626A5B"/>
    <w:rsid w:val="00650593"/>
    <w:rsid w:val="0065166B"/>
    <w:rsid w:val="00654A83"/>
    <w:rsid w:val="00671304"/>
    <w:rsid w:val="006A6411"/>
    <w:rsid w:val="006F2B76"/>
    <w:rsid w:val="007052DB"/>
    <w:rsid w:val="0072375B"/>
    <w:rsid w:val="00724352"/>
    <w:rsid w:val="00746CB6"/>
    <w:rsid w:val="007637D1"/>
    <w:rsid w:val="00782F23"/>
    <w:rsid w:val="007F4730"/>
    <w:rsid w:val="00804615"/>
    <w:rsid w:val="00850397"/>
    <w:rsid w:val="0086279E"/>
    <w:rsid w:val="008A2589"/>
    <w:rsid w:val="008B5823"/>
    <w:rsid w:val="008D32CC"/>
    <w:rsid w:val="008D55E9"/>
    <w:rsid w:val="008F4C70"/>
    <w:rsid w:val="00943DA9"/>
    <w:rsid w:val="00945172"/>
    <w:rsid w:val="00960F87"/>
    <w:rsid w:val="009904F1"/>
    <w:rsid w:val="009A67E0"/>
    <w:rsid w:val="009B31CE"/>
    <w:rsid w:val="009C3EEA"/>
    <w:rsid w:val="009C4679"/>
    <w:rsid w:val="009C6906"/>
    <w:rsid w:val="00A032BF"/>
    <w:rsid w:val="00A448DC"/>
    <w:rsid w:val="00A501F6"/>
    <w:rsid w:val="00A531CC"/>
    <w:rsid w:val="00A72941"/>
    <w:rsid w:val="00A778C7"/>
    <w:rsid w:val="00A81B98"/>
    <w:rsid w:val="00AB2D72"/>
    <w:rsid w:val="00AC5F24"/>
    <w:rsid w:val="00AE7852"/>
    <w:rsid w:val="00AF2B9C"/>
    <w:rsid w:val="00AF720A"/>
    <w:rsid w:val="00B12F1B"/>
    <w:rsid w:val="00B16E80"/>
    <w:rsid w:val="00B22453"/>
    <w:rsid w:val="00B2430A"/>
    <w:rsid w:val="00B27E2C"/>
    <w:rsid w:val="00B4050E"/>
    <w:rsid w:val="00B71B4A"/>
    <w:rsid w:val="00BB3296"/>
    <w:rsid w:val="00BC053F"/>
    <w:rsid w:val="00BC15C5"/>
    <w:rsid w:val="00C05929"/>
    <w:rsid w:val="00C06C5E"/>
    <w:rsid w:val="00C442E2"/>
    <w:rsid w:val="00C91DCE"/>
    <w:rsid w:val="00CB009E"/>
    <w:rsid w:val="00CD0305"/>
    <w:rsid w:val="00CD7934"/>
    <w:rsid w:val="00D02164"/>
    <w:rsid w:val="00D176B3"/>
    <w:rsid w:val="00D24187"/>
    <w:rsid w:val="00D266B6"/>
    <w:rsid w:val="00D26E13"/>
    <w:rsid w:val="00D50F28"/>
    <w:rsid w:val="00D52D33"/>
    <w:rsid w:val="00D54552"/>
    <w:rsid w:val="00D56E3D"/>
    <w:rsid w:val="00D67997"/>
    <w:rsid w:val="00D72591"/>
    <w:rsid w:val="00D85DB8"/>
    <w:rsid w:val="00D86C87"/>
    <w:rsid w:val="00DA5EB2"/>
    <w:rsid w:val="00DA659A"/>
    <w:rsid w:val="00DA7289"/>
    <w:rsid w:val="00DC37DE"/>
    <w:rsid w:val="00DC3A2D"/>
    <w:rsid w:val="00DD5B01"/>
    <w:rsid w:val="00DE0DC0"/>
    <w:rsid w:val="00E1348B"/>
    <w:rsid w:val="00E37189"/>
    <w:rsid w:val="00E43018"/>
    <w:rsid w:val="00E563C7"/>
    <w:rsid w:val="00E94D99"/>
    <w:rsid w:val="00EB4BC1"/>
    <w:rsid w:val="00EC26FA"/>
    <w:rsid w:val="00ED3C21"/>
    <w:rsid w:val="00ED65EF"/>
    <w:rsid w:val="00EE09B5"/>
    <w:rsid w:val="00EF26C7"/>
    <w:rsid w:val="00F12B1F"/>
    <w:rsid w:val="00F32C56"/>
    <w:rsid w:val="00F46807"/>
    <w:rsid w:val="00FA60DA"/>
    <w:rsid w:val="00FB2F5F"/>
    <w:rsid w:val="00FC3001"/>
    <w:rsid w:val="00FC4E6A"/>
    <w:rsid w:val="00FD6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B5E6"/>
  <w15:chartTrackingRefBased/>
  <w15:docId w15:val="{6D4B861D-7379-4D9B-AED1-7A791400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next w:val="Normln"/>
    <w:link w:val="Nadpis1Char"/>
    <w:uiPriority w:val="9"/>
    <w:qFormat/>
    <w:rsid w:val="000517C9"/>
    <w:pPr>
      <w:keepNext/>
      <w:keepLines/>
      <w:spacing w:after="23"/>
      <w:ind w:left="114" w:hanging="10"/>
      <w:jc w:val="center"/>
      <w:outlineLvl w:val="0"/>
    </w:pPr>
    <w:rPr>
      <w:rFonts w:ascii="Times New Roman" w:eastAsia="Times New Roman" w:hAnsi="Times New Roman" w:cs="Times New Roman"/>
      <w:b/>
      <w:color w:val="000000"/>
      <w:kern w:val="2"/>
      <w:sz w:val="24"/>
      <w:szCs w:val="24"/>
      <w:lang w:eastAsia="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375B"/>
    <w:pPr>
      <w:ind w:left="720"/>
      <w:contextualSpacing/>
    </w:pPr>
  </w:style>
  <w:style w:type="table" w:styleId="Mkatabulky">
    <w:name w:val="Table Grid"/>
    <w:basedOn w:val="Normlntabulka"/>
    <w:uiPriority w:val="39"/>
    <w:rsid w:val="0050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D030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0305"/>
    <w:rPr>
      <w:sz w:val="20"/>
      <w:szCs w:val="20"/>
    </w:rPr>
  </w:style>
  <w:style w:type="character" w:styleId="Znakapoznpodarou">
    <w:name w:val="footnote reference"/>
    <w:basedOn w:val="Standardnpsmoodstavce"/>
    <w:uiPriority w:val="99"/>
    <w:semiHidden/>
    <w:unhideWhenUsed/>
    <w:rsid w:val="00CD0305"/>
    <w:rPr>
      <w:vertAlign w:val="superscript"/>
    </w:rPr>
  </w:style>
  <w:style w:type="paragraph" w:customStyle="1" w:styleId="Default">
    <w:name w:val="Default"/>
    <w:rsid w:val="00AF2B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uiPriority w:val="9"/>
    <w:rsid w:val="000517C9"/>
    <w:rPr>
      <w:rFonts w:ascii="Times New Roman" w:eastAsia="Times New Roman" w:hAnsi="Times New Roman" w:cs="Times New Roman"/>
      <w:b/>
      <w:color w:val="000000"/>
      <w:kern w:val="2"/>
      <w:sz w:val="24"/>
      <w:szCs w:val="24"/>
      <w:lang w:eastAsia="cs-CZ"/>
      <w14:ligatures w14:val="standardContextual"/>
    </w:rPr>
  </w:style>
  <w:style w:type="paragraph" w:customStyle="1" w:styleId="footnotedescription">
    <w:name w:val="footnote description"/>
    <w:next w:val="Normln"/>
    <w:link w:val="footnotedescriptionChar"/>
    <w:hidden/>
    <w:rsid w:val="000517C9"/>
    <w:pPr>
      <w:spacing w:after="0"/>
      <w:ind w:left="602" w:right="500"/>
    </w:pPr>
    <w:rPr>
      <w:rFonts w:ascii="Garamond" w:eastAsia="Garamond" w:hAnsi="Garamond" w:cs="Garamond"/>
      <w:i/>
      <w:color w:val="000000"/>
      <w:kern w:val="2"/>
      <w:sz w:val="20"/>
      <w:szCs w:val="24"/>
      <w:lang w:eastAsia="cs-CZ"/>
      <w14:ligatures w14:val="standardContextual"/>
    </w:rPr>
  </w:style>
  <w:style w:type="character" w:customStyle="1" w:styleId="footnotedescriptionChar">
    <w:name w:val="footnote description Char"/>
    <w:link w:val="footnotedescription"/>
    <w:rsid w:val="000517C9"/>
    <w:rPr>
      <w:rFonts w:ascii="Garamond" w:eastAsia="Garamond" w:hAnsi="Garamond" w:cs="Garamond"/>
      <w:i/>
      <w:color w:val="000000"/>
      <w:kern w:val="2"/>
      <w:sz w:val="20"/>
      <w:szCs w:val="24"/>
      <w:lang w:eastAsia="cs-CZ"/>
      <w14:ligatures w14:val="standardContextual"/>
    </w:rPr>
  </w:style>
  <w:style w:type="character" w:customStyle="1" w:styleId="footnotemark">
    <w:name w:val="footnote mark"/>
    <w:hidden/>
    <w:rsid w:val="000517C9"/>
    <w:rPr>
      <w:rFonts w:ascii="Garamond" w:eastAsia="Garamond" w:hAnsi="Garamond" w:cs="Garamond"/>
      <w: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66">
      <w:bodyDiv w:val="1"/>
      <w:marLeft w:val="0"/>
      <w:marRight w:val="0"/>
      <w:marTop w:val="0"/>
      <w:marBottom w:val="0"/>
      <w:divBdr>
        <w:top w:val="none" w:sz="0" w:space="0" w:color="auto"/>
        <w:left w:val="none" w:sz="0" w:space="0" w:color="auto"/>
        <w:bottom w:val="none" w:sz="0" w:space="0" w:color="auto"/>
        <w:right w:val="none" w:sz="0" w:space="0" w:color="auto"/>
      </w:divBdr>
    </w:div>
    <w:div w:id="168643201">
      <w:bodyDiv w:val="1"/>
      <w:marLeft w:val="0"/>
      <w:marRight w:val="0"/>
      <w:marTop w:val="0"/>
      <w:marBottom w:val="0"/>
      <w:divBdr>
        <w:top w:val="none" w:sz="0" w:space="0" w:color="auto"/>
        <w:left w:val="none" w:sz="0" w:space="0" w:color="auto"/>
        <w:bottom w:val="none" w:sz="0" w:space="0" w:color="auto"/>
        <w:right w:val="none" w:sz="0" w:space="0" w:color="auto"/>
      </w:divBdr>
    </w:div>
    <w:div w:id="197162101">
      <w:bodyDiv w:val="1"/>
      <w:marLeft w:val="0"/>
      <w:marRight w:val="0"/>
      <w:marTop w:val="0"/>
      <w:marBottom w:val="0"/>
      <w:divBdr>
        <w:top w:val="none" w:sz="0" w:space="0" w:color="auto"/>
        <w:left w:val="none" w:sz="0" w:space="0" w:color="auto"/>
        <w:bottom w:val="none" w:sz="0" w:space="0" w:color="auto"/>
        <w:right w:val="none" w:sz="0" w:space="0" w:color="auto"/>
      </w:divBdr>
    </w:div>
    <w:div w:id="386223356">
      <w:bodyDiv w:val="1"/>
      <w:marLeft w:val="0"/>
      <w:marRight w:val="0"/>
      <w:marTop w:val="0"/>
      <w:marBottom w:val="0"/>
      <w:divBdr>
        <w:top w:val="none" w:sz="0" w:space="0" w:color="auto"/>
        <w:left w:val="none" w:sz="0" w:space="0" w:color="auto"/>
        <w:bottom w:val="none" w:sz="0" w:space="0" w:color="auto"/>
        <w:right w:val="none" w:sz="0" w:space="0" w:color="auto"/>
      </w:divBdr>
    </w:div>
    <w:div w:id="452557076">
      <w:bodyDiv w:val="1"/>
      <w:marLeft w:val="0"/>
      <w:marRight w:val="0"/>
      <w:marTop w:val="0"/>
      <w:marBottom w:val="0"/>
      <w:divBdr>
        <w:top w:val="none" w:sz="0" w:space="0" w:color="auto"/>
        <w:left w:val="none" w:sz="0" w:space="0" w:color="auto"/>
        <w:bottom w:val="none" w:sz="0" w:space="0" w:color="auto"/>
        <w:right w:val="none" w:sz="0" w:space="0" w:color="auto"/>
      </w:divBdr>
    </w:div>
    <w:div w:id="529297552">
      <w:bodyDiv w:val="1"/>
      <w:marLeft w:val="0"/>
      <w:marRight w:val="0"/>
      <w:marTop w:val="0"/>
      <w:marBottom w:val="0"/>
      <w:divBdr>
        <w:top w:val="none" w:sz="0" w:space="0" w:color="auto"/>
        <w:left w:val="none" w:sz="0" w:space="0" w:color="auto"/>
        <w:bottom w:val="none" w:sz="0" w:space="0" w:color="auto"/>
        <w:right w:val="none" w:sz="0" w:space="0" w:color="auto"/>
      </w:divBdr>
    </w:div>
    <w:div w:id="557473701">
      <w:bodyDiv w:val="1"/>
      <w:marLeft w:val="0"/>
      <w:marRight w:val="0"/>
      <w:marTop w:val="0"/>
      <w:marBottom w:val="0"/>
      <w:divBdr>
        <w:top w:val="none" w:sz="0" w:space="0" w:color="auto"/>
        <w:left w:val="none" w:sz="0" w:space="0" w:color="auto"/>
        <w:bottom w:val="none" w:sz="0" w:space="0" w:color="auto"/>
        <w:right w:val="none" w:sz="0" w:space="0" w:color="auto"/>
      </w:divBdr>
    </w:div>
    <w:div w:id="574706109">
      <w:bodyDiv w:val="1"/>
      <w:marLeft w:val="0"/>
      <w:marRight w:val="0"/>
      <w:marTop w:val="0"/>
      <w:marBottom w:val="0"/>
      <w:divBdr>
        <w:top w:val="none" w:sz="0" w:space="0" w:color="auto"/>
        <w:left w:val="none" w:sz="0" w:space="0" w:color="auto"/>
        <w:bottom w:val="none" w:sz="0" w:space="0" w:color="auto"/>
        <w:right w:val="none" w:sz="0" w:space="0" w:color="auto"/>
      </w:divBdr>
    </w:div>
    <w:div w:id="662780704">
      <w:bodyDiv w:val="1"/>
      <w:marLeft w:val="0"/>
      <w:marRight w:val="0"/>
      <w:marTop w:val="0"/>
      <w:marBottom w:val="0"/>
      <w:divBdr>
        <w:top w:val="none" w:sz="0" w:space="0" w:color="auto"/>
        <w:left w:val="none" w:sz="0" w:space="0" w:color="auto"/>
        <w:bottom w:val="none" w:sz="0" w:space="0" w:color="auto"/>
        <w:right w:val="none" w:sz="0" w:space="0" w:color="auto"/>
      </w:divBdr>
    </w:div>
    <w:div w:id="889925984">
      <w:bodyDiv w:val="1"/>
      <w:marLeft w:val="0"/>
      <w:marRight w:val="0"/>
      <w:marTop w:val="0"/>
      <w:marBottom w:val="0"/>
      <w:divBdr>
        <w:top w:val="none" w:sz="0" w:space="0" w:color="auto"/>
        <w:left w:val="none" w:sz="0" w:space="0" w:color="auto"/>
        <w:bottom w:val="none" w:sz="0" w:space="0" w:color="auto"/>
        <w:right w:val="none" w:sz="0" w:space="0" w:color="auto"/>
      </w:divBdr>
    </w:div>
    <w:div w:id="1064380011">
      <w:bodyDiv w:val="1"/>
      <w:marLeft w:val="0"/>
      <w:marRight w:val="0"/>
      <w:marTop w:val="0"/>
      <w:marBottom w:val="0"/>
      <w:divBdr>
        <w:top w:val="none" w:sz="0" w:space="0" w:color="auto"/>
        <w:left w:val="none" w:sz="0" w:space="0" w:color="auto"/>
        <w:bottom w:val="none" w:sz="0" w:space="0" w:color="auto"/>
        <w:right w:val="none" w:sz="0" w:space="0" w:color="auto"/>
      </w:divBdr>
    </w:div>
    <w:div w:id="1220018542">
      <w:bodyDiv w:val="1"/>
      <w:marLeft w:val="0"/>
      <w:marRight w:val="0"/>
      <w:marTop w:val="0"/>
      <w:marBottom w:val="0"/>
      <w:divBdr>
        <w:top w:val="none" w:sz="0" w:space="0" w:color="auto"/>
        <w:left w:val="none" w:sz="0" w:space="0" w:color="auto"/>
        <w:bottom w:val="none" w:sz="0" w:space="0" w:color="auto"/>
        <w:right w:val="none" w:sz="0" w:space="0" w:color="auto"/>
      </w:divBdr>
    </w:div>
    <w:div w:id="1347485954">
      <w:bodyDiv w:val="1"/>
      <w:marLeft w:val="0"/>
      <w:marRight w:val="0"/>
      <w:marTop w:val="0"/>
      <w:marBottom w:val="0"/>
      <w:divBdr>
        <w:top w:val="none" w:sz="0" w:space="0" w:color="auto"/>
        <w:left w:val="none" w:sz="0" w:space="0" w:color="auto"/>
        <w:bottom w:val="none" w:sz="0" w:space="0" w:color="auto"/>
        <w:right w:val="none" w:sz="0" w:space="0" w:color="auto"/>
      </w:divBdr>
    </w:div>
    <w:div w:id="1375350960">
      <w:bodyDiv w:val="1"/>
      <w:marLeft w:val="0"/>
      <w:marRight w:val="0"/>
      <w:marTop w:val="0"/>
      <w:marBottom w:val="0"/>
      <w:divBdr>
        <w:top w:val="none" w:sz="0" w:space="0" w:color="auto"/>
        <w:left w:val="none" w:sz="0" w:space="0" w:color="auto"/>
        <w:bottom w:val="none" w:sz="0" w:space="0" w:color="auto"/>
        <w:right w:val="none" w:sz="0" w:space="0" w:color="auto"/>
      </w:divBdr>
    </w:div>
    <w:div w:id="19181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7CF1-7585-47EC-8259-B9E9FFBF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3309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Sobieská</dc:creator>
  <cp:keywords/>
  <dc:description/>
  <cp:lastModifiedBy>Milan Adámek</cp:lastModifiedBy>
  <cp:revision>2</cp:revision>
  <dcterms:created xsi:type="dcterms:W3CDTF">2025-09-14T11:09:00Z</dcterms:created>
  <dcterms:modified xsi:type="dcterms:W3CDTF">2025-09-14T11:09:00Z</dcterms:modified>
</cp:coreProperties>
</file>