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A0B5" w14:textId="588AC02D" w:rsidR="009E5684" w:rsidRDefault="001000DD" w:rsidP="00216EFF">
      <w:pPr>
        <w:spacing w:after="13"/>
        <w:ind w:left="1947" w:right="1719"/>
        <w:jc w:val="center"/>
      </w:pPr>
      <w:r>
        <w:rPr>
          <w:b/>
          <w:sz w:val="28"/>
        </w:rPr>
        <w:t xml:space="preserve">ŘÁD HOSPODAŘENÍ A ÚČTOVÁNÍ </w:t>
      </w:r>
    </w:p>
    <w:p w14:paraId="04902A88" w14:textId="24FF9544" w:rsidR="009E5684" w:rsidRDefault="001000DD">
      <w:pPr>
        <w:spacing w:after="174"/>
        <w:ind w:left="1947" w:right="1647"/>
        <w:jc w:val="center"/>
      </w:pPr>
      <w:r>
        <w:rPr>
          <w:b/>
          <w:sz w:val="28"/>
        </w:rPr>
        <w:t xml:space="preserve">UNIVERZITY TOMÁŠE BATI VE ZLÍNĚ </w:t>
      </w:r>
      <w:r w:rsidR="00AA015C">
        <w:rPr>
          <w:b/>
          <w:sz w:val="28"/>
        </w:rPr>
        <w:t xml:space="preserve"> </w:t>
      </w:r>
    </w:p>
    <w:p w14:paraId="29BC50AA" w14:textId="77777777" w:rsidR="009E5684" w:rsidRDefault="001000DD">
      <w:pPr>
        <w:spacing w:after="0" w:line="259" w:lineRule="auto"/>
        <w:ind w:left="340" w:firstLine="0"/>
        <w:jc w:val="center"/>
      </w:pPr>
      <w:r>
        <w:rPr>
          <w:b/>
          <w:i/>
          <w:sz w:val="48"/>
        </w:rPr>
        <w:t xml:space="preserve"> </w:t>
      </w:r>
    </w:p>
    <w:p w14:paraId="386F5882" w14:textId="78BF9B4B" w:rsidR="009E5684" w:rsidRDefault="001000DD" w:rsidP="00FD10E3">
      <w:pPr>
        <w:spacing w:after="0" w:line="249" w:lineRule="auto"/>
        <w:ind w:left="2247" w:right="193"/>
      </w:pPr>
      <w:r>
        <w:rPr>
          <w:i/>
        </w:rPr>
        <w:t>Akademický senát Univerzity Tomáše Bati ve Zlíně</w:t>
      </w:r>
    </w:p>
    <w:p w14:paraId="6D437D2F" w14:textId="1783865B" w:rsidR="009E5684" w:rsidRDefault="001000DD" w:rsidP="00FD10E3">
      <w:pPr>
        <w:spacing w:after="0" w:line="249" w:lineRule="auto"/>
        <w:ind w:left="590" w:right="370" w:firstLine="115"/>
        <w:jc w:val="center"/>
      </w:pPr>
      <w:r>
        <w:rPr>
          <w:i/>
        </w:rPr>
        <w:t>se podle § 9 odst. 1 písm. b) bodu 3 a § 17 odst. 1 písm. k) zákona č. 111/1998 Sb.</w:t>
      </w:r>
      <w:r w:rsidR="00055B8A">
        <w:rPr>
          <w:i/>
        </w:rPr>
        <w:t>, o</w:t>
      </w:r>
      <w:r>
        <w:rPr>
          <w:i/>
        </w:rPr>
        <w:t xml:space="preserve"> vysokých školách a o změně a doplnění dalších zákonů (zákon o vysokých školách</w:t>
      </w:r>
      <w:r w:rsidR="00055B8A">
        <w:rPr>
          <w:i/>
        </w:rPr>
        <w:t>)</w:t>
      </w:r>
      <w:r w:rsidR="00055B8A">
        <w:rPr>
          <w:b/>
          <w:i/>
        </w:rPr>
        <w:t xml:space="preserve">, </w:t>
      </w:r>
      <w:r w:rsidR="00055B8A" w:rsidRPr="00055B8A">
        <w:rPr>
          <w:bCs/>
          <w:i/>
        </w:rPr>
        <w:t>ve</w:t>
      </w:r>
      <w:r w:rsidRPr="00055B8A">
        <w:rPr>
          <w:bCs/>
          <w:i/>
        </w:rPr>
        <w:t xml:space="preserve"> </w:t>
      </w:r>
      <w:r>
        <w:rPr>
          <w:i/>
        </w:rPr>
        <w:t>znění pozdějších předpisů, usnesl na tomto Řádu</w:t>
      </w:r>
      <w:r>
        <w:rPr>
          <w:b/>
          <w:i/>
          <w:sz w:val="22"/>
        </w:rPr>
        <w:t xml:space="preserve"> </w:t>
      </w:r>
      <w:r>
        <w:rPr>
          <w:i/>
        </w:rPr>
        <w:t>hospodaření a účtování</w:t>
      </w:r>
      <w:r>
        <w:t xml:space="preserve"> </w:t>
      </w:r>
      <w:r>
        <w:rPr>
          <w:i/>
        </w:rPr>
        <w:t>Univerzity Tomáše Bati ve Zlíně:</w:t>
      </w:r>
    </w:p>
    <w:p w14:paraId="51265794" w14:textId="77777777" w:rsidR="009E5684" w:rsidRDefault="001000DD">
      <w:pPr>
        <w:spacing w:after="50" w:line="259" w:lineRule="auto"/>
        <w:ind w:left="291" w:firstLine="0"/>
        <w:jc w:val="center"/>
      </w:pPr>
      <w:r>
        <w:rPr>
          <w:b/>
          <w:i/>
          <w:sz w:val="28"/>
        </w:rPr>
        <w:t xml:space="preserve"> </w:t>
      </w:r>
    </w:p>
    <w:p w14:paraId="5C3F778D" w14:textId="77777777" w:rsidR="00AA015C" w:rsidRDefault="001000DD" w:rsidP="007E7C78">
      <w:pPr>
        <w:spacing w:after="0" w:line="265" w:lineRule="auto"/>
        <w:ind w:left="234" w:right="4"/>
        <w:jc w:val="center"/>
        <w:rPr>
          <w:b/>
        </w:rPr>
      </w:pPr>
      <w:r>
        <w:rPr>
          <w:b/>
        </w:rPr>
        <w:t xml:space="preserve">ČÁST PRVNÍ </w:t>
      </w:r>
    </w:p>
    <w:p w14:paraId="46FAAAFF" w14:textId="0D53A076" w:rsidR="009E5684" w:rsidRDefault="001000DD">
      <w:pPr>
        <w:spacing w:after="417" w:line="265" w:lineRule="auto"/>
        <w:ind w:left="234" w:right="4"/>
        <w:jc w:val="center"/>
      </w:pPr>
      <w:r>
        <w:rPr>
          <w:b/>
        </w:rPr>
        <w:t xml:space="preserve">ÚVODNÍ USTANOVENÍ </w:t>
      </w:r>
    </w:p>
    <w:p w14:paraId="197ED780" w14:textId="77777777" w:rsidR="009E5684" w:rsidRDefault="001000DD">
      <w:pPr>
        <w:pStyle w:val="Nadpis1"/>
        <w:spacing w:after="118"/>
        <w:ind w:left="234" w:right="23"/>
      </w:pPr>
      <w:r>
        <w:t>Článek 1</w:t>
      </w:r>
      <w:r>
        <w:rPr>
          <w:b w:val="0"/>
        </w:rPr>
        <w:t xml:space="preserve"> </w:t>
      </w:r>
    </w:p>
    <w:p w14:paraId="321DFB54" w14:textId="77777777" w:rsidR="009E5684" w:rsidRDefault="001000DD" w:rsidP="00493CDA">
      <w:pPr>
        <w:numPr>
          <w:ilvl w:val="0"/>
          <w:numId w:val="3"/>
        </w:numPr>
        <w:ind w:right="53" w:hanging="482"/>
      </w:pPr>
      <w:r>
        <w:t xml:space="preserve">Univerzita Tomáše Bati ve Zlíně (dále jen „UTB") je </w:t>
      </w:r>
      <w:r>
        <w:rPr>
          <w:b/>
        </w:rPr>
        <w:t>právnickou osobou.</w:t>
      </w:r>
      <w:r>
        <w:t xml:space="preserve"> </w:t>
      </w:r>
    </w:p>
    <w:p w14:paraId="06D4C72A" w14:textId="7C53BF88" w:rsidR="00FD10E3" w:rsidRPr="00FD10E3" w:rsidRDefault="00FD10E3" w:rsidP="00493CDA">
      <w:pPr>
        <w:numPr>
          <w:ilvl w:val="0"/>
          <w:numId w:val="3"/>
        </w:numPr>
        <w:ind w:right="53" w:hanging="482"/>
        <w:rPr>
          <w:b/>
        </w:rPr>
      </w:pPr>
      <w:r w:rsidRPr="00FD10E3">
        <w:t>Identifikace UTB:</w:t>
      </w:r>
    </w:p>
    <w:p w14:paraId="2BE958A5" w14:textId="06D2F281" w:rsidR="00FD10E3" w:rsidRPr="00FD10E3" w:rsidRDefault="00FD10E3" w:rsidP="00493CDA">
      <w:pPr>
        <w:numPr>
          <w:ilvl w:val="1"/>
          <w:numId w:val="3"/>
        </w:numPr>
        <w:spacing w:after="60" w:line="247" w:lineRule="auto"/>
        <w:ind w:left="1004" w:right="51" w:hanging="539"/>
        <w:rPr>
          <w:b/>
        </w:rPr>
      </w:pPr>
      <w:r w:rsidRPr="00FD10E3">
        <w:t>Identifikační číslo UTB: 70883521.</w:t>
      </w:r>
    </w:p>
    <w:p w14:paraId="24599D33" w14:textId="404C755C" w:rsidR="00FD10E3" w:rsidRDefault="00FD10E3" w:rsidP="00493CDA">
      <w:pPr>
        <w:numPr>
          <w:ilvl w:val="1"/>
          <w:numId w:val="3"/>
        </w:numPr>
        <w:spacing w:after="143"/>
        <w:ind w:right="53" w:hanging="540"/>
        <w:rPr>
          <w:b/>
        </w:rPr>
      </w:pPr>
      <w:r w:rsidRPr="00FD10E3">
        <w:t>Daňové identifikační číslo UTB: CZ70883521.</w:t>
      </w:r>
    </w:p>
    <w:p w14:paraId="5177BEFA" w14:textId="77777777" w:rsidR="00FD10E3" w:rsidRPr="00FD10E3" w:rsidRDefault="00FD10E3" w:rsidP="00FD10E3"/>
    <w:p w14:paraId="7C0EC03F" w14:textId="7809A05A" w:rsidR="009E5684" w:rsidRDefault="001000DD" w:rsidP="00FD10E3">
      <w:pPr>
        <w:pStyle w:val="Nadpis1"/>
        <w:ind w:left="234" w:right="285"/>
      </w:pPr>
      <w:r>
        <w:t xml:space="preserve">Článek 2 </w:t>
      </w:r>
    </w:p>
    <w:p w14:paraId="5CF22D0B" w14:textId="0AC6C987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UTB vlastní majetek potřebný k činnostem, pro které byla zřízena </w:t>
      </w:r>
      <w:r w:rsidR="00FD10E3">
        <w:t>zákonem č.</w:t>
      </w:r>
      <w:r>
        <w:t xml:space="preserve"> 404/2000 Sb., o zřízení Univerzity Tomáše Bati ve Zlíně (dále jen „hlavní činnost“</w:t>
      </w:r>
      <w:r w:rsidR="0004501B">
        <w:rPr>
          <w:rStyle w:val="Znakapoznpodarou"/>
        </w:rPr>
        <w:footnoteReference w:id="1"/>
      </w:r>
      <w:r>
        <w:t>) a k činnostem, které vykonává v doplňkové činnosti podle § 20 odst. 2 zákona č. 111/1998 Sb., o</w:t>
      </w:r>
      <w:r w:rsidR="00493CDA">
        <w:t> </w:t>
      </w:r>
      <w:r>
        <w:t xml:space="preserve">vysokých školách a o změně a doplnění dalších zákonů (zákon o vysokých školách), ve znění pozdějších předpisů, (dále jen „zákon“).  </w:t>
      </w:r>
    </w:p>
    <w:p w14:paraId="51B6D816" w14:textId="77777777" w:rsidR="009E5684" w:rsidRDefault="001000DD" w:rsidP="003B4C23">
      <w:pPr>
        <w:keepNext/>
        <w:numPr>
          <w:ilvl w:val="0"/>
          <w:numId w:val="21"/>
        </w:numPr>
        <w:ind w:right="53" w:hanging="482"/>
      </w:pPr>
      <w:r>
        <w:lastRenderedPageBreak/>
        <w:t xml:space="preserve">Hlavní činností se rozumí zejména: </w:t>
      </w:r>
    </w:p>
    <w:p w14:paraId="6E8C9CB4" w14:textId="77777777" w:rsidR="009E5684" w:rsidRDefault="001000DD" w:rsidP="003B4C23">
      <w:pPr>
        <w:keepNext/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uskutečňování akreditovaných studijních programů, </w:t>
      </w:r>
    </w:p>
    <w:p w14:paraId="2364A7FE" w14:textId="77777777" w:rsidR="009E5684" w:rsidRDefault="001000DD" w:rsidP="003B4C23">
      <w:pPr>
        <w:keepNext/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uchovávání a rozhojňování dosaženého poznání pěstováním vědecké a výzkumné, vývojové a inovační, umělecké a další činnosti (dále jen „tvůrčí činnost“), </w:t>
      </w:r>
    </w:p>
    <w:p w14:paraId="678D85D3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zabezpečování demokratického přístupu k vysokoškolskému vzdělání, </w:t>
      </w:r>
    </w:p>
    <w:p w14:paraId="3B53E597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zabezpečování podmínek pro získávání odpovídající profesní kvalifikace výzkumných pracovníků a pracovníků vykonávajících další náročné odborné činnosti, </w:t>
      </w:r>
    </w:p>
    <w:p w14:paraId="1C9BA7F3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poskytování dalších forem vzdělávání, </w:t>
      </w:r>
    </w:p>
    <w:p w14:paraId="1A86E3CE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pěstování kulturní rozmanitosti a vzájemného porozumění, při utváření občanské společnosti a přípravě mladých lidí pro život v ní, </w:t>
      </w:r>
    </w:p>
    <w:p w14:paraId="43DE1719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přispívání k rozvoji na národní a regionální úrovni a spolupráce s různými stupni státní správy a samosprávy, </w:t>
      </w:r>
    </w:p>
    <w:p w14:paraId="3A28FBF0" w14:textId="5D56F032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vědecké a tvůrčí aktivity v oblasti umělecké sféry, v oblasti vědy a výzkumu ve vztahu k potřebám praxe, </w:t>
      </w:r>
    </w:p>
    <w:p w14:paraId="51560891" w14:textId="274882C1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rozvíjení </w:t>
      </w:r>
      <w:r w:rsidR="00FD10E3">
        <w:t>mezinárodní,</w:t>
      </w:r>
      <w:r>
        <w:t xml:space="preserve"> a zvláště evropské spolupráce, </w:t>
      </w:r>
    </w:p>
    <w:p w14:paraId="6C938F78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podpora společných projektů UTB a obdobných institucí v zahraničí, </w:t>
      </w:r>
    </w:p>
    <w:p w14:paraId="73F3E4E7" w14:textId="77777777" w:rsidR="009E5684" w:rsidRDefault="001000DD" w:rsidP="003B4C23">
      <w:pPr>
        <w:numPr>
          <w:ilvl w:val="1"/>
          <w:numId w:val="21"/>
        </w:numPr>
        <w:ind w:right="53" w:hanging="540"/>
      </w:pPr>
      <w:r>
        <w:t xml:space="preserve">výměnné pobyty akademických pracovníků a studentů.  </w:t>
      </w:r>
    </w:p>
    <w:p w14:paraId="6EA16AED" w14:textId="77777777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UTB vykonává doplňkovou činnost v návaznosti na svou činnost hlavní, nebo jako činnost sloužící k účinnějšímu využití lidských zdrojů a majetku. Doplňková činnost nesmí ohrozit kvalitu, rozsah a dostupnost vzdělávací a tvůrčí činnosti, ke které byla UTB jako veřejná vysoká škola zřízena. </w:t>
      </w:r>
    </w:p>
    <w:p w14:paraId="418FED6D" w14:textId="1460E768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UTB vykonává doplňkovou činnost za úplatu. Rozsah a obsah doplňkové </w:t>
      </w:r>
      <w:r w:rsidR="00FD10E3">
        <w:t>činnosti je</w:t>
      </w:r>
      <w:r>
        <w:t xml:space="preserve"> vymezen Statutem UTB (dále jen „statut“) a vnitřní normou UTB. Doplňková činnost je v</w:t>
      </w:r>
      <w:r w:rsidR="00493CDA">
        <w:t> </w:t>
      </w:r>
      <w:r>
        <w:t xml:space="preserve">účetnictví UTB vedena samostatně. </w:t>
      </w:r>
    </w:p>
    <w:p w14:paraId="499434A8" w14:textId="77777777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Nakládání s majetkem UTB upravují čl. 28 a 29 statutu. </w:t>
      </w:r>
    </w:p>
    <w:p w14:paraId="55B4E480" w14:textId="77777777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Konstrukce rozpočtu UTB a postup při jeho zpracování a schvalování vychází z čl. 28 statutu. </w:t>
      </w:r>
    </w:p>
    <w:p w14:paraId="17AEE9AE" w14:textId="0963AA35" w:rsidR="009E5684" w:rsidRDefault="001000DD" w:rsidP="003B4C23">
      <w:pPr>
        <w:numPr>
          <w:ilvl w:val="0"/>
          <w:numId w:val="21"/>
        </w:numPr>
        <w:ind w:right="53" w:hanging="482"/>
      </w:pPr>
      <w:r>
        <w:t>Užití příspěvků a dotací ze státního rozpočtu a účtování o nich se řídí obecnými předpisy pro nakládání s prostředky státního rozpočtu. Příspěvky a dotace ze státního rozpočtu jsou zúčtovatelné v příslušných termínech prostřednictvím Ministerstva školství, mládeže a</w:t>
      </w:r>
      <w:r w:rsidR="00493CDA">
        <w:t> </w:t>
      </w:r>
      <w:r>
        <w:t xml:space="preserve">tělovýchovy ČR (dále jen „ministerstvo") a dalších subjektů. </w:t>
      </w:r>
    </w:p>
    <w:p w14:paraId="2C477042" w14:textId="77777777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Pro zpracování závěrečných účtů kapitoly školství je ministerstvo oprávněno od UTB požadovat podklady o využití příspěvků a dotací ze státního rozpočtu a investičních transferů. </w:t>
      </w:r>
    </w:p>
    <w:p w14:paraId="63804564" w14:textId="7E123836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UTB se při svém finančním hospodaření řídí též platnými postupy pro poskytnutí příspěvků a dotací ze státního rozpočtu, které zároveň vymezují účel, na který jsou poskytnuty, a jejich vypořádání. </w:t>
      </w:r>
      <w:r w:rsidRPr="00493CDA">
        <w:rPr>
          <w:b/>
        </w:rPr>
        <w:t xml:space="preserve"> </w:t>
      </w:r>
    </w:p>
    <w:p w14:paraId="16F94BB7" w14:textId="77777777" w:rsidR="00AA015C" w:rsidRDefault="001000DD" w:rsidP="00563232">
      <w:pPr>
        <w:keepNext/>
        <w:spacing w:after="0" w:line="264" w:lineRule="auto"/>
        <w:ind w:left="0" w:right="4" w:firstLine="0"/>
        <w:jc w:val="center"/>
        <w:rPr>
          <w:b/>
        </w:rPr>
      </w:pPr>
      <w:r>
        <w:rPr>
          <w:b/>
        </w:rPr>
        <w:lastRenderedPageBreak/>
        <w:t xml:space="preserve">ČÁST DRUHÁ </w:t>
      </w:r>
    </w:p>
    <w:p w14:paraId="4AF2F268" w14:textId="09DA4E44" w:rsidR="009E5684" w:rsidRDefault="001000DD" w:rsidP="00563232">
      <w:pPr>
        <w:keepNext/>
        <w:spacing w:after="330" w:line="264" w:lineRule="auto"/>
        <w:ind w:left="0" w:right="4" w:firstLine="0"/>
        <w:jc w:val="center"/>
      </w:pPr>
      <w:r>
        <w:rPr>
          <w:b/>
        </w:rPr>
        <w:t xml:space="preserve">HOSPODAŘENÍ UTB </w:t>
      </w:r>
    </w:p>
    <w:p w14:paraId="02D6C23F" w14:textId="77777777" w:rsidR="00FD10E3" w:rsidRDefault="001000DD" w:rsidP="00563232">
      <w:pPr>
        <w:pStyle w:val="Nadpis1"/>
        <w:spacing w:line="264" w:lineRule="auto"/>
        <w:ind w:left="0" w:right="285" w:firstLine="0"/>
      </w:pPr>
      <w:r>
        <w:t xml:space="preserve">Článek 3  </w:t>
      </w:r>
    </w:p>
    <w:p w14:paraId="654A5AE4" w14:textId="236C0A60" w:rsidR="009E5684" w:rsidRDefault="001000DD" w:rsidP="00563232">
      <w:pPr>
        <w:pStyle w:val="Nadpis1"/>
        <w:ind w:left="0" w:right="285" w:firstLine="0"/>
      </w:pPr>
      <w:r>
        <w:t xml:space="preserve">Obecná ustanovení </w:t>
      </w:r>
    </w:p>
    <w:p w14:paraId="708DD83B" w14:textId="4A41B6EF" w:rsidR="009E5684" w:rsidRDefault="001000DD">
      <w:pPr>
        <w:numPr>
          <w:ilvl w:val="0"/>
          <w:numId w:val="4"/>
        </w:numPr>
        <w:ind w:right="53" w:hanging="482"/>
      </w:pPr>
      <w:r>
        <w:t xml:space="preserve">UTB hospodaří podle rozpočtu nákladů a výnosů, výdajů a příjmů, který </w:t>
      </w:r>
      <w:r w:rsidR="00E311E9">
        <w:t>sestavuje na</w:t>
      </w:r>
      <w:r>
        <w:t xml:space="preserve"> období kalendářního roku. Ve smyslu § 18 odst. 1 zákona nesmí být rozpočet sestavován jako deficitní. Po skončení kalendářního roku provede vypořádání se státním rozpočtem a</w:t>
      </w:r>
      <w:r w:rsidR="00493CDA">
        <w:t> </w:t>
      </w:r>
      <w:r>
        <w:t xml:space="preserve">předloží povinné výkazy ve stanovených termínech ministerstvu. </w:t>
      </w:r>
    </w:p>
    <w:p w14:paraId="0CAD55DC" w14:textId="52395A15" w:rsidR="009E5684" w:rsidRDefault="001000DD">
      <w:pPr>
        <w:numPr>
          <w:ilvl w:val="0"/>
          <w:numId w:val="4"/>
        </w:numPr>
        <w:ind w:right="53" w:hanging="482"/>
      </w:pPr>
      <w:r>
        <w:t>Základním zdrojem hospodaření UTB jsou investiční a neinvestiční příspěvky</w:t>
      </w:r>
      <w:r w:rsidR="00E311E9">
        <w:t xml:space="preserve"> pro školu</w:t>
      </w:r>
      <w:r>
        <w:t xml:space="preserve"> </w:t>
      </w:r>
      <w:r w:rsidR="00FD10E3">
        <w:t>(dále jen „příspěvek“) a</w:t>
      </w:r>
      <w:r>
        <w:t xml:space="preserve"> dotace ze státního rozpočtu. Příspěvky a dotace ze státního rozpočtu poskytuje ministerstvo podle aktuálně platných a s reprezentací vysokých škol v</w:t>
      </w:r>
      <w:r w:rsidR="00493CDA">
        <w:t> </w:t>
      </w:r>
      <w:r>
        <w:t xml:space="preserve">souladu s § 92 odst. 3 zákona projednaných pravidel, která mohou být zpracována se střednědobým výhledem.  </w:t>
      </w:r>
    </w:p>
    <w:p w14:paraId="70C3874D" w14:textId="3A302014" w:rsidR="009E5684" w:rsidRDefault="001000DD">
      <w:pPr>
        <w:numPr>
          <w:ilvl w:val="0"/>
          <w:numId w:val="4"/>
        </w:numPr>
        <w:ind w:right="53" w:hanging="482"/>
      </w:pPr>
      <w:r>
        <w:t>Při hospodaření s prostředky poskytnutými ze státního rozpočtu je UTB povinna počínat si hospodárně a efektivně v souladu se zvláštními právními předpisy.</w:t>
      </w:r>
      <w:r>
        <w:rPr>
          <w:vertAlign w:val="superscript"/>
        </w:rPr>
        <w:footnoteReference w:id="2"/>
      </w:r>
      <w:r>
        <w:t xml:space="preserve"> Tyto prostředky je UTB oprávněna využívat k plnění svých úkolů ve smyslu § 1 zákona a čl. 2 odst. 2. </w:t>
      </w:r>
    </w:p>
    <w:p w14:paraId="182A7F86" w14:textId="634B8564" w:rsidR="009E5684" w:rsidRDefault="001000DD">
      <w:pPr>
        <w:numPr>
          <w:ilvl w:val="0"/>
          <w:numId w:val="4"/>
        </w:numPr>
        <w:spacing w:after="388"/>
        <w:ind w:right="53" w:hanging="482"/>
      </w:pPr>
      <w:r>
        <w:t xml:space="preserve">Ministerstvo, v souladu s ustanovením § 87 </w:t>
      </w:r>
      <w:r w:rsidR="00FD10E3">
        <w:t xml:space="preserve">odst. 1 </w:t>
      </w:r>
      <w:r>
        <w:t>písm. d) a e) zákona, kontroluje využití prostředků přidělených UTB ze státního rozpočtu z kapitoly školství. Při kontrole hospodaření se postupuje podle obecných předpisů o kontrole</w:t>
      </w:r>
      <w:r>
        <w:rPr>
          <w:vertAlign w:val="superscript"/>
        </w:rPr>
        <w:footnoteReference w:id="3"/>
      </w:r>
      <w:r>
        <w:t xml:space="preserve">. </w:t>
      </w:r>
    </w:p>
    <w:p w14:paraId="3FFA571C" w14:textId="77777777" w:rsidR="00FD10E3" w:rsidRDefault="001000DD">
      <w:pPr>
        <w:pStyle w:val="Nadpis1"/>
        <w:ind w:left="234" w:right="285"/>
      </w:pPr>
      <w:r>
        <w:t xml:space="preserve">Článek 4  </w:t>
      </w:r>
    </w:p>
    <w:p w14:paraId="316AF68C" w14:textId="03E6954D" w:rsidR="009E5684" w:rsidRDefault="001000DD">
      <w:pPr>
        <w:pStyle w:val="Nadpis1"/>
        <w:ind w:left="234" w:right="285"/>
      </w:pPr>
      <w:r>
        <w:t xml:space="preserve">Zajištění finančních prostředků </w:t>
      </w:r>
    </w:p>
    <w:p w14:paraId="6F811B8B" w14:textId="77777777" w:rsidR="009E5684" w:rsidRDefault="001000DD">
      <w:pPr>
        <w:numPr>
          <w:ilvl w:val="0"/>
          <w:numId w:val="5"/>
        </w:numPr>
        <w:spacing w:after="140"/>
        <w:ind w:right="53" w:hanging="482"/>
      </w:pPr>
      <w:r>
        <w:t xml:space="preserve">Finanční prostředky k zajištění činností financovaných z neinvestičních prostředků získává UTB zejména:  </w:t>
      </w:r>
    </w:p>
    <w:p w14:paraId="7C42B246" w14:textId="3F656512" w:rsidR="009E5684" w:rsidRDefault="001000DD" w:rsidP="00FD10E3">
      <w:pPr>
        <w:numPr>
          <w:ilvl w:val="1"/>
          <w:numId w:val="5"/>
        </w:numPr>
        <w:spacing w:after="12"/>
        <w:ind w:left="1004" w:right="53" w:hanging="540"/>
      </w:pPr>
      <w:r>
        <w:t xml:space="preserve">z příspěvků ze státního rozpočtu na vzdělávací a tvůrčí činnost,  </w:t>
      </w:r>
    </w:p>
    <w:p w14:paraId="25BE2250" w14:textId="63493D45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>z podpory výzkumu, experimentálního vývoje a inovací z veřejných prostředků podle zvláštního právního předpisu</w:t>
      </w:r>
      <w:r>
        <w:rPr>
          <w:vertAlign w:val="superscript"/>
        </w:rPr>
        <w:footnoteReference w:id="4"/>
      </w:r>
      <w:r>
        <w:t xml:space="preserve">,  </w:t>
      </w:r>
    </w:p>
    <w:p w14:paraId="0A372CB6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dotací ze státního rozpočtu, </w:t>
      </w:r>
    </w:p>
    <w:p w14:paraId="01BAE6D6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poplatků spojených se studiem a dalších úhrad, </w:t>
      </w:r>
    </w:p>
    <w:p w14:paraId="7A36535D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výnosů z prodeje a pronájmu majetku, </w:t>
      </w:r>
    </w:p>
    <w:p w14:paraId="11291CC3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výnosů finančního majetku, </w:t>
      </w:r>
    </w:p>
    <w:p w14:paraId="714126B3" w14:textId="10E0CC0E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jiných příjmů ze státního rozpočtu, ze státních fondů, z Národního </w:t>
      </w:r>
      <w:r w:rsidR="00216EFF">
        <w:t>fondu a</w:t>
      </w:r>
      <w:r w:rsidR="00493CDA">
        <w:t> </w:t>
      </w:r>
      <w:r>
        <w:t>z</w:t>
      </w:r>
      <w:r w:rsidR="00493CDA">
        <w:t> </w:t>
      </w:r>
      <w:r>
        <w:t xml:space="preserve">rozpočtu obcí a územně správních celků, z rozpočtu Evropské unie, </w:t>
      </w:r>
    </w:p>
    <w:p w14:paraId="6B769444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výnosů doplňkové činnosti, </w:t>
      </w:r>
    </w:p>
    <w:p w14:paraId="3F22DCA1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příjmů z darů a dědictví, z příjmů od nadací a nadačních fondů nebo jiných osob,  </w:t>
      </w:r>
    </w:p>
    <w:p w14:paraId="3776E3EE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sdružením finančních prostředků jiných právnických a fyzických osob, </w:t>
      </w:r>
    </w:p>
    <w:p w14:paraId="6712FA53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vytvořených vlastních finančních fondů, </w:t>
      </w:r>
    </w:p>
    <w:p w14:paraId="5E1A2C53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provozními úvěry od peněžních ústavů, </w:t>
      </w:r>
    </w:p>
    <w:p w14:paraId="2D2354C1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výnosů za stravování studentů a zaměstnanců UTB, </w:t>
      </w:r>
    </w:p>
    <w:p w14:paraId="3F773978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výnosů z ubytování studentů, </w:t>
      </w:r>
    </w:p>
    <w:p w14:paraId="5BE483C3" w14:textId="77777777" w:rsidR="009E5684" w:rsidRDefault="001000DD">
      <w:pPr>
        <w:numPr>
          <w:ilvl w:val="1"/>
          <w:numId w:val="5"/>
        </w:numPr>
        <w:ind w:right="53" w:hanging="540"/>
      </w:pPr>
      <w:r>
        <w:t xml:space="preserve">z ostatních vlastních výnosů. </w:t>
      </w:r>
    </w:p>
    <w:p w14:paraId="689FC181" w14:textId="77777777" w:rsidR="009E5684" w:rsidRDefault="001000DD">
      <w:pPr>
        <w:numPr>
          <w:ilvl w:val="0"/>
          <w:numId w:val="5"/>
        </w:numPr>
        <w:spacing w:after="140"/>
        <w:ind w:right="53" w:hanging="482"/>
      </w:pPr>
      <w:r>
        <w:t xml:space="preserve">Finanční prostředky k zajištění činností financovaných z investičních prostředků získává UTB zejména: </w:t>
      </w:r>
    </w:p>
    <w:p w14:paraId="53CF60C2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příspěvků a dotací ze státního rozpočtu na kapitálové výdaje,  </w:t>
      </w:r>
    </w:p>
    <w:p w14:paraId="55BFC5B9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>z podpory výzkumu, experimentálního vývoje a inovací z veřejných prostředků podle zvláštního předpisu</w:t>
      </w:r>
      <w:r w:rsidRPr="00563232">
        <w:t>4)</w:t>
      </w:r>
      <w:r>
        <w:t xml:space="preserve">  </w:t>
      </w:r>
    </w:p>
    <w:p w14:paraId="39111C7B" w14:textId="3DF54DD3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individuálních nebo systémových investičních dotací (kapitálových </w:t>
      </w:r>
      <w:r w:rsidR="00216EFF">
        <w:t>transferů) ze</w:t>
      </w:r>
      <w:r>
        <w:t xml:space="preserve"> státního rozpočtu, </w:t>
      </w:r>
    </w:p>
    <w:p w14:paraId="607E5F17" w14:textId="0B7C7E48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veřejných rozpočtů a ze státních fondů, z Národního fondu a z rozpočtů </w:t>
      </w:r>
      <w:r w:rsidR="00216EFF">
        <w:t>obcí a</w:t>
      </w:r>
      <w:r w:rsidR="00493CDA">
        <w:t> </w:t>
      </w:r>
      <w:r>
        <w:t xml:space="preserve">územně samosprávných celků, z rozpočtu Evropské unie, </w:t>
      </w:r>
    </w:p>
    <w:p w14:paraId="6B12EF56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vlastních zdrojů fondu reprodukce investičního majetku, </w:t>
      </w:r>
    </w:p>
    <w:p w14:paraId="5074AB5B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převodů mezi jednotlivými fondy podle čl. 6, </w:t>
      </w:r>
    </w:p>
    <w:p w14:paraId="26DE984E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sdružením prostředků s jinými právnickými a fyzickými osobami, </w:t>
      </w:r>
    </w:p>
    <w:p w14:paraId="44859E6F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investičními úvěry od peněžních ústavů, </w:t>
      </w:r>
    </w:p>
    <w:p w14:paraId="551BE7B5" w14:textId="77777777" w:rsidR="009E5684" w:rsidRDefault="001000DD">
      <w:pPr>
        <w:numPr>
          <w:ilvl w:val="1"/>
          <w:numId w:val="5"/>
        </w:numPr>
        <w:spacing w:after="358"/>
        <w:ind w:right="53" w:hanging="540"/>
      </w:pPr>
      <w:r>
        <w:t xml:space="preserve">finančními dary účelově určenými na investice. </w:t>
      </w:r>
    </w:p>
    <w:p w14:paraId="1DC7AAE7" w14:textId="77777777" w:rsidR="003B5FEA" w:rsidRDefault="001000DD">
      <w:pPr>
        <w:pStyle w:val="Nadpis1"/>
        <w:ind w:left="234" w:right="285"/>
      </w:pPr>
      <w:r>
        <w:t xml:space="preserve">Článek 5  </w:t>
      </w:r>
    </w:p>
    <w:p w14:paraId="2A94ED5C" w14:textId="557FAAC8" w:rsidR="009E5684" w:rsidRDefault="001000DD">
      <w:pPr>
        <w:pStyle w:val="Nadpis1"/>
        <w:ind w:left="234" w:right="285"/>
      </w:pPr>
      <w:r>
        <w:t xml:space="preserve">Finanční hospodaření s neinvestičními prostředky </w:t>
      </w:r>
    </w:p>
    <w:p w14:paraId="2E62BDC3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UTB má podle § 18 zákona nárok na příspěvek ze státního rozpočtu na uskutečňování akreditovaných studijních programů a programů celoživotního vzdělávání a s nimi spojenou tvůrčí činnost.  </w:t>
      </w:r>
    </w:p>
    <w:p w14:paraId="1D16A56D" w14:textId="6202CCDD" w:rsidR="009E5684" w:rsidRDefault="001000DD">
      <w:pPr>
        <w:numPr>
          <w:ilvl w:val="0"/>
          <w:numId w:val="6"/>
        </w:numPr>
        <w:ind w:right="53" w:hanging="482"/>
      </w:pPr>
      <w:r>
        <w:t xml:space="preserve">UTB má nárok na dotaci ze státního rozpočtu na rozvoj vysoké školy a na </w:t>
      </w:r>
      <w:r w:rsidR="00216EFF">
        <w:t>ubytování a</w:t>
      </w:r>
      <w:r w:rsidR="00493CDA">
        <w:t> </w:t>
      </w:r>
      <w:r>
        <w:t xml:space="preserve">stravování studentů.  </w:t>
      </w:r>
    </w:p>
    <w:p w14:paraId="08D51A4C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Prostředky ze státního rozpočtu se používají na financování činností, pro které byla UTB zřízena (tj. poskytnutý běžný příspěvek lze použít na úhradu všech provozních nákladů spojených s činností, pro které byla UTB zřízena). </w:t>
      </w:r>
    </w:p>
    <w:p w14:paraId="725E84F6" w14:textId="0788141C" w:rsidR="009E5684" w:rsidRDefault="001000DD">
      <w:pPr>
        <w:numPr>
          <w:ilvl w:val="0"/>
          <w:numId w:val="6"/>
        </w:numPr>
        <w:ind w:right="53" w:hanging="482"/>
      </w:pPr>
      <w:r>
        <w:t xml:space="preserve">Druhy poplatků spojených se studiem, jejich výše a formy užití jsou upraveny </w:t>
      </w:r>
      <w:r w:rsidR="003B5FEA">
        <w:t>zákonem a</w:t>
      </w:r>
      <w:r w:rsidR="00493CDA">
        <w:t> </w:t>
      </w:r>
      <w:r>
        <w:t xml:space="preserve">statutem. Poplatky spojené se studiem jsou výnosem z uskutečňování akreditovaných studijních programů a programů celoživotního vzdělávání a s nimi spojenou tvůrčí činnost (tj. výnosem hlavní činnosti) s výjimkou poplatků za studium podle § 58 odst. 3 zákona, které jsou zdrojem stipendijního fondu. Na poplatky spojené se studiem, případně i na další úhrady stanovené vnitřními předpisy a normami UTB, se nevztahují obecné předpisy o správních poplatcích. </w:t>
      </w:r>
    </w:p>
    <w:p w14:paraId="2F1FC9C7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Výnosy z prodeje movitého majetku jsou příjmem součásti UTB, která majetek pořídila. </w:t>
      </w:r>
    </w:p>
    <w:p w14:paraId="718CAD3C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Výnosy z prodeje nemovitého majetku jsou příjmem UTB jako celku. </w:t>
      </w:r>
    </w:p>
    <w:p w14:paraId="3CDEBDC0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Výnosy z pronájmů jsou příjmem doplňkové činnosti. </w:t>
      </w:r>
    </w:p>
    <w:p w14:paraId="48223868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Výnosy z finančního majetku jsou příjmem hlavní činnosti UTB jako celku. Jiné příjmy ze státního rozpočtu, ze státních fondů a z rozpočtů obcí jsou příjmem hlavní nebo doplňkové činnosti podle svého charakteru a podléhají podmínkám zúčtování podle zvláštních pokynů nebo ujednání. </w:t>
      </w:r>
    </w:p>
    <w:p w14:paraId="63DAB676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Součástem nelze odejmout prostředky vytvořené doplňkovou činností. </w:t>
      </w:r>
    </w:p>
    <w:p w14:paraId="5896AE0C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Příjmy z darů, dědictví a příjmy od nadací jsou zapojeny do dílčích rozdělení finančních prostředků součástí UTB podle smluvních podmínek. </w:t>
      </w:r>
    </w:p>
    <w:p w14:paraId="279FF2C1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Kvestor může být rozhodnutím nebo pokynem rektora oprávněn sdružovat finanční prostředky za účelem neinvestičních výdajů (v případě prokazatelné efektivity nebo jiného prospěchu pro UTB). </w:t>
      </w:r>
    </w:p>
    <w:p w14:paraId="3E309B46" w14:textId="3BA6BF16" w:rsidR="009E5684" w:rsidRDefault="001000DD">
      <w:pPr>
        <w:numPr>
          <w:ilvl w:val="0"/>
          <w:numId w:val="6"/>
        </w:numPr>
        <w:ind w:right="53" w:hanging="482"/>
      </w:pPr>
      <w:r>
        <w:t xml:space="preserve">UTB je oprávněna přijímat úvěry, návratné finanční vypomoci a půjčky na </w:t>
      </w:r>
      <w:r w:rsidR="003B5FEA">
        <w:t>investice a</w:t>
      </w:r>
      <w:r w:rsidR="00493CDA">
        <w:t> </w:t>
      </w:r>
      <w:r>
        <w:t xml:space="preserve">provozní výdaje, pokud z jejich přijetí nevzniknou nároky vůči státnímu </w:t>
      </w:r>
      <w:r w:rsidR="003B5FEA">
        <w:t>rozpočtu a</w:t>
      </w:r>
      <w:r w:rsidR="00493CDA">
        <w:t> </w:t>
      </w:r>
      <w:r>
        <w:t xml:space="preserve">pokud je zajištěna jejich návratnost v rámci hospodaření UTB. Stát za takto přijaté závazky UTB neručí. </w:t>
      </w:r>
    </w:p>
    <w:p w14:paraId="69C19901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Výnosy (příjmy) za ubytování studentů v rámci hlavní činnosti jsou příjmem hlavní činnosti. </w:t>
      </w:r>
    </w:p>
    <w:p w14:paraId="4317ADA1" w14:textId="48689A30" w:rsidR="009E5684" w:rsidRDefault="001000DD">
      <w:pPr>
        <w:numPr>
          <w:ilvl w:val="0"/>
          <w:numId w:val="6"/>
        </w:numPr>
        <w:ind w:right="53" w:hanging="482"/>
      </w:pPr>
      <w:r>
        <w:t>Výnosy (příjmy) za stravování studentů a zaměstnanců UTB jsou příjmem hlavní činnosti. Příjmy za stravování studentů a zaměstnanců jiných školských zařízení, pokud stravování pro jiná školská zařízení zajišťuje menza UTB, a strávníků, kteří nejsou zaměstnanci a</w:t>
      </w:r>
      <w:r w:rsidR="00493CDA">
        <w:t> </w:t>
      </w:r>
      <w:r>
        <w:t xml:space="preserve">studenti UTB, jsou příjmem doplňkové činnosti. </w:t>
      </w:r>
    </w:p>
    <w:p w14:paraId="7E6CD366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Ostatní neinvestiční výnosy jsou zdrojem získaným vlastními aktivitami UTB a mohou být použity k dalšímu financování jejích nově vzniklých aktivit. Pokud je výnos poskytnut smluvně k určitému účelu, je čerpání prostředků UTB vázáno touto smlouvou. </w:t>
      </w:r>
    </w:p>
    <w:p w14:paraId="2FF6EF0F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UTB hradí příspěvky podle uzavřené smlouvy o sdružení ze zdrojů, jež je oprávněno použít na činnost, k níž se sdružilo. Sdružené prostředky na investice jsou zdrojem nebo výdajem fondu reprodukce investičního majetku. </w:t>
      </w:r>
    </w:p>
    <w:p w14:paraId="2F3DE7CB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UTB může nabývat pouze cenné papíry vydané státem nebo cenné papíry, za jejichž splacení se stát zaručil, nebo cenné papíry obchodní korporace, do které UTB vložila majetek. </w:t>
      </w:r>
    </w:p>
    <w:p w14:paraId="74F22C50" w14:textId="77777777" w:rsidR="009E5684" w:rsidRDefault="001000DD">
      <w:pPr>
        <w:numPr>
          <w:ilvl w:val="0"/>
          <w:numId w:val="6"/>
        </w:numPr>
        <w:spacing w:after="355"/>
        <w:ind w:right="53" w:hanging="482"/>
      </w:pPr>
      <w:r>
        <w:t xml:space="preserve">Úhrady plateb sankční povahy jsou součástí nákladů té součásti UTB, která je za vznik sankce odpovědná. </w:t>
      </w:r>
    </w:p>
    <w:p w14:paraId="0381B5DA" w14:textId="77777777" w:rsidR="003B5FEA" w:rsidRDefault="001000DD">
      <w:pPr>
        <w:pStyle w:val="Nadpis1"/>
        <w:ind w:left="234" w:right="285"/>
      </w:pPr>
      <w:r>
        <w:t xml:space="preserve">Článek 6 </w:t>
      </w:r>
    </w:p>
    <w:p w14:paraId="099AE38A" w14:textId="23F184D5" w:rsidR="009E5684" w:rsidRDefault="001000DD">
      <w:pPr>
        <w:pStyle w:val="Nadpis1"/>
        <w:ind w:left="234" w:right="285"/>
      </w:pPr>
      <w:r>
        <w:t xml:space="preserve">Fondy </w:t>
      </w:r>
    </w:p>
    <w:p w14:paraId="1617DCF5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UTB zřizuje na základě § 18 odst. 6 zákona tyto finanční fondy: </w:t>
      </w:r>
    </w:p>
    <w:p w14:paraId="2C8462D8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rezervní fond určený zejména na krytí ztrát v následujících účetních obdobích (dále jen „rezervní fond“), </w:t>
      </w:r>
    </w:p>
    <w:p w14:paraId="6DD0C904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fond reprodukce investičního majetku, </w:t>
      </w:r>
    </w:p>
    <w:p w14:paraId="7DBC8267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stipendijní fond, </w:t>
      </w:r>
    </w:p>
    <w:p w14:paraId="43E3B59C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fond odměn, </w:t>
      </w:r>
    </w:p>
    <w:p w14:paraId="11BAF5D2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fond účelově určených prostředků, </w:t>
      </w:r>
    </w:p>
    <w:p w14:paraId="4C752C17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fond sociální, </w:t>
      </w:r>
    </w:p>
    <w:p w14:paraId="46294E0A" w14:textId="77777777" w:rsidR="009E5684" w:rsidRDefault="001000DD" w:rsidP="00563232">
      <w:pPr>
        <w:numPr>
          <w:ilvl w:val="0"/>
          <w:numId w:val="18"/>
        </w:numPr>
        <w:ind w:right="53" w:hanging="540"/>
      </w:pPr>
      <w:r>
        <w:t xml:space="preserve">fond provozních prostředků. </w:t>
      </w:r>
    </w:p>
    <w:p w14:paraId="39A3ADC0" w14:textId="77777777" w:rsidR="009E5684" w:rsidRDefault="001000DD">
      <w:pPr>
        <w:numPr>
          <w:ilvl w:val="0"/>
          <w:numId w:val="7"/>
        </w:numPr>
        <w:spacing w:after="136"/>
        <w:ind w:right="53" w:hanging="482"/>
      </w:pPr>
      <w:r>
        <w:t xml:space="preserve">Zdrojem rezervního fondu jsou: </w:t>
      </w:r>
    </w:p>
    <w:p w14:paraId="574D699A" w14:textId="77777777" w:rsidR="009E5684" w:rsidRDefault="001000DD" w:rsidP="00563232">
      <w:pPr>
        <w:numPr>
          <w:ilvl w:val="0"/>
          <w:numId w:val="19"/>
        </w:numPr>
        <w:spacing w:after="60" w:line="247" w:lineRule="auto"/>
        <w:ind w:right="51" w:hanging="540"/>
      </w:pPr>
      <w:r>
        <w:t xml:space="preserve">příděl ze zisku po zdanění, </w:t>
      </w:r>
    </w:p>
    <w:p w14:paraId="4FD92464" w14:textId="77777777" w:rsidR="009E5684" w:rsidRDefault="001000DD" w:rsidP="00563232">
      <w:pPr>
        <w:numPr>
          <w:ilvl w:val="0"/>
          <w:numId w:val="19"/>
        </w:numPr>
        <w:spacing w:after="60" w:line="247" w:lineRule="auto"/>
        <w:ind w:right="51" w:hanging="540"/>
      </w:pPr>
      <w:r>
        <w:t xml:space="preserve">převody prostředků z fondu reprodukce investičního majetku, fondu odměn a fondu provozních prostředků. </w:t>
      </w:r>
    </w:p>
    <w:p w14:paraId="5855FC4C" w14:textId="77777777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 xml:space="preserve">Rezervní fond je určen:  </w:t>
      </w:r>
    </w:p>
    <w:p w14:paraId="75BCE5FE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ke krytí ztrát v následujících účetních obdobích, </w:t>
      </w:r>
    </w:p>
    <w:p w14:paraId="6AD0412C" w14:textId="64A0A0CA" w:rsidR="009E5684" w:rsidRDefault="001000DD">
      <w:pPr>
        <w:numPr>
          <w:ilvl w:val="1"/>
          <w:numId w:val="7"/>
        </w:numPr>
        <w:ind w:right="53" w:hanging="540"/>
      </w:pPr>
      <w:r>
        <w:t xml:space="preserve">k převodu prostředků do fondu reprodukce investičního majetku, fondu </w:t>
      </w:r>
      <w:r w:rsidR="00216EFF">
        <w:t>odměn a</w:t>
      </w:r>
      <w:r w:rsidR="00493CDA">
        <w:t> </w:t>
      </w:r>
      <w:r>
        <w:t xml:space="preserve">fondu provozních prostředků. </w:t>
      </w:r>
    </w:p>
    <w:p w14:paraId="52613795" w14:textId="77777777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 xml:space="preserve">Zdrojem fondu reprodukce investičního majetku jsou: </w:t>
      </w:r>
    </w:p>
    <w:p w14:paraId="769E400B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příděl ze zisku po zdanění, </w:t>
      </w:r>
    </w:p>
    <w:p w14:paraId="300BDBEF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zůstatek příspěvků k 31. prosinci běžného roku, </w:t>
      </w:r>
    </w:p>
    <w:p w14:paraId="138406A4" w14:textId="7F500D2B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účetní odpisy dlouhodobého majetku, který byl zčásti nebo zcela pořízen z vlastních zdrojů,  </w:t>
      </w:r>
    </w:p>
    <w:p w14:paraId="4AFF7A99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dar účelově určený na pořízení dlouhodobého majetku s výjimkou drobného nehmotného dlouhodobého majetku a drobného hmotného dlouhodobého majetku, </w:t>
      </w:r>
    </w:p>
    <w:p w14:paraId="4D9F66C6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dary a výnosy z povolených veřejných sbírek určené k investičním účelům,  </w:t>
      </w:r>
    </w:p>
    <w:p w14:paraId="0639C270" w14:textId="77777777" w:rsidR="009E5684" w:rsidRDefault="001000DD">
      <w:pPr>
        <w:numPr>
          <w:ilvl w:val="1"/>
          <w:numId w:val="7"/>
        </w:numPr>
        <w:ind w:right="53" w:hanging="540"/>
      </w:pPr>
      <w:r>
        <w:t xml:space="preserve">převod prostředků z fondu rezervního, fondu odměn a fondu provozních prostředků. </w:t>
      </w:r>
    </w:p>
    <w:p w14:paraId="70E4F21D" w14:textId="77777777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 xml:space="preserve">Fond reprodukce investičního majetku je určen: </w:t>
      </w:r>
    </w:p>
    <w:p w14:paraId="1A2941EA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na pořízení dlouhodobého majetku a technické zhodnocení dlouhodobého majetku, </w:t>
      </w:r>
    </w:p>
    <w:p w14:paraId="157BEF79" w14:textId="1DFE5BC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k poskytování prostředků jiným osobám v rámci uzavřených smluv o sdružené investiční činnosti, </w:t>
      </w:r>
    </w:p>
    <w:p w14:paraId="4E9EBF10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k úhradě splátek investičních úvěrů a půjček, </w:t>
      </w:r>
    </w:p>
    <w:p w14:paraId="3B1494F1" w14:textId="77777777" w:rsidR="009E5684" w:rsidRDefault="001000DD">
      <w:pPr>
        <w:numPr>
          <w:ilvl w:val="1"/>
          <w:numId w:val="7"/>
        </w:numPr>
        <w:ind w:right="53" w:hanging="540"/>
      </w:pPr>
      <w:r>
        <w:t xml:space="preserve">k převodu prostředků do fondu rezervního, fondu odměn a fondu provozních prostředků. </w:t>
      </w:r>
    </w:p>
    <w:p w14:paraId="1FA2AA02" w14:textId="77777777" w:rsidR="009E5684" w:rsidRDefault="001000DD">
      <w:pPr>
        <w:numPr>
          <w:ilvl w:val="0"/>
          <w:numId w:val="7"/>
        </w:numPr>
        <w:spacing w:after="134"/>
        <w:ind w:right="53" w:hanging="482"/>
      </w:pPr>
      <w:r>
        <w:t xml:space="preserve">Zdrojem stipendijního fondu jsou: </w:t>
      </w:r>
    </w:p>
    <w:p w14:paraId="3E60DB01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poplatky za studium podle § 58 odst. 6 zákona, </w:t>
      </w:r>
    </w:p>
    <w:p w14:paraId="24BE8BC2" w14:textId="4407C3BB" w:rsidR="009E5684" w:rsidRDefault="001000DD">
      <w:pPr>
        <w:numPr>
          <w:ilvl w:val="1"/>
          <w:numId w:val="7"/>
        </w:numPr>
        <w:ind w:right="53" w:hanging="540"/>
      </w:pPr>
      <w:r>
        <w:t>převody daňově uznatelných výdajů podle obecných předpisů o dani z příjmu</w:t>
      </w:r>
      <w:r>
        <w:rPr>
          <w:vertAlign w:val="superscript"/>
        </w:rPr>
        <w:footnoteReference w:id="5"/>
      </w:r>
      <w:r>
        <w:t xml:space="preserve">.  </w:t>
      </w:r>
    </w:p>
    <w:p w14:paraId="3D045583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Stipendijní fond je určen k výplatám stipendií podle Stipendijního řádu UTB. </w:t>
      </w:r>
    </w:p>
    <w:p w14:paraId="6A5159BB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Zdrojem fondu odměn je:  </w:t>
      </w:r>
    </w:p>
    <w:p w14:paraId="4DEC3E4A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příděl ze zisku po zdanění, </w:t>
      </w:r>
    </w:p>
    <w:p w14:paraId="7B1E712D" w14:textId="5DE40256" w:rsidR="009E5684" w:rsidRDefault="001000DD">
      <w:pPr>
        <w:numPr>
          <w:ilvl w:val="1"/>
          <w:numId w:val="7"/>
        </w:numPr>
        <w:ind w:right="53" w:hanging="540"/>
      </w:pPr>
      <w:r>
        <w:t xml:space="preserve">převod prostředků z fondu rezervního, fondu reprodukce investičního </w:t>
      </w:r>
      <w:r w:rsidR="00E311E9">
        <w:t>majetku a</w:t>
      </w:r>
      <w:r w:rsidR="00493CDA">
        <w:t> </w:t>
      </w:r>
      <w:r>
        <w:t xml:space="preserve">fondu provozních prostředků. </w:t>
      </w:r>
    </w:p>
    <w:p w14:paraId="59E8B273" w14:textId="77777777" w:rsidR="009E5684" w:rsidRDefault="001000DD" w:rsidP="004252A5">
      <w:pPr>
        <w:keepNext/>
        <w:numPr>
          <w:ilvl w:val="0"/>
          <w:numId w:val="7"/>
        </w:numPr>
        <w:spacing w:after="137"/>
        <w:ind w:right="53" w:hanging="482"/>
      </w:pPr>
      <w:r>
        <w:t xml:space="preserve">Fond odměn je určen:  </w:t>
      </w:r>
    </w:p>
    <w:p w14:paraId="4F12BD38" w14:textId="77777777" w:rsidR="009E5684" w:rsidRDefault="001000DD" w:rsidP="004252A5">
      <w:pPr>
        <w:keepNext/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na výplatu odměn v souladu se Mzdovým předpisem UTB, </w:t>
      </w:r>
    </w:p>
    <w:p w14:paraId="1CF1E636" w14:textId="529AEAE2" w:rsidR="009E5684" w:rsidRDefault="001000DD">
      <w:pPr>
        <w:numPr>
          <w:ilvl w:val="1"/>
          <w:numId w:val="7"/>
        </w:numPr>
        <w:ind w:right="53" w:hanging="540"/>
      </w:pPr>
      <w:r>
        <w:t>k převodu prostředků do fondu rezervního, fondu reprodukce investičního majetku a</w:t>
      </w:r>
      <w:r w:rsidR="00493CDA">
        <w:t> </w:t>
      </w:r>
      <w:r>
        <w:t xml:space="preserve">fondu provozních prostředků. </w:t>
      </w:r>
    </w:p>
    <w:p w14:paraId="0719696E" w14:textId="77777777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 xml:space="preserve">Zdrojem fondu účelově určených prostředků jsou: </w:t>
      </w:r>
    </w:p>
    <w:p w14:paraId="74EE6332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účelově určené dary, výjimkou jsou dary určené na pořízení a technické zhodnocení dlouhodobého majetku, </w:t>
      </w:r>
    </w:p>
    <w:p w14:paraId="786064E1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účelově určené peněžní prostředky ze zahraničí, </w:t>
      </w:r>
    </w:p>
    <w:p w14:paraId="250B0559" w14:textId="3B43FDE3" w:rsidR="009E5684" w:rsidRDefault="00464F1A">
      <w:pPr>
        <w:numPr>
          <w:ilvl w:val="1"/>
          <w:numId w:val="7"/>
        </w:numPr>
        <w:ind w:right="53" w:hanging="540"/>
      </w:pPr>
      <w:r w:rsidRPr="00464F1A">
        <w:t>účelově určené veřejné prostředky, včetně prostředků účelové a institucionální podpory výzkumu, experimentálního vývoje a inovací z veřejných prostředků, které nemohly být UTB použity v rozpočtovém roce, ve kterém jí byly poskytnuty, může UTB převést do fondu účelově určených prostředků do výše 10 % objemu účelově určených veřejných prostředků poskytnutých UTB na jednotlivé projekty výzkumu, experimentálního vývoje a inovací v daném kalendářním roce, nestanoví-li v případě víceletých projektů poskytovatel podpory ve smlouvě o poskytnutí podpory nebo v</w:t>
      </w:r>
      <w:r w:rsidR="00493CDA">
        <w:t> </w:t>
      </w:r>
      <w:r w:rsidRPr="00464F1A">
        <w:t>rozhodnutí o poskytnutí podpory jinak; v případě jiné podpory z veřejných prostředků do výše 10 % objemu této podpory poskytnuté UTB v daném kalendářním roce, mimo dotace na rozvoj podle § 18 odst. 5 věty první zákona, kterou lze převést v neomezené výši. Převod účelově určených prostředků oznámí UTB písemně jejich poskytovateli</w:t>
      </w:r>
      <w:r>
        <w:t xml:space="preserve">. </w:t>
      </w:r>
    </w:p>
    <w:p w14:paraId="32D8F9AE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Fond účelově určených prostředků je určen k účelu, ke kterému byly prostředky UTB poskytnuty. </w:t>
      </w:r>
    </w:p>
    <w:p w14:paraId="10868FBD" w14:textId="77777777" w:rsidR="00F32B6C" w:rsidRDefault="00F32B6C" w:rsidP="00563232">
      <w:pPr>
        <w:numPr>
          <w:ilvl w:val="0"/>
          <w:numId w:val="7"/>
        </w:numPr>
        <w:ind w:right="53" w:hanging="482"/>
      </w:pPr>
      <w:r>
        <w:t>Sociální fond UTB je tvořen přídělem na vrub nákladů maximálně do výše 1 % z ročního objemu nákladů UTB zúčtovaných na mzdy, náhrady mezd a odměny za pracovní pohotovost.</w:t>
      </w:r>
    </w:p>
    <w:p w14:paraId="48EF5397" w14:textId="1544F518" w:rsidR="009E5684" w:rsidRDefault="00F32B6C" w:rsidP="00F32B6C">
      <w:pPr>
        <w:ind w:left="482" w:right="53" w:firstLine="0"/>
      </w:pPr>
      <w:r>
        <w:t xml:space="preserve">Sociální fond je určen k úhradě sociálních nákladů zaměstnanců UTB ve formě příspěvku:  </w:t>
      </w:r>
    </w:p>
    <w:p w14:paraId="102EB274" w14:textId="77777777" w:rsidR="00F32B6C" w:rsidRDefault="00F32B6C" w:rsidP="00563232">
      <w:pPr>
        <w:spacing w:after="60" w:line="247" w:lineRule="auto"/>
        <w:ind w:left="482" w:right="51" w:firstLine="0"/>
      </w:pPr>
      <w:r>
        <w:t>a) na penzijní připojištění se státním příspěvkem nebo na doplňkové penzijní spoření,</w:t>
      </w:r>
    </w:p>
    <w:p w14:paraId="6A80BE57" w14:textId="77777777" w:rsidR="00F32B6C" w:rsidRDefault="00F32B6C" w:rsidP="00563232">
      <w:pPr>
        <w:spacing w:after="60" w:line="247" w:lineRule="auto"/>
        <w:ind w:left="482" w:right="51" w:firstLine="0"/>
      </w:pPr>
      <w:r>
        <w:t>b) na penzijní pojištění,</w:t>
      </w:r>
    </w:p>
    <w:p w14:paraId="68130444" w14:textId="77777777" w:rsidR="00F32B6C" w:rsidRDefault="00F32B6C" w:rsidP="00F32B6C">
      <w:pPr>
        <w:ind w:left="482" w:right="53" w:firstLine="0"/>
      </w:pPr>
      <w:r>
        <w:t xml:space="preserve">c) na volnočasové benefity. </w:t>
      </w:r>
    </w:p>
    <w:p w14:paraId="37FE8929" w14:textId="3C979DCA" w:rsidR="00F32B6C" w:rsidRDefault="00F32B6C" w:rsidP="00F32B6C">
      <w:pPr>
        <w:ind w:left="482" w:right="53" w:firstLine="0"/>
      </w:pPr>
      <w:r>
        <w:t>Bližší podmínky čerpání příspěvků ze sociálního fondu jsou upraveny vnitřními normami UTB.</w:t>
      </w:r>
    </w:p>
    <w:p w14:paraId="2066975B" w14:textId="77777777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 xml:space="preserve">Zdrojem fondu provozních prostředků jsou: </w:t>
      </w:r>
    </w:p>
    <w:p w14:paraId="1AC94D2F" w14:textId="77777777" w:rsidR="009E5684" w:rsidRDefault="001000DD">
      <w:pPr>
        <w:numPr>
          <w:ilvl w:val="1"/>
          <w:numId w:val="7"/>
        </w:numPr>
        <w:spacing w:after="143"/>
        <w:ind w:right="53" w:hanging="540"/>
      </w:pPr>
      <w:r>
        <w:t xml:space="preserve">příděl ze zisku po zdanění, </w:t>
      </w:r>
    </w:p>
    <w:p w14:paraId="37A2D6B9" w14:textId="77777777" w:rsidR="009E5684" w:rsidRDefault="001000DD">
      <w:pPr>
        <w:numPr>
          <w:ilvl w:val="1"/>
          <w:numId w:val="7"/>
        </w:numPr>
        <w:ind w:right="53" w:hanging="540"/>
      </w:pPr>
      <w:r>
        <w:t xml:space="preserve">zůstatky příspěvků k 31. prosinci běžného roku, </w:t>
      </w:r>
    </w:p>
    <w:p w14:paraId="7D143817" w14:textId="4FF5EF52" w:rsidR="009E5684" w:rsidRDefault="001000DD">
      <w:pPr>
        <w:numPr>
          <w:ilvl w:val="1"/>
          <w:numId w:val="7"/>
        </w:numPr>
        <w:ind w:right="53" w:hanging="540"/>
      </w:pPr>
      <w:r>
        <w:t xml:space="preserve">převod prostředků z fondu rezervního, fondu reprodukce investičního </w:t>
      </w:r>
      <w:r w:rsidR="00216EFF">
        <w:t>majetku a</w:t>
      </w:r>
      <w:r w:rsidR="00563232">
        <w:t> </w:t>
      </w:r>
      <w:r>
        <w:t xml:space="preserve">fondu odměn. </w:t>
      </w:r>
    </w:p>
    <w:p w14:paraId="0BB8D61A" w14:textId="77777777" w:rsidR="009E5684" w:rsidRDefault="001000DD" w:rsidP="00563232">
      <w:pPr>
        <w:keepNext/>
        <w:numPr>
          <w:ilvl w:val="0"/>
          <w:numId w:val="7"/>
        </w:numPr>
        <w:spacing w:after="137" w:line="247" w:lineRule="auto"/>
        <w:ind w:right="51" w:hanging="482"/>
      </w:pPr>
      <w:r>
        <w:t xml:space="preserve">Fond provozních prostředků je určen k: </w:t>
      </w:r>
    </w:p>
    <w:p w14:paraId="4CFA4DC8" w14:textId="77777777" w:rsidR="009E5684" w:rsidRDefault="001000DD" w:rsidP="00563232">
      <w:pPr>
        <w:keepNext/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úhradě neinvestičních nákladů v kalendářním roce, </w:t>
      </w:r>
    </w:p>
    <w:p w14:paraId="3986BD2F" w14:textId="77777777" w:rsidR="009E5684" w:rsidRDefault="001000DD" w:rsidP="00563232">
      <w:pPr>
        <w:keepNext/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spolufinancování projektů, které mají spolufinancování v podmínkách, </w:t>
      </w:r>
    </w:p>
    <w:p w14:paraId="01149184" w14:textId="77777777" w:rsidR="009E5684" w:rsidRDefault="001000DD" w:rsidP="00563232">
      <w:pPr>
        <w:keepNext/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úhradě splátek úvěrů a půjček neinvestiční povahy, </w:t>
      </w:r>
    </w:p>
    <w:p w14:paraId="0D1F157A" w14:textId="1F658CB4" w:rsidR="009E5684" w:rsidRDefault="001000DD">
      <w:pPr>
        <w:numPr>
          <w:ilvl w:val="1"/>
          <w:numId w:val="7"/>
        </w:numPr>
        <w:ind w:right="53" w:hanging="540"/>
      </w:pPr>
      <w:r>
        <w:t xml:space="preserve">převodu prostředků do fondu rezervního, fondu reprodukce investičního </w:t>
      </w:r>
      <w:r w:rsidR="00216EFF">
        <w:t>majetku a</w:t>
      </w:r>
      <w:r w:rsidR="00563232">
        <w:t> </w:t>
      </w:r>
      <w:r>
        <w:t xml:space="preserve">fondu odměn. </w:t>
      </w:r>
    </w:p>
    <w:p w14:paraId="7C87965A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Zisk po zdanění může UTB rozdělovat do fondů pouze v případě, že byla uhrazena případná ztráta z minulých období. </w:t>
      </w:r>
    </w:p>
    <w:p w14:paraId="789FE667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Při rozdělování zisku po zdanění do jednotlivých fondů přihlédne UTB ke svým specifickým potřebám a k podílu součástí na jeho dosažení.  </w:t>
      </w:r>
    </w:p>
    <w:p w14:paraId="2956EEA3" w14:textId="1B214695" w:rsidR="009E5684" w:rsidRDefault="001000DD">
      <w:pPr>
        <w:numPr>
          <w:ilvl w:val="0"/>
          <w:numId w:val="7"/>
        </w:numPr>
        <w:ind w:right="53" w:hanging="482"/>
      </w:pPr>
      <w:r>
        <w:t xml:space="preserve">Rektor může na základě oprávněných potřeb převádět prostředky mezi rezervním fondem, fondem reprodukce investičního majetku, fondem odměn a fondem provozních prostředků (celouniverzitní prostředky, prostředky další součásti UTB Rektorát (dále jen „rektorát“)). O převodech disponibilních prostředků mezi výše uvedenými </w:t>
      </w:r>
      <w:r w:rsidR="00216EFF">
        <w:t>fondy na</w:t>
      </w:r>
      <w:r>
        <w:t xml:space="preserve"> ostatních součástech UTB rozhoduje vedoucí zaměstnanec součásti. </w:t>
      </w:r>
    </w:p>
    <w:p w14:paraId="070DA861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Zůstatky fondů k 31. prosinci běžného roku se převádějí do následujícího rozpočtového roku. </w:t>
      </w:r>
    </w:p>
    <w:p w14:paraId="32013774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Použití investičních prostředků z fondů se účtuje přímo na vrub těchto fondů, použití neinvestičních prostředků z fondů se účtuje do výnosů a nákladů. </w:t>
      </w:r>
    </w:p>
    <w:p w14:paraId="73B9290A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Zůstatky fondů, které jsou tvořeny jednotlivými součástmi UTB, nelze těmto součástem odejmout. </w:t>
      </w:r>
    </w:p>
    <w:p w14:paraId="216864EA" w14:textId="77777777" w:rsidR="009E5684" w:rsidRDefault="001000DD">
      <w:pPr>
        <w:spacing w:after="100" w:line="259" w:lineRule="auto"/>
        <w:ind w:left="0" w:firstLine="0"/>
        <w:jc w:val="left"/>
      </w:pPr>
      <w:r>
        <w:t xml:space="preserve"> </w:t>
      </w:r>
    </w:p>
    <w:p w14:paraId="02AB97CE" w14:textId="77777777" w:rsidR="00AA015C" w:rsidRDefault="001000DD" w:rsidP="007E7C78">
      <w:pPr>
        <w:spacing w:after="0" w:line="265" w:lineRule="auto"/>
        <w:ind w:left="234"/>
        <w:jc w:val="center"/>
        <w:rPr>
          <w:b/>
        </w:rPr>
      </w:pPr>
      <w:r>
        <w:rPr>
          <w:b/>
        </w:rPr>
        <w:t xml:space="preserve">ČÁST TŘETÍ </w:t>
      </w:r>
    </w:p>
    <w:p w14:paraId="3CF41749" w14:textId="7E1B918C" w:rsidR="009E5684" w:rsidRDefault="001000DD" w:rsidP="009D4C69">
      <w:pPr>
        <w:spacing w:after="240" w:line="264" w:lineRule="auto"/>
        <w:ind w:left="238" w:hanging="11"/>
        <w:jc w:val="center"/>
      </w:pPr>
      <w:r>
        <w:rPr>
          <w:b/>
        </w:rPr>
        <w:t xml:space="preserve">VEDENÍ ÚČETNICTVÍ A EVIDENCE </w:t>
      </w:r>
    </w:p>
    <w:p w14:paraId="41CB9B1E" w14:textId="77777777" w:rsidR="00E311E9" w:rsidRDefault="001000DD">
      <w:pPr>
        <w:pStyle w:val="Nadpis1"/>
        <w:ind w:left="234" w:right="285"/>
      </w:pPr>
      <w:r>
        <w:t xml:space="preserve">Článek 7  </w:t>
      </w:r>
    </w:p>
    <w:p w14:paraId="7B2E20C9" w14:textId="25E79F00" w:rsidR="009E5684" w:rsidRDefault="001000DD">
      <w:pPr>
        <w:pStyle w:val="Nadpis1"/>
        <w:ind w:left="234" w:right="285"/>
      </w:pPr>
      <w:r>
        <w:t xml:space="preserve">Způsob účtování </w:t>
      </w:r>
    </w:p>
    <w:p w14:paraId="33ACB3FC" w14:textId="71B7D7D0" w:rsidR="009E5684" w:rsidRDefault="001000DD" w:rsidP="00563232">
      <w:pPr>
        <w:ind w:left="0" w:right="53" w:firstLine="0"/>
      </w:pPr>
      <w:r>
        <w:t>UTB účtuje v soustavě podvojného účetnictví. UTB při vedení účetnictví postupuje podle obecných předpisů o účetnictví</w:t>
      </w:r>
      <w:r w:rsidR="0004501B">
        <w:rPr>
          <w:rStyle w:val="Znakapoznpodarou"/>
        </w:rPr>
        <w:footnoteReference w:id="6"/>
      </w:r>
      <w:r>
        <w:t>. UTB ve svém účetnictví odděluje náklady a výnosy spojené s</w:t>
      </w:r>
      <w:r w:rsidR="0016507D">
        <w:t> </w:t>
      </w:r>
      <w:r>
        <w:t xml:space="preserve">doplňkovou činností od nákladů a výnosů spojených s činností hlavní. </w:t>
      </w:r>
    </w:p>
    <w:p w14:paraId="2092E933" w14:textId="79D47666" w:rsidR="00E311E9" w:rsidRDefault="001000DD" w:rsidP="009D4C69">
      <w:pPr>
        <w:pStyle w:val="Nadpis1"/>
        <w:spacing w:before="240" w:line="264" w:lineRule="auto"/>
        <w:ind w:left="238" w:right="284" w:hanging="11"/>
      </w:pPr>
      <w:r>
        <w:t xml:space="preserve">Článek 8 </w:t>
      </w:r>
    </w:p>
    <w:p w14:paraId="038192DB" w14:textId="3B0A98C1" w:rsidR="009E5684" w:rsidRDefault="001000DD">
      <w:pPr>
        <w:pStyle w:val="Nadpis1"/>
        <w:ind w:left="234" w:right="285"/>
      </w:pPr>
      <w:r>
        <w:t xml:space="preserve">Vedení účetnictví </w:t>
      </w:r>
    </w:p>
    <w:p w14:paraId="1CEB99E7" w14:textId="77777777" w:rsidR="009E5684" w:rsidRDefault="001000DD">
      <w:pPr>
        <w:numPr>
          <w:ilvl w:val="0"/>
          <w:numId w:val="8"/>
        </w:numPr>
        <w:ind w:right="53" w:hanging="482"/>
      </w:pPr>
      <w:r>
        <w:t xml:space="preserve">Účetnictví UTB je vedeno jako celek, UTB zde vystupuje jako jedna účetní jednotka. </w:t>
      </w:r>
    </w:p>
    <w:p w14:paraId="157BEB31" w14:textId="77777777" w:rsidR="009E5684" w:rsidRDefault="001000DD">
      <w:pPr>
        <w:numPr>
          <w:ilvl w:val="0"/>
          <w:numId w:val="8"/>
        </w:numPr>
        <w:ind w:right="53" w:hanging="482"/>
      </w:pPr>
      <w:r>
        <w:t xml:space="preserve">Účetnictví UTB je vedeno podle účtového rozvrhu vydaného UTB jako směrnice kvestora. </w:t>
      </w:r>
    </w:p>
    <w:p w14:paraId="4DFA7A16" w14:textId="06D12CC2" w:rsidR="009E5684" w:rsidRDefault="001000DD">
      <w:pPr>
        <w:numPr>
          <w:ilvl w:val="0"/>
          <w:numId w:val="8"/>
        </w:numPr>
        <w:ind w:right="53" w:hanging="482"/>
      </w:pPr>
      <w:r>
        <w:t xml:space="preserve">Způsob vedení účetnictví na UTB je stanoven obecnými předpisy o </w:t>
      </w:r>
      <w:r w:rsidR="00216EFF">
        <w:t>účetnictví a</w:t>
      </w:r>
      <w:r w:rsidR="00563232">
        <w:t> </w:t>
      </w:r>
      <w:r>
        <w:t xml:space="preserve">metodickými pokyny rektora a kvestora. </w:t>
      </w:r>
    </w:p>
    <w:p w14:paraId="1D2A7C2E" w14:textId="77777777" w:rsidR="009E5684" w:rsidRDefault="001000DD">
      <w:pPr>
        <w:numPr>
          <w:ilvl w:val="0"/>
          <w:numId w:val="8"/>
        </w:numPr>
        <w:ind w:right="53" w:hanging="482"/>
      </w:pPr>
      <w:r>
        <w:t xml:space="preserve">Za včasnost, věcnou správnost, úplnost a průkaznost podkladů předaných ke zpracování do účetnictví zodpovídají součásti UTB samostatně. </w:t>
      </w:r>
    </w:p>
    <w:p w14:paraId="01EAB08E" w14:textId="77777777" w:rsidR="009E5684" w:rsidRDefault="001000DD" w:rsidP="009D4C69">
      <w:pPr>
        <w:numPr>
          <w:ilvl w:val="0"/>
          <w:numId w:val="8"/>
        </w:numPr>
        <w:spacing w:after="240" w:line="247" w:lineRule="auto"/>
        <w:ind w:right="51" w:hanging="482"/>
      </w:pPr>
      <w:r>
        <w:t xml:space="preserve">Pro vnitřní účtování mezi součástmi UTB je používána účtová třída 7 – Vnitropodnikové účetnictví. </w:t>
      </w:r>
    </w:p>
    <w:p w14:paraId="2383E1C6" w14:textId="77777777" w:rsidR="009E5684" w:rsidRDefault="001000DD">
      <w:pPr>
        <w:spacing w:after="115" w:line="238" w:lineRule="auto"/>
        <w:ind w:left="3759" w:right="3415" w:firstLine="319"/>
        <w:jc w:val="left"/>
      </w:pPr>
      <w:r>
        <w:rPr>
          <w:b/>
        </w:rPr>
        <w:t xml:space="preserve">Článek 9 Účetní doklady </w:t>
      </w:r>
    </w:p>
    <w:p w14:paraId="15792687" w14:textId="77777777" w:rsidR="009E5684" w:rsidRDefault="001000DD">
      <w:pPr>
        <w:numPr>
          <w:ilvl w:val="0"/>
          <w:numId w:val="9"/>
        </w:numPr>
        <w:ind w:right="53" w:hanging="482"/>
      </w:pPr>
      <w:r>
        <w:t xml:space="preserve">Účetnictví UTB je zpracováváno automatizovaně. </w:t>
      </w:r>
    </w:p>
    <w:p w14:paraId="0A6207FF" w14:textId="3AA87570" w:rsidR="009E5684" w:rsidRDefault="001000DD" w:rsidP="00563232">
      <w:pPr>
        <w:numPr>
          <w:ilvl w:val="0"/>
          <w:numId w:val="9"/>
        </w:numPr>
        <w:spacing w:after="70"/>
        <w:ind w:right="53" w:hanging="482"/>
      </w:pPr>
      <w:r>
        <w:t xml:space="preserve">Účetní doklady UTB musí mít náležitosti stanovené obecnými předpisy o účetnictví. Veškeré operace mezi jednotlivými součástmi UTB jsou realizovány na základě interních účetních dokladů (vnitropodnikové účetnictví). </w:t>
      </w:r>
    </w:p>
    <w:p w14:paraId="6DD98213" w14:textId="77777777" w:rsidR="009E5684" w:rsidRDefault="001000DD">
      <w:pPr>
        <w:numPr>
          <w:ilvl w:val="0"/>
          <w:numId w:val="10"/>
        </w:numPr>
        <w:ind w:right="53" w:hanging="482"/>
      </w:pPr>
      <w:r>
        <w:t xml:space="preserve">Za věcnou a formální správnost účetních dokladů UTB, zejména za kompletaci podkladů k veškerým účetním případům a za jejich včasné předání k účetnímu zpracování odpovídají součásti UTB. </w:t>
      </w:r>
    </w:p>
    <w:p w14:paraId="4C5FF4D5" w14:textId="6B852A98" w:rsidR="009E5684" w:rsidRDefault="001000DD">
      <w:pPr>
        <w:numPr>
          <w:ilvl w:val="0"/>
          <w:numId w:val="10"/>
        </w:numPr>
        <w:ind w:right="53" w:hanging="482"/>
      </w:pPr>
      <w:r>
        <w:t xml:space="preserve">Účetní doklady UTB se zakládají v definovaných účetních řadách a zůstávají </w:t>
      </w:r>
      <w:r w:rsidR="00216EFF">
        <w:t>uloženy na</w:t>
      </w:r>
      <w:r>
        <w:t xml:space="preserve"> rektorátu. </w:t>
      </w:r>
    </w:p>
    <w:p w14:paraId="7C67401D" w14:textId="56739152" w:rsidR="009E5684" w:rsidRDefault="001000DD" w:rsidP="0004501B">
      <w:pPr>
        <w:numPr>
          <w:ilvl w:val="0"/>
          <w:numId w:val="10"/>
        </w:numPr>
        <w:spacing w:after="352"/>
        <w:ind w:left="477" w:right="53" w:hanging="482"/>
      </w:pPr>
      <w:r>
        <w:t xml:space="preserve">Zaměstnanci Ekonomického odboru rektorátu zodpovídají za řádné uložení účetních dokladů UTB a jejich předání </w:t>
      </w:r>
      <w:r w:rsidR="00D86305">
        <w:t>do spisovny</w:t>
      </w:r>
      <w:r>
        <w:t xml:space="preserve"> podle spisového a skartačního řádu. Na vyzvání jsou tyto doklady povinni předložit kontrole. </w:t>
      </w:r>
    </w:p>
    <w:p w14:paraId="599681BD" w14:textId="77777777" w:rsidR="00E311E9" w:rsidRDefault="001000DD">
      <w:pPr>
        <w:pStyle w:val="Nadpis1"/>
        <w:ind w:left="234" w:right="285"/>
      </w:pPr>
      <w:r>
        <w:t xml:space="preserve">Článek 10  </w:t>
      </w:r>
    </w:p>
    <w:p w14:paraId="20138B1A" w14:textId="3F090F23" w:rsidR="009E5684" w:rsidRDefault="001000DD">
      <w:pPr>
        <w:pStyle w:val="Nadpis1"/>
        <w:ind w:left="234" w:right="285"/>
      </w:pPr>
      <w:r>
        <w:t xml:space="preserve">Roční účetní závěrka </w:t>
      </w:r>
    </w:p>
    <w:p w14:paraId="28CC33F2" w14:textId="77777777" w:rsidR="009E5684" w:rsidRDefault="001000DD">
      <w:pPr>
        <w:numPr>
          <w:ilvl w:val="0"/>
          <w:numId w:val="11"/>
        </w:numPr>
        <w:ind w:right="53" w:hanging="482"/>
      </w:pPr>
      <w:r>
        <w:t xml:space="preserve">Za zpracování roční účetní závěrky UTB, její předložení a zúčtování se státním rozpočtem zodpovídá kvestor. </w:t>
      </w:r>
    </w:p>
    <w:p w14:paraId="3CF19A0A" w14:textId="55D5523F" w:rsidR="009E5684" w:rsidRDefault="001000DD">
      <w:pPr>
        <w:numPr>
          <w:ilvl w:val="0"/>
          <w:numId w:val="11"/>
        </w:numPr>
        <w:ind w:right="53" w:hanging="482"/>
      </w:pPr>
      <w:r>
        <w:t xml:space="preserve">Roční účetní závěrka UTB je součástí Výroční zprávy o hospodaření UTB v </w:t>
      </w:r>
      <w:r w:rsidR="00216EFF">
        <w:t>souladu s</w:t>
      </w:r>
      <w:r>
        <w:t xml:space="preserve"> §</w:t>
      </w:r>
      <w:r w:rsidR="0004501B">
        <w:t> </w:t>
      </w:r>
      <w:r>
        <w:t xml:space="preserve">21 zákona a obsahuje zhodnocení základních údajů v ní obsažených. </w:t>
      </w:r>
    </w:p>
    <w:p w14:paraId="1BAF4448" w14:textId="447E8955" w:rsidR="009E5684" w:rsidRDefault="001000DD">
      <w:pPr>
        <w:numPr>
          <w:ilvl w:val="0"/>
          <w:numId w:val="11"/>
        </w:numPr>
        <w:spacing w:after="139"/>
        <w:ind w:right="53" w:hanging="482"/>
      </w:pPr>
      <w:r>
        <w:t xml:space="preserve">Součástí účetní závěrky UTB je inventarizace majetku, zásob, pohledávek a </w:t>
      </w:r>
      <w:r w:rsidR="00216EFF">
        <w:t>závazků v</w:t>
      </w:r>
      <w:r w:rsidR="0004501B">
        <w:t> </w:t>
      </w:r>
      <w:r>
        <w:t>souladu s obecnými předpisy o účetnictví</w:t>
      </w:r>
      <w:r w:rsidR="009D4C69">
        <w:rPr>
          <w:rStyle w:val="Znakapoznpodarou"/>
        </w:rPr>
        <w:footnoteReference w:id="7"/>
      </w:r>
      <w:r>
        <w:t xml:space="preserve">. </w:t>
      </w:r>
    </w:p>
    <w:p w14:paraId="2DDB3F0C" w14:textId="42334CA9" w:rsidR="009E5684" w:rsidRDefault="001000DD">
      <w:pPr>
        <w:numPr>
          <w:ilvl w:val="0"/>
          <w:numId w:val="11"/>
        </w:numPr>
        <w:ind w:right="53" w:hanging="482"/>
      </w:pPr>
      <w:r>
        <w:t xml:space="preserve">UTB je povinna prokázat provedení inventarizace u veškerého majetku, </w:t>
      </w:r>
      <w:r w:rsidR="00216EFF">
        <w:t>závazků a</w:t>
      </w:r>
      <w:r w:rsidR="0004501B">
        <w:t> </w:t>
      </w:r>
      <w:r>
        <w:t xml:space="preserve">pohledávek po dobu 5 let po jejím provedení. </w:t>
      </w:r>
    </w:p>
    <w:p w14:paraId="4F0E6E60" w14:textId="6259034C" w:rsidR="009E5684" w:rsidRDefault="001000DD">
      <w:pPr>
        <w:numPr>
          <w:ilvl w:val="0"/>
          <w:numId w:val="11"/>
        </w:numPr>
        <w:ind w:right="53" w:hanging="482"/>
      </w:pPr>
      <w:r>
        <w:t xml:space="preserve">Roční účetní závěrka se zpracovává za účetní období, jímž je kalendářní </w:t>
      </w:r>
      <w:r w:rsidR="00216EFF">
        <w:t>rok, tj.</w:t>
      </w:r>
      <w:r w:rsidR="00DA461B">
        <w:t> </w:t>
      </w:r>
      <w:r>
        <w:t>k</w:t>
      </w:r>
      <w:r w:rsidR="00DA461B">
        <w:t> </w:t>
      </w:r>
      <w:r>
        <w:t>31.</w:t>
      </w:r>
      <w:r w:rsidR="00DA461B">
        <w:t> </w:t>
      </w:r>
      <w:r>
        <w:t xml:space="preserve">prosinci daného kalendářního roku. </w:t>
      </w:r>
    </w:p>
    <w:p w14:paraId="77AD297F" w14:textId="77777777" w:rsidR="009E5684" w:rsidRDefault="001000DD">
      <w:pPr>
        <w:spacing w:after="100" w:line="259" w:lineRule="auto"/>
        <w:ind w:left="0" w:firstLine="0"/>
        <w:jc w:val="left"/>
      </w:pPr>
      <w:r>
        <w:t xml:space="preserve"> </w:t>
      </w:r>
    </w:p>
    <w:p w14:paraId="63F54EE7" w14:textId="77777777" w:rsidR="00AA015C" w:rsidRDefault="001000DD" w:rsidP="00DC1670">
      <w:pPr>
        <w:keepNext/>
        <w:spacing w:after="0" w:line="264" w:lineRule="auto"/>
        <w:ind w:left="238" w:right="561" w:hanging="11"/>
        <w:jc w:val="center"/>
        <w:rPr>
          <w:b/>
        </w:rPr>
      </w:pPr>
      <w:r>
        <w:rPr>
          <w:b/>
        </w:rPr>
        <w:t xml:space="preserve">ČÁST ČTVRTÁ </w:t>
      </w:r>
    </w:p>
    <w:p w14:paraId="491DD80F" w14:textId="0BEB7BB4" w:rsidR="009E5684" w:rsidRDefault="001000DD" w:rsidP="00DC1670">
      <w:pPr>
        <w:keepNext/>
        <w:spacing w:after="330" w:line="264" w:lineRule="auto"/>
        <w:ind w:left="238" w:right="561" w:hanging="11"/>
        <w:jc w:val="center"/>
      </w:pPr>
      <w:r>
        <w:rPr>
          <w:b/>
        </w:rPr>
        <w:t xml:space="preserve">DANĚ </w:t>
      </w:r>
    </w:p>
    <w:p w14:paraId="48F9C5B0" w14:textId="77777777" w:rsidR="00E311E9" w:rsidRDefault="001000DD">
      <w:pPr>
        <w:pStyle w:val="Nadpis1"/>
        <w:ind w:left="234" w:right="284"/>
      </w:pPr>
      <w:r>
        <w:t xml:space="preserve">Článek 11 </w:t>
      </w:r>
    </w:p>
    <w:p w14:paraId="18F69915" w14:textId="7DFC0932" w:rsidR="009E5684" w:rsidRDefault="001000DD">
      <w:pPr>
        <w:pStyle w:val="Nadpis1"/>
        <w:ind w:left="234" w:right="284"/>
      </w:pPr>
      <w:r>
        <w:t xml:space="preserve">Daň z příjmů </w:t>
      </w:r>
    </w:p>
    <w:p w14:paraId="475B881B" w14:textId="4510C50A" w:rsidR="009E5684" w:rsidRDefault="001000DD">
      <w:pPr>
        <w:numPr>
          <w:ilvl w:val="0"/>
          <w:numId w:val="12"/>
        </w:numPr>
        <w:ind w:right="53" w:hanging="482"/>
      </w:pPr>
      <w:r>
        <w:t xml:space="preserve">UTB je pro účely obecných předpisů o dani z příjmů poplatníkem, který není zřízen za účelem podnikání. Předmětem daně UTB jako veřejné vysoké školy jsou všechny příjmy s výjimkou příjmů z investičních dotací. </w:t>
      </w:r>
    </w:p>
    <w:p w14:paraId="1D81469B" w14:textId="77777777" w:rsidR="009E5684" w:rsidRDefault="001000DD">
      <w:pPr>
        <w:numPr>
          <w:ilvl w:val="0"/>
          <w:numId w:val="12"/>
        </w:numPr>
        <w:ind w:right="53" w:hanging="482"/>
      </w:pPr>
      <w:r>
        <w:t xml:space="preserve">Mzdy pro součásti UTB jsou zpracovávány centrálně. Vzhledem k tomu odvody zálohové a srážkové daně z příjmů ze závislé činnosti a funkčních požitků provádí rektorát. </w:t>
      </w:r>
    </w:p>
    <w:p w14:paraId="037E7723" w14:textId="77777777" w:rsidR="009E5684" w:rsidRDefault="001000DD">
      <w:pPr>
        <w:numPr>
          <w:ilvl w:val="0"/>
          <w:numId w:val="12"/>
        </w:numPr>
        <w:ind w:right="53" w:hanging="482"/>
      </w:pPr>
      <w:r>
        <w:t xml:space="preserve">Daň z příjmů právnických osob zpracovává UTB na základě ročního výsledku hospodaření UTB jako celku. </w:t>
      </w:r>
    </w:p>
    <w:p w14:paraId="25AD307D" w14:textId="097B5489" w:rsidR="009E5684" w:rsidRDefault="001000DD">
      <w:pPr>
        <w:numPr>
          <w:ilvl w:val="0"/>
          <w:numId w:val="12"/>
        </w:numPr>
        <w:ind w:right="53" w:hanging="482"/>
      </w:pPr>
      <w:r>
        <w:t xml:space="preserve">Zálohy na daň z příjmů podle obecných předpisů o daních z příjmů platí </w:t>
      </w:r>
      <w:r w:rsidR="00216EFF">
        <w:t>rektorát v</w:t>
      </w:r>
      <w:r>
        <w:t xml:space="preserve"> průběhu zálohového období.  </w:t>
      </w:r>
    </w:p>
    <w:p w14:paraId="7AD9EA07" w14:textId="77777777" w:rsidR="00E311E9" w:rsidRDefault="001000DD">
      <w:pPr>
        <w:pStyle w:val="Nadpis1"/>
        <w:ind w:left="234" w:right="284"/>
      </w:pPr>
      <w:r>
        <w:t xml:space="preserve">Článek 12 </w:t>
      </w:r>
    </w:p>
    <w:p w14:paraId="0029FCC9" w14:textId="3121DAF6" w:rsidR="009E5684" w:rsidRDefault="001000DD">
      <w:pPr>
        <w:pStyle w:val="Nadpis1"/>
        <w:ind w:left="234" w:right="284"/>
      </w:pPr>
      <w:r>
        <w:t xml:space="preserve">Odvody </w:t>
      </w:r>
    </w:p>
    <w:p w14:paraId="65D36889" w14:textId="566A5AAC" w:rsidR="009E5684" w:rsidRDefault="001000DD">
      <w:pPr>
        <w:numPr>
          <w:ilvl w:val="0"/>
          <w:numId w:val="13"/>
        </w:numPr>
        <w:ind w:right="53" w:hanging="482"/>
      </w:pPr>
      <w:r>
        <w:t xml:space="preserve">Odvod pojistného na sociální zabezpečení a příspěvků na státní politiku </w:t>
      </w:r>
      <w:r w:rsidR="00216EFF">
        <w:t>zaměstnanosti za</w:t>
      </w:r>
      <w:r>
        <w:t xml:space="preserve"> součásti UTB provádí rektorát. </w:t>
      </w:r>
    </w:p>
    <w:p w14:paraId="7A5E2E7A" w14:textId="77777777" w:rsidR="009E5684" w:rsidRDefault="001000DD">
      <w:pPr>
        <w:numPr>
          <w:ilvl w:val="0"/>
          <w:numId w:val="13"/>
        </w:numPr>
        <w:ind w:right="53" w:hanging="482"/>
      </w:pPr>
      <w:r>
        <w:t xml:space="preserve">Odvod pojistného na všeobecné zdravotní pojištění za součásti UTB provádí rektorát. </w:t>
      </w:r>
    </w:p>
    <w:p w14:paraId="0A29FD54" w14:textId="39E4F407" w:rsidR="009E5684" w:rsidRDefault="001000DD">
      <w:pPr>
        <w:numPr>
          <w:ilvl w:val="0"/>
          <w:numId w:val="13"/>
        </w:numPr>
        <w:ind w:right="53" w:hanging="482"/>
      </w:pPr>
      <w:r>
        <w:t xml:space="preserve">Odvody podle odstavců 1 a 2 jsou prováděny na základě mzdové </w:t>
      </w:r>
      <w:r w:rsidR="00216EFF">
        <w:t>rekapitulace a</w:t>
      </w:r>
      <w:r>
        <w:t xml:space="preserve"> v řádném termínu. </w:t>
      </w:r>
    </w:p>
    <w:p w14:paraId="07E82E80" w14:textId="77777777" w:rsidR="009E5684" w:rsidRDefault="001000DD">
      <w:pPr>
        <w:spacing w:after="100" w:line="259" w:lineRule="auto"/>
        <w:ind w:left="0" w:firstLine="0"/>
        <w:jc w:val="left"/>
      </w:pPr>
      <w:r>
        <w:t xml:space="preserve"> </w:t>
      </w:r>
    </w:p>
    <w:p w14:paraId="54CB2161" w14:textId="77777777" w:rsidR="00AA015C" w:rsidRDefault="001000DD" w:rsidP="00634167">
      <w:pPr>
        <w:spacing w:after="0" w:line="265" w:lineRule="auto"/>
        <w:ind w:left="234" w:right="6"/>
        <w:jc w:val="center"/>
        <w:rPr>
          <w:b/>
        </w:rPr>
      </w:pPr>
      <w:r>
        <w:rPr>
          <w:b/>
        </w:rPr>
        <w:t xml:space="preserve">ČÁST PÁTÁ </w:t>
      </w:r>
    </w:p>
    <w:p w14:paraId="714C93B4" w14:textId="54E0F2B0" w:rsidR="009E5684" w:rsidRDefault="001000DD">
      <w:pPr>
        <w:spacing w:after="330" w:line="265" w:lineRule="auto"/>
        <w:ind w:left="234" w:right="6"/>
        <w:jc w:val="center"/>
      </w:pPr>
      <w:r>
        <w:rPr>
          <w:b/>
        </w:rPr>
        <w:t xml:space="preserve">OSTATNÍ FINANČNÍ PLNĚNÍ </w:t>
      </w:r>
    </w:p>
    <w:p w14:paraId="70AA555B" w14:textId="77777777" w:rsidR="00E311E9" w:rsidRDefault="001000DD">
      <w:pPr>
        <w:pStyle w:val="Nadpis1"/>
        <w:ind w:left="234" w:right="284"/>
      </w:pPr>
      <w:r>
        <w:t xml:space="preserve">Článek 13 </w:t>
      </w:r>
    </w:p>
    <w:p w14:paraId="21CB4ADE" w14:textId="14F40682" w:rsidR="009E5684" w:rsidRDefault="001000DD">
      <w:pPr>
        <w:pStyle w:val="Nadpis1"/>
        <w:ind w:left="234" w:right="284"/>
      </w:pPr>
      <w:r>
        <w:t xml:space="preserve">Financování účelových zařízení </w:t>
      </w:r>
    </w:p>
    <w:p w14:paraId="0F03DE79" w14:textId="77777777" w:rsidR="009E5684" w:rsidRDefault="001000DD">
      <w:pPr>
        <w:numPr>
          <w:ilvl w:val="0"/>
          <w:numId w:val="14"/>
        </w:numPr>
        <w:ind w:right="53" w:hanging="482"/>
      </w:pPr>
      <w:r>
        <w:t xml:space="preserve">UTB financuje investiční a neinvestiční výdaje svých účelových zařízení charakteru menz, kolejí, ubytoven, zařízení pro vzdělávání mládeže i dospělých, provoz knihoven, tělocvičen a jiných sportovních zařízení, pokud slouží vlastním zaměstnancům nebo studentům. </w:t>
      </w:r>
    </w:p>
    <w:p w14:paraId="227A87CC" w14:textId="77777777" w:rsidR="009E5684" w:rsidRDefault="001000DD">
      <w:pPr>
        <w:numPr>
          <w:ilvl w:val="0"/>
          <w:numId w:val="14"/>
        </w:numPr>
        <w:spacing w:after="355"/>
        <w:ind w:right="53" w:hanging="482"/>
      </w:pPr>
      <w:r>
        <w:t xml:space="preserve">Pokud UTB využívá účelová zařízení společně s jinou právnickou nebo fyzickou osobou, podílí se na nákladech, popřípadě výnosech, podle poměrových ukazatelů využití sjednaných v uzavřené smlouvě. Smluvně lze sjednat úhradu poměrné části i paušální částkou. </w:t>
      </w:r>
    </w:p>
    <w:p w14:paraId="095FB0EC" w14:textId="77777777" w:rsidR="00E311E9" w:rsidRDefault="001000DD">
      <w:pPr>
        <w:pStyle w:val="Nadpis1"/>
        <w:ind w:left="234" w:right="284"/>
      </w:pPr>
      <w:r>
        <w:t xml:space="preserve">Článek 14  </w:t>
      </w:r>
    </w:p>
    <w:p w14:paraId="51B86DA8" w14:textId="519983BC" w:rsidR="009E5684" w:rsidRDefault="001000DD">
      <w:pPr>
        <w:pStyle w:val="Nadpis1"/>
        <w:ind w:left="234" w:right="284"/>
      </w:pPr>
      <w:r>
        <w:t xml:space="preserve">Poskytování příspěvku na stravování </w:t>
      </w:r>
    </w:p>
    <w:p w14:paraId="2B53A9FD" w14:textId="24F0AF1C" w:rsidR="009E5684" w:rsidRDefault="001000DD">
      <w:pPr>
        <w:numPr>
          <w:ilvl w:val="0"/>
          <w:numId w:val="15"/>
        </w:numPr>
        <w:ind w:right="53" w:hanging="482"/>
      </w:pPr>
      <w:r>
        <w:t>UTB může přispívat vlastním zaměstnancům na závodní stravování až do výše věcných a</w:t>
      </w:r>
      <w:r w:rsidR="0004501B">
        <w:t> </w:t>
      </w:r>
      <w:r>
        <w:t xml:space="preserve">osobních nákladů na provoz vlastních zařízení závodního stravování (kromě hodnoty potravin) zajištujících stravování zaměstnanců UTB, a to na jedno hlavní jídlo denně podle podmínek schválených v kolektivní smlouvě nebo stanovených ve vnitřní normě UTB. </w:t>
      </w:r>
    </w:p>
    <w:p w14:paraId="43AD0E3A" w14:textId="77777777" w:rsidR="009E5684" w:rsidRDefault="001000DD">
      <w:pPr>
        <w:numPr>
          <w:ilvl w:val="0"/>
          <w:numId w:val="15"/>
        </w:numPr>
        <w:ind w:right="53" w:hanging="482"/>
      </w:pPr>
      <w:r>
        <w:t xml:space="preserve">UTB může přispívat vlastním zaměstnancům na závodní stravování až do výše 55 % ceny jednoho hlavního jídla denně, maximálně však do výše 70 % stravného při trvání pracovní cesty 5 až 12 hodin, podle zákona č. 262/2006 Sb., zákoník práce, v platném znění, pokud se zaměstnanec UTB stravuje v jiných stravovacích zařízeních, a to podle podmínek schválených v kolektivní smlouvě.  </w:t>
      </w:r>
    </w:p>
    <w:p w14:paraId="61078D34" w14:textId="0E4836A2" w:rsidR="009E5684" w:rsidRDefault="001000DD">
      <w:pPr>
        <w:numPr>
          <w:ilvl w:val="0"/>
          <w:numId w:val="15"/>
        </w:numPr>
        <w:ind w:right="53" w:hanging="482"/>
      </w:pPr>
      <w:r>
        <w:t xml:space="preserve">UTB není oprávněna přispívat na stravování studentům. Je však oprávněna </w:t>
      </w:r>
      <w:r w:rsidR="00216EFF">
        <w:t>hradit až</w:t>
      </w:r>
      <w:r>
        <w:t xml:space="preserve"> do výše skutečných nákladů, kromě hodnoty potravin, provoz svých stravovacích zařízení zajištujících stravování studentů na poskytování dvou hlavních jídel denně. </w:t>
      </w:r>
    </w:p>
    <w:p w14:paraId="79C0DE53" w14:textId="77777777" w:rsidR="009E5684" w:rsidRDefault="001000DD">
      <w:pPr>
        <w:spacing w:after="0" w:line="259" w:lineRule="auto"/>
        <w:ind w:left="283" w:firstLine="0"/>
        <w:jc w:val="left"/>
      </w:pPr>
      <w:r>
        <w:t xml:space="preserve"> </w:t>
      </w:r>
    </w:p>
    <w:p w14:paraId="6DA3F77D" w14:textId="77777777" w:rsidR="00E311E9" w:rsidRDefault="001000DD" w:rsidP="00634167">
      <w:pPr>
        <w:spacing w:after="0" w:line="265" w:lineRule="auto"/>
        <w:ind w:left="234" w:right="2"/>
        <w:jc w:val="center"/>
        <w:rPr>
          <w:b/>
        </w:rPr>
      </w:pPr>
      <w:r>
        <w:rPr>
          <w:b/>
        </w:rPr>
        <w:t xml:space="preserve">ČÁST ŠESTÁ  </w:t>
      </w:r>
    </w:p>
    <w:p w14:paraId="771E1F91" w14:textId="3712F73F" w:rsidR="009E5684" w:rsidRDefault="001000DD" w:rsidP="001F1DDA">
      <w:pPr>
        <w:spacing w:after="240" w:line="264" w:lineRule="auto"/>
        <w:ind w:left="238" w:hanging="11"/>
        <w:jc w:val="center"/>
      </w:pPr>
      <w:r>
        <w:rPr>
          <w:b/>
        </w:rPr>
        <w:t xml:space="preserve">VNITŘNÍ NORMY UTB </w:t>
      </w:r>
    </w:p>
    <w:p w14:paraId="59AE02F9" w14:textId="77777777" w:rsidR="009E5684" w:rsidRDefault="001000DD">
      <w:pPr>
        <w:pStyle w:val="Nadpis1"/>
        <w:ind w:left="234" w:right="284"/>
      </w:pPr>
      <w:r>
        <w:t xml:space="preserve">Článek 15 </w:t>
      </w:r>
    </w:p>
    <w:p w14:paraId="03B4E9B2" w14:textId="77777777" w:rsidR="009E5684" w:rsidRDefault="001000DD">
      <w:pPr>
        <w:numPr>
          <w:ilvl w:val="0"/>
          <w:numId w:val="16"/>
        </w:numPr>
        <w:ind w:right="53" w:hanging="482"/>
      </w:pPr>
      <w:r>
        <w:t xml:space="preserve">Pro potřeby řízení ekonomických činností uvnitř UTB v návaznosti na čl. 6 statutu vydává rektor a kvestor vnitřní normy UTB. </w:t>
      </w:r>
    </w:p>
    <w:p w14:paraId="4E75FFF8" w14:textId="77777777" w:rsidR="009E5684" w:rsidRDefault="001000DD">
      <w:pPr>
        <w:numPr>
          <w:ilvl w:val="0"/>
          <w:numId w:val="16"/>
        </w:numPr>
        <w:ind w:right="53" w:hanging="482"/>
      </w:pPr>
      <w:r>
        <w:t xml:space="preserve">Vnitřní normy UTB jsou členěny podle doby platnosti norem na směrnice a pokyny. </w:t>
      </w:r>
    </w:p>
    <w:p w14:paraId="1FE9B0AD" w14:textId="77777777" w:rsidR="009E5684" w:rsidRDefault="001000DD">
      <w:pPr>
        <w:numPr>
          <w:ilvl w:val="0"/>
          <w:numId w:val="16"/>
        </w:numPr>
        <w:ind w:right="53" w:hanging="482"/>
      </w:pPr>
      <w:r>
        <w:t xml:space="preserve">Kvestor vydává pro potřeby zabezpečení a řízení hospodaření UTB jako účetní jednotky vnitřní normy UTB, jejichž vydání je dáno obecnými předpisy o účetnictví. Jsou to zejména tyto normy: </w:t>
      </w:r>
    </w:p>
    <w:p w14:paraId="632B9FAF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seznam účetních knih, symbolů a zkratek, kódové označení číselných znaků použitých pro vedení účetnictví, </w:t>
      </w:r>
    </w:p>
    <w:p w14:paraId="77E5F0A0" w14:textId="698B5F23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>směrnice pro</w:t>
      </w:r>
      <w:r w:rsidR="004252A5">
        <w:t xml:space="preserve"> </w:t>
      </w:r>
      <w:r>
        <w:t>oběh</w:t>
      </w:r>
      <w:r>
        <w:tab/>
        <w:t>účetních dokladů včetně oprávněnosti,</w:t>
      </w:r>
      <w:r w:rsidR="004252A5">
        <w:t xml:space="preserve"> </w:t>
      </w:r>
      <w:r>
        <w:t>povinnosti</w:t>
      </w:r>
      <w:r w:rsidR="004252A5">
        <w:t xml:space="preserve"> </w:t>
      </w:r>
      <w:r>
        <w:t>a odpovědnosti osob vztahující se k připojování podpisového nebo identifikačního záznamu k</w:t>
      </w:r>
      <w:r w:rsidR="004252A5">
        <w:t> </w:t>
      </w:r>
      <w:r>
        <w:t xml:space="preserve">účetnímu záznamu, </w:t>
      </w:r>
    </w:p>
    <w:p w14:paraId="4B4D1ECA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účtový rozvrh, </w:t>
      </w:r>
    </w:p>
    <w:p w14:paraId="68A2FE2D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definování okamžiku uskutečnění účetního případu, </w:t>
      </w:r>
    </w:p>
    <w:p w14:paraId="4FFDF989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metody oceňování majetku, </w:t>
      </w:r>
    </w:p>
    <w:p w14:paraId="5D5AD9E7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odpisový plán, </w:t>
      </w:r>
    </w:p>
    <w:p w14:paraId="01666AA8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způsob přepočtu majetku, závazků a pohledávek v cizí měně na českou měnu, </w:t>
      </w:r>
    </w:p>
    <w:p w14:paraId="51166C8C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způsob a postup provádění inventarizace majetku, závazků a pohledávek, </w:t>
      </w:r>
    </w:p>
    <w:p w14:paraId="644F1591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zásady pro tvorbu a použití rezerv a opravných položek,  </w:t>
      </w:r>
    </w:p>
    <w:p w14:paraId="48FB57C2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zásady časového rozlišení výnosů a nákladů,  </w:t>
      </w:r>
    </w:p>
    <w:p w14:paraId="6D627F85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způsob účtování o zásobách,  </w:t>
      </w:r>
    </w:p>
    <w:p w14:paraId="76C30D8B" w14:textId="77777777" w:rsidR="009E5684" w:rsidRDefault="001000DD">
      <w:pPr>
        <w:numPr>
          <w:ilvl w:val="1"/>
          <w:numId w:val="16"/>
        </w:numPr>
        <w:ind w:right="53" w:hanging="540"/>
      </w:pPr>
      <w:r>
        <w:t xml:space="preserve">plán skartace účetních záznamů. </w:t>
      </w:r>
    </w:p>
    <w:p w14:paraId="33EB93FE" w14:textId="77777777" w:rsidR="009E5684" w:rsidRDefault="001000DD" w:rsidP="004252A5">
      <w:pPr>
        <w:keepNext/>
        <w:numPr>
          <w:ilvl w:val="0"/>
          <w:numId w:val="16"/>
        </w:numPr>
        <w:spacing w:after="140"/>
        <w:ind w:right="53" w:hanging="482"/>
      </w:pPr>
      <w:r>
        <w:t xml:space="preserve">Rektor a kvestor vydávají pro potřeby zabezpečení, řízení a hospodaření UTB další vnitřní normy UTB. Jsou to zejména tyto normy: </w:t>
      </w:r>
    </w:p>
    <w:p w14:paraId="6F9952E8" w14:textId="77777777" w:rsidR="009E5684" w:rsidRDefault="001000DD" w:rsidP="004252A5">
      <w:pPr>
        <w:keepNext/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směrnice k doplňkové činnosti UTB, </w:t>
      </w:r>
    </w:p>
    <w:p w14:paraId="1254932C" w14:textId="77FBC119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>směrnice k cestovním náhradám a zahraničním pracovním cestám zaměstnanců</w:t>
      </w:r>
      <w:r w:rsidR="004252A5">
        <w:t xml:space="preserve"> </w:t>
      </w:r>
      <w:r>
        <w:t xml:space="preserve">UTB, </w:t>
      </w:r>
    </w:p>
    <w:p w14:paraId="519EBDC6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harmonogram, termíny a zabezpečení postupu prací na účetní závěrce UTB, </w:t>
      </w:r>
    </w:p>
    <w:p w14:paraId="14C23F04" w14:textId="19FF5F29" w:rsidR="009E5684" w:rsidRDefault="001000DD" w:rsidP="001F1DDA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vedení pokladny UTB.  </w:t>
      </w:r>
    </w:p>
    <w:p w14:paraId="2F6F8ECC" w14:textId="77777777" w:rsidR="009D4C69" w:rsidRDefault="009D4C69" w:rsidP="00634167">
      <w:pPr>
        <w:spacing w:after="0" w:line="265" w:lineRule="auto"/>
        <w:ind w:left="234" w:right="2"/>
        <w:jc w:val="center"/>
        <w:rPr>
          <w:b/>
        </w:rPr>
      </w:pPr>
    </w:p>
    <w:p w14:paraId="74FE3EB6" w14:textId="77777777" w:rsidR="009D4C69" w:rsidRDefault="009D4C69" w:rsidP="00634167">
      <w:pPr>
        <w:spacing w:after="0" w:line="265" w:lineRule="auto"/>
        <w:ind w:left="234" w:right="2"/>
        <w:jc w:val="center"/>
        <w:rPr>
          <w:b/>
        </w:rPr>
      </w:pPr>
    </w:p>
    <w:p w14:paraId="135AC6B1" w14:textId="65C5EC11" w:rsidR="00E311E9" w:rsidRDefault="001000DD" w:rsidP="00634167">
      <w:pPr>
        <w:spacing w:after="0" w:line="265" w:lineRule="auto"/>
        <w:ind w:left="234" w:right="2"/>
        <w:jc w:val="center"/>
        <w:rPr>
          <w:b/>
        </w:rPr>
      </w:pPr>
      <w:r>
        <w:rPr>
          <w:b/>
        </w:rPr>
        <w:t xml:space="preserve">ČÁST SEDMÁ </w:t>
      </w:r>
    </w:p>
    <w:p w14:paraId="7AF83685" w14:textId="465A5AD0" w:rsidR="009E5684" w:rsidRDefault="001000DD">
      <w:pPr>
        <w:spacing w:after="330" w:line="265" w:lineRule="auto"/>
        <w:ind w:left="234" w:right="2"/>
        <w:jc w:val="center"/>
      </w:pPr>
      <w:r>
        <w:rPr>
          <w:b/>
        </w:rPr>
        <w:t xml:space="preserve">ZÁVĚREČNÁ USTANOVENÍ </w:t>
      </w:r>
    </w:p>
    <w:p w14:paraId="1F5083C1" w14:textId="77777777" w:rsidR="009E5684" w:rsidRDefault="001000DD">
      <w:pPr>
        <w:pStyle w:val="Nadpis1"/>
        <w:ind w:left="234" w:right="284"/>
      </w:pPr>
      <w:r>
        <w:t xml:space="preserve">Článek 16 </w:t>
      </w:r>
    </w:p>
    <w:p w14:paraId="6EDB4B44" w14:textId="1F47913B" w:rsidR="009E5684" w:rsidRPr="0035208A" w:rsidRDefault="001000DD">
      <w:pPr>
        <w:numPr>
          <w:ilvl w:val="0"/>
          <w:numId w:val="17"/>
        </w:numPr>
        <w:ind w:right="53" w:hanging="482"/>
        <w:rPr>
          <w:u w:val="single"/>
        </w:rPr>
      </w:pPr>
      <w:r>
        <w:t xml:space="preserve">Zrušuje se </w:t>
      </w:r>
      <w:r w:rsidR="0035208A" w:rsidRPr="0035208A">
        <w:t>Řád hospodaření a účtování Univerzity Tomáše Bati ve Zlíně</w:t>
      </w:r>
      <w:r w:rsidR="0035208A">
        <w:rPr>
          <w:i/>
        </w:rPr>
        <w:t xml:space="preserve"> </w:t>
      </w:r>
      <w:r>
        <w:t>registrovaný ministerstvem dne</w:t>
      </w:r>
      <w:r w:rsidR="0035208A">
        <w:t xml:space="preserve"> 4. dubna 2017 pod čj. MSMT-8542/</w:t>
      </w:r>
      <w:r w:rsidR="0035208A" w:rsidRPr="004252A5">
        <w:t>2017</w:t>
      </w:r>
      <w:r w:rsidR="00CD1AB1" w:rsidRPr="004252A5">
        <w:t>, ve znění pozdější změny</w:t>
      </w:r>
      <w:r w:rsidR="0035208A" w:rsidRPr="004252A5">
        <w:rPr>
          <w:i/>
        </w:rPr>
        <w:t>.</w:t>
      </w:r>
      <w:r w:rsidR="0035208A" w:rsidRPr="0035208A">
        <w:rPr>
          <w:i/>
          <w:u w:val="single"/>
        </w:rPr>
        <w:t xml:space="preserve"> </w:t>
      </w:r>
      <w:r w:rsidRPr="0035208A">
        <w:rPr>
          <w:u w:val="single"/>
        </w:rPr>
        <w:t xml:space="preserve"> </w:t>
      </w:r>
      <w:r w:rsidR="00CD1AB1">
        <w:rPr>
          <w:u w:val="single"/>
        </w:rPr>
        <w:t xml:space="preserve"> </w:t>
      </w:r>
    </w:p>
    <w:p w14:paraId="6DE36CD5" w14:textId="0665BF5F" w:rsidR="009E5684" w:rsidRDefault="001000DD">
      <w:pPr>
        <w:numPr>
          <w:ilvl w:val="0"/>
          <w:numId w:val="17"/>
        </w:numPr>
        <w:ind w:right="53" w:hanging="482"/>
      </w:pPr>
      <w:r>
        <w:t xml:space="preserve">Tento řád byl schválen podle § 9 odst. 1 písm. b) bodu 3 zákona Akademickým senátem UTB dne </w:t>
      </w:r>
      <w:r w:rsidR="004252A5" w:rsidRPr="004252A5">
        <w:rPr>
          <w:highlight w:val="yellow"/>
        </w:rPr>
        <w:t>XX</w:t>
      </w:r>
      <w:r w:rsidR="003D3E61">
        <w:t>.</w:t>
      </w:r>
      <w:r w:rsidR="004252A5">
        <w:t xml:space="preserve"> března</w:t>
      </w:r>
      <w:r w:rsidR="003D3E61">
        <w:t xml:space="preserve"> 2026</w:t>
      </w:r>
      <w:r>
        <w:t xml:space="preserve">.         </w:t>
      </w:r>
    </w:p>
    <w:p w14:paraId="48D30E68" w14:textId="1FB07AFC" w:rsidR="009E5684" w:rsidRDefault="001000DD">
      <w:pPr>
        <w:numPr>
          <w:ilvl w:val="0"/>
          <w:numId w:val="17"/>
        </w:numPr>
        <w:ind w:right="53" w:hanging="482"/>
      </w:pPr>
      <w:r>
        <w:t xml:space="preserve">Tento řád nabývá platnosti podle § 36 odst. 4 zákona dnem </w:t>
      </w:r>
      <w:r w:rsidR="003D4DBA">
        <w:t xml:space="preserve">jeho </w:t>
      </w:r>
      <w:r>
        <w:t xml:space="preserve">registrace ministerstvem. </w:t>
      </w:r>
    </w:p>
    <w:p w14:paraId="63DC7C54" w14:textId="1B765DA1" w:rsidR="009E5684" w:rsidRDefault="001000DD">
      <w:pPr>
        <w:numPr>
          <w:ilvl w:val="0"/>
          <w:numId w:val="17"/>
        </w:numPr>
        <w:spacing w:after="237"/>
        <w:ind w:right="53" w:hanging="482"/>
      </w:pPr>
      <w:r>
        <w:t xml:space="preserve">Tento řád nabývá účinnosti dnem </w:t>
      </w:r>
      <w:r w:rsidR="003D4DBA">
        <w:t xml:space="preserve">jeho </w:t>
      </w:r>
      <w:r>
        <w:t>registrace</w:t>
      </w:r>
      <w:r w:rsidR="003D4DBA">
        <w:t xml:space="preserve"> </w:t>
      </w:r>
      <w:r>
        <w:t xml:space="preserve">ministerstvem. </w:t>
      </w:r>
    </w:p>
    <w:p w14:paraId="1FE9812D" w14:textId="27E91F28" w:rsidR="00B502C8" w:rsidRDefault="00B502C8" w:rsidP="004252A5">
      <w:pPr>
        <w:spacing w:line="259" w:lineRule="auto"/>
        <w:ind w:left="284" w:firstLine="0"/>
        <w:jc w:val="left"/>
      </w:pPr>
    </w:p>
    <w:p w14:paraId="0D98D045" w14:textId="356BD9E2" w:rsidR="003D4DBA" w:rsidRDefault="009E23D8" w:rsidP="00B502C8">
      <w:pPr>
        <w:spacing w:after="0" w:line="259" w:lineRule="auto"/>
        <w:ind w:left="284" w:firstLine="0"/>
        <w:jc w:val="left"/>
      </w:pPr>
      <w:r>
        <w:t xml:space="preserve"> </w:t>
      </w:r>
    </w:p>
    <w:p w14:paraId="7BFE62F3" w14:textId="77777777" w:rsidR="00B502C8" w:rsidRDefault="00B502C8" w:rsidP="00B502C8">
      <w:pPr>
        <w:spacing w:after="0" w:line="259" w:lineRule="auto"/>
        <w:ind w:left="284" w:firstLine="0"/>
        <w:jc w:val="left"/>
      </w:pPr>
    </w:p>
    <w:p w14:paraId="6F258F45" w14:textId="77777777" w:rsidR="009E5684" w:rsidRDefault="001000DD" w:rsidP="00B502C8">
      <w:pPr>
        <w:spacing w:after="0" w:line="259" w:lineRule="auto"/>
        <w:ind w:left="284" w:firstLine="0"/>
        <w:jc w:val="left"/>
      </w:pPr>
      <w:r>
        <w:t xml:space="preserve"> </w:t>
      </w:r>
    </w:p>
    <w:p w14:paraId="226BE2B5" w14:textId="77777777" w:rsidR="00B502C8" w:rsidRDefault="001000DD" w:rsidP="00B502C8">
      <w:pPr>
        <w:shd w:val="clear" w:color="auto" w:fill="FFFFFF"/>
        <w:tabs>
          <w:tab w:val="left" w:pos="629"/>
        </w:tabs>
        <w:spacing w:before="130" w:line="269" w:lineRule="exact"/>
        <w:rPr>
          <w:spacing w:val="-8"/>
        </w:rPr>
      </w:pPr>
      <w:r>
        <w:rPr>
          <w:rFonts w:ascii="Calibri" w:eastAsia="Calibri" w:hAnsi="Calibri" w:cs="Calibri"/>
          <w:sz w:val="22"/>
        </w:rPr>
        <w:tab/>
      </w:r>
    </w:p>
    <w:p w14:paraId="1FE4F300" w14:textId="77777777" w:rsidR="00B502C8" w:rsidRDefault="00B502C8" w:rsidP="00B502C8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doc. Ing. Martin Sysel, Ph.D., v. r.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  <w:t>prof. Mgr. Milan Adámek, Ph.D., v. r.</w:t>
      </w:r>
    </w:p>
    <w:p w14:paraId="2D4B1826" w14:textId="77777777" w:rsidR="00B502C8" w:rsidRDefault="00B502C8" w:rsidP="00B502C8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předseda Akademického senátu UTB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  <w:t xml:space="preserve">                     rektor UTB</w:t>
      </w:r>
    </w:p>
    <w:p w14:paraId="16980CC1" w14:textId="34EA38C8" w:rsidR="009E5684" w:rsidRDefault="009E5684" w:rsidP="00B502C8">
      <w:pPr>
        <w:tabs>
          <w:tab w:val="center" w:pos="2122"/>
          <w:tab w:val="center" w:pos="4253"/>
          <w:tab w:val="center" w:pos="4964"/>
          <w:tab w:val="center" w:pos="7148"/>
        </w:tabs>
        <w:spacing w:after="143"/>
        <w:ind w:left="0" w:firstLine="0"/>
        <w:jc w:val="left"/>
      </w:pPr>
    </w:p>
    <w:sectPr w:rsidR="009E5684" w:rsidSect="009D4C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50" w:right="1356" w:bottom="1276" w:left="1419" w:header="75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716F" w14:textId="77777777" w:rsidR="00D41C4D" w:rsidRDefault="00D41C4D">
      <w:pPr>
        <w:spacing w:after="0" w:line="240" w:lineRule="auto"/>
      </w:pPr>
      <w:r>
        <w:separator/>
      </w:r>
    </w:p>
  </w:endnote>
  <w:endnote w:type="continuationSeparator" w:id="0">
    <w:p w14:paraId="4BBC1AC7" w14:textId="77777777" w:rsidR="00D41C4D" w:rsidRDefault="00D4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951" w14:textId="6425BED8" w:rsidR="009E5684" w:rsidRPr="004252A5" w:rsidRDefault="001000DD" w:rsidP="004252A5">
    <w:pPr>
      <w:spacing w:after="101" w:line="259" w:lineRule="auto"/>
      <w:ind w:left="219" w:firstLine="0"/>
      <w:jc w:val="center"/>
      <w:rPr>
        <w:sz w:val="20"/>
        <w:szCs w:val="20"/>
      </w:rPr>
    </w:pPr>
    <w:r w:rsidRPr="004252A5">
      <w:rPr>
        <w:sz w:val="20"/>
        <w:szCs w:val="20"/>
      </w:rPr>
      <w:fldChar w:fldCharType="begin"/>
    </w:r>
    <w:r w:rsidRPr="004252A5">
      <w:rPr>
        <w:sz w:val="20"/>
        <w:szCs w:val="20"/>
      </w:rPr>
      <w:instrText xml:space="preserve"> PAGE   \* MERGEFORMAT </w:instrText>
    </w:r>
    <w:r w:rsidRPr="004252A5">
      <w:rPr>
        <w:sz w:val="20"/>
        <w:szCs w:val="20"/>
      </w:rPr>
      <w:fldChar w:fldCharType="separate"/>
    </w:r>
    <w:r w:rsidRPr="004252A5">
      <w:rPr>
        <w:i/>
        <w:sz w:val="20"/>
        <w:szCs w:val="20"/>
      </w:rPr>
      <w:t>2</w:t>
    </w:r>
    <w:r w:rsidRPr="004252A5">
      <w:rPr>
        <w:i/>
        <w:sz w:val="20"/>
        <w:szCs w:val="20"/>
      </w:rPr>
      <w:fldChar w:fldCharType="end"/>
    </w:r>
    <w:r w:rsidRPr="004252A5">
      <w:rPr>
        <w:i/>
        <w:sz w:val="20"/>
        <w:szCs w:val="20"/>
      </w:rPr>
      <w:t xml:space="preserve"> </w:t>
    </w:r>
    <w:r>
      <w:rPr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8B2" w14:textId="77777777" w:rsidR="004252A5" w:rsidRDefault="004252A5">
    <w:pPr>
      <w:spacing w:after="101" w:line="259" w:lineRule="auto"/>
      <w:ind w:left="219" w:firstLine="0"/>
      <w:jc w:val="center"/>
    </w:pPr>
  </w:p>
  <w:p w14:paraId="5E450E33" w14:textId="337DF235" w:rsidR="009E5684" w:rsidRDefault="001000DD">
    <w:pPr>
      <w:spacing w:after="101" w:line="259" w:lineRule="auto"/>
      <w:ind w:left="2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20"/>
      </w:rPr>
      <w:t>2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  <w:p w14:paraId="1A3EADEC" w14:textId="77777777" w:rsidR="009E5684" w:rsidRDefault="001000DD">
    <w:pPr>
      <w:spacing w:after="0" w:line="259" w:lineRule="auto"/>
      <w:ind w:left="0" w:right="370" w:firstLine="0"/>
      <w:jc w:val="right"/>
    </w:pPr>
    <w:r>
      <w:rPr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8900" w14:textId="77777777" w:rsidR="004252A5" w:rsidRDefault="004252A5">
    <w:pPr>
      <w:pStyle w:val="Zpat"/>
      <w:jc w:val="center"/>
    </w:pPr>
  </w:p>
  <w:sdt>
    <w:sdtPr>
      <w:id w:val="16907191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A33064" w14:textId="1717529E" w:rsidR="009E5684" w:rsidRPr="004252A5" w:rsidRDefault="004252A5" w:rsidP="004252A5">
        <w:pPr>
          <w:pStyle w:val="Zpat"/>
          <w:jc w:val="center"/>
          <w:rPr>
            <w:sz w:val="20"/>
            <w:szCs w:val="20"/>
          </w:rPr>
        </w:pPr>
        <w:r w:rsidRPr="004252A5">
          <w:rPr>
            <w:i/>
            <w:iCs/>
            <w:sz w:val="20"/>
            <w:szCs w:val="20"/>
          </w:rPr>
          <w:fldChar w:fldCharType="begin"/>
        </w:r>
        <w:r w:rsidRPr="004252A5">
          <w:rPr>
            <w:i/>
            <w:iCs/>
            <w:sz w:val="20"/>
            <w:szCs w:val="20"/>
          </w:rPr>
          <w:instrText>PAGE   \* MERGEFORMAT</w:instrText>
        </w:r>
        <w:r w:rsidRPr="004252A5">
          <w:rPr>
            <w:i/>
            <w:iCs/>
            <w:sz w:val="20"/>
            <w:szCs w:val="20"/>
          </w:rPr>
          <w:fldChar w:fldCharType="separate"/>
        </w:r>
        <w:r w:rsidRPr="004252A5">
          <w:rPr>
            <w:i/>
            <w:iCs/>
            <w:sz w:val="20"/>
            <w:szCs w:val="20"/>
          </w:rPr>
          <w:t>2</w:t>
        </w:r>
        <w:r w:rsidRPr="004252A5">
          <w:rPr>
            <w:i/>
            <w:i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F071" w14:textId="77777777" w:rsidR="00D41C4D" w:rsidRDefault="00D41C4D">
      <w:pPr>
        <w:spacing w:after="473" w:line="247" w:lineRule="auto"/>
        <w:ind w:left="566" w:right="62" w:hanging="283"/>
      </w:pPr>
      <w:r>
        <w:separator/>
      </w:r>
    </w:p>
  </w:footnote>
  <w:footnote w:type="continuationSeparator" w:id="0">
    <w:p w14:paraId="54D2E1E1" w14:textId="77777777" w:rsidR="00D41C4D" w:rsidRDefault="00D41C4D">
      <w:pPr>
        <w:spacing w:after="473" w:line="247" w:lineRule="auto"/>
        <w:ind w:left="566" w:right="62" w:hanging="283"/>
      </w:pPr>
      <w:r>
        <w:continuationSeparator/>
      </w:r>
    </w:p>
  </w:footnote>
  <w:footnote w:id="1">
    <w:p w14:paraId="072DF373" w14:textId="42BBD03A" w:rsidR="0004501B" w:rsidRDefault="000450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501B">
        <w:rPr>
          <w:i/>
          <w:iCs/>
        </w:rPr>
        <w:t>Vyhláška č. 504/2002 Sb., kterou se provádějí některá ustanovení zákona č. 563/1991 Sb., o účetnictví, ve znění pozdějších předpisů, pro účetní jednotky, u kterých hlavním předmětem činnosti není podnikání, pokud účtují v</w:t>
      </w:r>
      <w:r>
        <w:rPr>
          <w:i/>
          <w:iCs/>
        </w:rPr>
        <w:t> </w:t>
      </w:r>
      <w:r w:rsidRPr="0004501B">
        <w:rPr>
          <w:i/>
          <w:iCs/>
        </w:rPr>
        <w:t>soustavě podvojného účetnictví.</w:t>
      </w:r>
    </w:p>
  </w:footnote>
  <w:footnote w:id="2">
    <w:p w14:paraId="551051BD" w14:textId="0BC06825" w:rsidR="009E5684" w:rsidRDefault="001000DD">
      <w:pPr>
        <w:pStyle w:val="footnotedescription"/>
        <w:spacing w:line="265" w:lineRule="auto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Např. zákon č. 218/2000 Sb., o rozpočtových pravidlech a o změně některých souvisejících zákonů (rozpočtová pravidla), ve znění pozdějších předpisů.  </w:t>
      </w:r>
    </w:p>
  </w:footnote>
  <w:footnote w:id="3">
    <w:p w14:paraId="6E1CAA35" w14:textId="6F681261" w:rsidR="009E5684" w:rsidRDefault="001000DD">
      <w:pPr>
        <w:pStyle w:val="footnotedescription"/>
        <w:spacing w:line="265" w:lineRule="auto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Např. zákon č. 320/2001 Sb., o finanční kontrole ve veřejné správě a o změně některých zákonů (zákon o finanční kontrole), ve znění pozdějších předpisů. </w:t>
      </w:r>
    </w:p>
  </w:footnote>
  <w:footnote w:id="4">
    <w:p w14:paraId="5CBA9855" w14:textId="06960343" w:rsidR="009E5684" w:rsidRDefault="001000DD">
      <w:pPr>
        <w:pStyle w:val="footnotedescription"/>
        <w:spacing w:line="246" w:lineRule="auto"/>
        <w:ind w:right="66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Např. zákon č. 130/2002 Sb., o podpoře výzkumu, experimentálního vývoje a inovací z veřejných prostředků a o změně některých souvisejících zákonů (zákon o podpoře výzkumu, experimentálního vývoje a inovací), ve znění pozdějších předpisů. </w:t>
      </w:r>
    </w:p>
  </w:footnote>
  <w:footnote w:id="5">
    <w:p w14:paraId="7D72D010" w14:textId="2E51A2E7" w:rsidR="009E5684" w:rsidRDefault="001000DD">
      <w:pPr>
        <w:pStyle w:val="footnotedescription"/>
        <w:ind w:left="0" w:firstLine="0"/>
        <w:jc w:val="left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Zákon č. 586/1992 Sb., o daních z příjmů, ve znění pozdějších předpisů. </w:t>
      </w:r>
    </w:p>
  </w:footnote>
  <w:footnote w:id="6">
    <w:p w14:paraId="0C4D5567" w14:textId="77777777" w:rsidR="00DC1670" w:rsidRDefault="0004501B" w:rsidP="0004501B">
      <w:pPr>
        <w:spacing w:after="4" w:line="249" w:lineRule="auto"/>
        <w:ind w:left="-5" w:right="49"/>
        <w:rPr>
          <w:rFonts w:ascii="Garamond" w:eastAsia="Garamond" w:hAnsi="Garamond" w:cs="Garamond"/>
          <w:i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eastAsia="Garamond" w:hAnsi="Garamond" w:cs="Garamond"/>
          <w:i/>
          <w:sz w:val="20"/>
        </w:rPr>
        <w:t xml:space="preserve">Např. zákon č. 563/1991 Sb., o účetnictví, ve znění pozdějších předpisů, </w:t>
      </w:r>
    </w:p>
    <w:p w14:paraId="4F8CDB9A" w14:textId="77777777" w:rsidR="00DC1670" w:rsidRDefault="0004501B" w:rsidP="0004501B">
      <w:pPr>
        <w:spacing w:after="4" w:line="249" w:lineRule="auto"/>
        <w:ind w:left="-5" w:right="49"/>
        <w:rPr>
          <w:rFonts w:ascii="Garamond" w:eastAsia="Garamond" w:hAnsi="Garamond" w:cs="Garamond"/>
          <w:i/>
          <w:sz w:val="20"/>
        </w:rPr>
      </w:pPr>
      <w:r>
        <w:rPr>
          <w:rFonts w:ascii="Garamond" w:eastAsia="Garamond" w:hAnsi="Garamond" w:cs="Garamond"/>
          <w:i/>
          <w:sz w:val="20"/>
        </w:rPr>
        <w:t xml:space="preserve">vyhláška č. 504/2002 Sb., kterou se provádějí některá ustanovení zákona č. 563/1991 Sb., o účetnictví, ve znění pozdějších předpisů, pro účetní jednotky, u kterých hlavním předmětem činnosti není podnikání, pokud účtují v soustavě podvojného účetnictví, ve znění pozdějších předpisů, </w:t>
      </w:r>
    </w:p>
    <w:p w14:paraId="742164B4" w14:textId="0DD2156E" w:rsidR="0004501B" w:rsidRDefault="0004501B" w:rsidP="0004501B">
      <w:pPr>
        <w:spacing w:after="4" w:line="249" w:lineRule="auto"/>
        <w:ind w:left="-5" w:right="49"/>
      </w:pPr>
      <w:r>
        <w:rPr>
          <w:rFonts w:ascii="Garamond" w:eastAsia="Garamond" w:hAnsi="Garamond" w:cs="Garamond"/>
          <w:i/>
          <w:sz w:val="20"/>
        </w:rPr>
        <w:t xml:space="preserve">České účetní standardy pro účetní jednotky, které účtují podle vyhlášky č. 504/2002 Sb., ve znění pozdějších předpisů. </w:t>
      </w:r>
    </w:p>
    <w:p w14:paraId="375C5C79" w14:textId="40214F8B" w:rsidR="0004501B" w:rsidRDefault="0004501B">
      <w:pPr>
        <w:pStyle w:val="Textpoznpodarou"/>
      </w:pPr>
    </w:p>
  </w:footnote>
  <w:footnote w:id="7">
    <w:p w14:paraId="45675B1E" w14:textId="0F1F4493" w:rsidR="009D4C69" w:rsidRDefault="009D4C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501B">
        <w:rPr>
          <w:i/>
          <w:iCs/>
        </w:rPr>
        <w:t>§ 29 a 30 zákona č. 563/1991 Sb., o účetnictví,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369F" w14:textId="77777777" w:rsidR="009E5684" w:rsidRDefault="001000DD">
    <w:pPr>
      <w:spacing w:after="137" w:line="259" w:lineRule="auto"/>
      <w:ind w:left="221" w:firstLine="0"/>
      <w:jc w:val="center"/>
    </w:pPr>
    <w:r>
      <w:rPr>
        <w:i/>
        <w:sz w:val="20"/>
      </w:rPr>
      <w:t>Vnitřní předpisy Univerzity</w:t>
    </w:r>
    <w:r>
      <w:rPr>
        <w:sz w:val="20"/>
      </w:rPr>
      <w:t xml:space="preserve"> </w:t>
    </w:r>
    <w:r>
      <w:rPr>
        <w:i/>
        <w:sz w:val="20"/>
      </w:rPr>
      <w:t xml:space="preserve">Tomáše Bati ve Zlíně </w:t>
    </w:r>
  </w:p>
  <w:p w14:paraId="6FBD4E1C" w14:textId="1ADCC1F1" w:rsidR="009E5684" w:rsidRDefault="001000DD" w:rsidP="004252A5">
    <w:pPr>
      <w:spacing w:after="100" w:line="259" w:lineRule="auto"/>
      <w:ind w:left="-5" w:right="20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3FF8AF" wp14:editId="73341EE6">
              <wp:simplePos x="0" y="0"/>
              <wp:positionH relativeFrom="page">
                <wp:posOffset>897890</wp:posOffset>
              </wp:positionH>
              <wp:positionV relativeFrom="page">
                <wp:posOffset>822325</wp:posOffset>
              </wp:positionV>
              <wp:extent cx="5669280" cy="3175"/>
              <wp:effectExtent l="0" t="0" r="0" b="0"/>
              <wp:wrapSquare wrapText="bothSides"/>
              <wp:docPr id="16611" name="Group 16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3175"/>
                        <a:chOff x="0" y="0"/>
                        <a:chExt cx="5669280" cy="3175"/>
                      </a:xfrm>
                    </wpg:grpSpPr>
                    <wps:wsp>
                      <wps:cNvPr id="16612" name="Shape 16612"/>
                      <wps:cNvSpPr/>
                      <wps:spPr>
                        <a:xfrm>
                          <a:off x="0" y="0"/>
                          <a:ext cx="5669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11" style="width:446.4pt;height:0.25pt;position:absolute;mso-position-horizontal-relative:page;mso-position-horizontal:absolute;margin-left:70.7pt;mso-position-vertical-relative:page;margin-top:64.75pt;" coordsize="56692,31">
              <v:shape id="Shape 16612" style="position:absolute;width:56692;height:0;left:0;top:0;" coordsize="5669280,0" path="m0,0l5669280,0">
                <v:stroke weight="0.2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4CDD" w14:textId="77777777" w:rsidR="009E5684" w:rsidRDefault="001000DD">
    <w:pPr>
      <w:spacing w:after="137" w:line="259" w:lineRule="auto"/>
      <w:ind w:left="221" w:firstLine="0"/>
      <w:jc w:val="center"/>
    </w:pPr>
    <w:r>
      <w:rPr>
        <w:i/>
        <w:sz w:val="20"/>
      </w:rPr>
      <w:t>Vnitřní předpisy Univerzity</w:t>
    </w:r>
    <w:r>
      <w:rPr>
        <w:sz w:val="20"/>
      </w:rPr>
      <w:t xml:space="preserve"> </w:t>
    </w:r>
    <w:r>
      <w:rPr>
        <w:i/>
        <w:sz w:val="20"/>
      </w:rPr>
      <w:t xml:space="preserve">Tomáše Bati ve Zlíně </w:t>
    </w:r>
  </w:p>
  <w:p w14:paraId="436C8BA8" w14:textId="77777777" w:rsidR="009E5684" w:rsidRDefault="001000DD">
    <w:pPr>
      <w:spacing w:after="0" w:line="259" w:lineRule="auto"/>
      <w:ind w:left="-5" w:right="20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9248C7" wp14:editId="53FED16F">
              <wp:simplePos x="0" y="0"/>
              <wp:positionH relativeFrom="page">
                <wp:posOffset>897890</wp:posOffset>
              </wp:positionH>
              <wp:positionV relativeFrom="page">
                <wp:posOffset>822325</wp:posOffset>
              </wp:positionV>
              <wp:extent cx="5669280" cy="3175"/>
              <wp:effectExtent l="0" t="0" r="0" b="0"/>
              <wp:wrapSquare wrapText="bothSides"/>
              <wp:docPr id="16586" name="Group 16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3175"/>
                        <a:chOff x="0" y="0"/>
                        <a:chExt cx="5669280" cy="3175"/>
                      </a:xfrm>
                    </wpg:grpSpPr>
                    <wps:wsp>
                      <wps:cNvPr id="16587" name="Shape 16587"/>
                      <wps:cNvSpPr/>
                      <wps:spPr>
                        <a:xfrm>
                          <a:off x="0" y="0"/>
                          <a:ext cx="5669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86" style="width:446.4pt;height:0.25pt;position:absolute;mso-position-horizontal-relative:page;mso-position-horizontal:absolute;margin-left:70.7pt;mso-position-vertical-relative:page;margin-top:64.75pt;" coordsize="56692,31">
              <v:shape id="Shape 16587" style="position:absolute;width:56692;height:0;left:0;top:0;" coordsize="5669280,0" path="m0,0l5669280,0">
                <v:stroke weight="0.2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81" w14:textId="22512035" w:rsidR="00493CDA" w:rsidRDefault="004252A5" w:rsidP="004252A5">
    <w:pPr>
      <w:spacing w:after="0" w:line="259" w:lineRule="auto"/>
      <w:ind w:left="24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B572AD" wp14:editId="1E0FE174">
              <wp:simplePos x="0" y="0"/>
              <wp:positionH relativeFrom="margin">
                <wp:align>left</wp:align>
              </wp:positionH>
              <wp:positionV relativeFrom="page">
                <wp:posOffset>713142</wp:posOffset>
              </wp:positionV>
              <wp:extent cx="5669280" cy="3175"/>
              <wp:effectExtent l="0" t="0" r="0" b="0"/>
              <wp:wrapSquare wrapText="bothSides"/>
              <wp:docPr id="16570" name="Group 16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3175"/>
                        <a:chOff x="0" y="0"/>
                        <a:chExt cx="5669280" cy="3175"/>
                      </a:xfrm>
                    </wpg:grpSpPr>
                    <wps:wsp>
                      <wps:cNvPr id="16571" name="Shape 16571"/>
                      <wps:cNvSpPr/>
                      <wps:spPr>
                        <a:xfrm>
                          <a:off x="0" y="0"/>
                          <a:ext cx="5669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F1700D" id="Group 16570" o:spid="_x0000_s1026" style="position:absolute;margin-left:0;margin-top:56.15pt;width:446.4pt;height:.25pt;z-index:251660288;mso-position-horizontal:left;mso-position-horizontal-relative:margin;mso-position-vertical-relative:page" coordsize="5669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">
              <v:shape id="Shape 16571" o:spid="_x0000_s1027" style="position:absolute;width:56692;height:0;visibility:visible;mso-wrap-style:square;v-text-anchor:top" coordsize="5669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" path="m,l5669280,e" filled="f" strokeweight=".25pt">
                <v:path arrowok="t" textboxrect="0,0,5669280,0"/>
              </v:shape>
              <w10:wrap type="square" anchorx="margin" anchory="page"/>
            </v:group>
          </w:pict>
        </mc:Fallback>
      </mc:AlternateContent>
    </w:r>
    <w:r w:rsidR="00493CDA">
      <w:rPr>
        <w:i/>
        <w:sz w:val="20"/>
      </w:rPr>
      <w:t xml:space="preserve">Vnitřní předpisy Univerzity Tomáše Bati ve Zlíně </w:t>
    </w:r>
    <w:r w:rsidR="00493CDA">
      <w:rPr>
        <w:i/>
      </w:rPr>
      <w:t xml:space="preserve"> </w:t>
    </w:r>
  </w:p>
  <w:p w14:paraId="076D985D" w14:textId="1CD06666" w:rsidR="00493CDA" w:rsidRDefault="00493CDA" w:rsidP="004252A5">
    <w:pPr>
      <w:spacing w:before="240" w:after="120" w:line="238" w:lineRule="auto"/>
      <w:ind w:left="0" w:right="62" w:firstLine="709"/>
      <w:rPr>
        <w:i/>
      </w:rPr>
    </w:pPr>
    <w:r>
      <w:rPr>
        <w:i/>
      </w:rPr>
      <w:t xml:space="preserve">Ministerstvo školství, mládeže a tělovýchovy podle § 36 odst. 2 zákona </w:t>
    </w:r>
    <w:r>
      <w:rPr>
        <w:i/>
      </w:rPr>
      <w:br/>
      <w:t>č. 111/1998 Sb., o vysokých školách a o změně a doplnění dalších zákonů (zákon o vysokých školách), ve znění pozdějších předpisů registrovalo pod čj. MSMT- …. Řád hospodaření a</w:t>
    </w:r>
    <w:r w:rsidR="004252A5">
      <w:rPr>
        <w:i/>
      </w:rPr>
      <w:t> </w:t>
    </w:r>
    <w:r>
      <w:rPr>
        <w:i/>
      </w:rPr>
      <w:t xml:space="preserve">účtování Univerzity Tomáše Bati ve Zlíně ke dni podpisu registrace. </w:t>
    </w:r>
  </w:p>
  <w:p w14:paraId="127ADABD" w14:textId="77777777" w:rsidR="00493CDA" w:rsidRDefault="00493CDA" w:rsidP="00493CDA">
    <w:pPr>
      <w:spacing w:after="125" w:line="259" w:lineRule="auto"/>
      <w:ind w:left="283" w:firstLine="0"/>
      <w:jc w:val="left"/>
    </w:pPr>
    <w:r>
      <w:t xml:space="preserve">                                                             </w:t>
    </w:r>
  </w:p>
  <w:p w14:paraId="0E264BEC" w14:textId="77777777" w:rsidR="00493CDA" w:rsidRDefault="00493CDA" w:rsidP="00493CDA">
    <w:pPr>
      <w:tabs>
        <w:tab w:val="center" w:pos="283"/>
        <w:tab w:val="center" w:pos="4537"/>
      </w:tabs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…………………………… </w:t>
    </w:r>
  </w:p>
  <w:p w14:paraId="6E3B463E" w14:textId="77777777" w:rsidR="00493CDA" w:rsidRDefault="00493CDA" w:rsidP="00493CDA">
    <w:pPr>
      <w:spacing w:after="0" w:line="249" w:lineRule="auto"/>
      <w:ind w:left="-20" w:right="193" w:firstLine="288"/>
      <w:jc w:val="left"/>
      <w:rPr>
        <w:i/>
      </w:rPr>
    </w:pPr>
    <w:r>
      <w:rPr>
        <w:i/>
      </w:rPr>
      <w:t xml:space="preserve">                                                  Mgr. Vojtěch Tomášek </w:t>
    </w:r>
  </w:p>
  <w:p w14:paraId="7302AA7D" w14:textId="77777777" w:rsidR="00493CDA" w:rsidRDefault="00493CDA" w:rsidP="00493CDA">
    <w:pPr>
      <w:spacing w:after="144" w:line="249" w:lineRule="auto"/>
      <w:ind w:left="-20" w:right="193" w:firstLine="288"/>
      <w:jc w:val="left"/>
    </w:pPr>
    <w:r>
      <w:rPr>
        <w:i/>
      </w:rPr>
      <w:t xml:space="preserve">                                              ředitel odboru vysokých škol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485361E4" wp14:editId="41DF31A2">
              <wp:extent cx="5669280" cy="3175"/>
              <wp:effectExtent l="0" t="0" r="0" b="0"/>
              <wp:docPr id="13851" name="Group 13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3175"/>
                        <a:chOff x="0" y="0"/>
                        <a:chExt cx="5669280" cy="3175"/>
                      </a:xfrm>
                    </wpg:grpSpPr>
                    <wps:wsp>
                      <wps:cNvPr id="49" name="Shape 49"/>
                      <wps:cNvSpPr/>
                      <wps:spPr>
                        <a:xfrm>
                          <a:off x="0" y="0"/>
                          <a:ext cx="5669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C516D9D" id="Group 13851" o:spid="_x0000_s1026" style="width:446.4pt;height:.25pt;mso-position-horizontal-relative:char;mso-position-vertical-relative:line" coordsize="5669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">
              <v:shape id="Shape 49" o:spid="_x0000_s1027" style="position:absolute;width:56692;height:0;visibility:visible;mso-wrap-style:square;v-text-anchor:top" coordsize="5669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" path="m,l5669280,e" filled="f" strokeweight=".25pt">
                <v:path arrowok="t" textboxrect="0,0,5669280,0"/>
              </v:shape>
              <w10:anchorlock/>
            </v:group>
          </w:pict>
        </mc:Fallback>
      </mc:AlternateContent>
    </w:r>
    <w:r>
      <w:t xml:space="preserve"> </w:t>
    </w:r>
  </w:p>
  <w:p w14:paraId="403A3B8E" w14:textId="2B84E18F" w:rsidR="007F26C0" w:rsidRDefault="001000DD">
    <w:pPr>
      <w:spacing w:after="0" w:line="259" w:lineRule="auto"/>
      <w:ind w:left="2407" w:firstLine="0"/>
      <w:jc w:val="center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901"/>
    <w:multiLevelType w:val="hybridMultilevel"/>
    <w:tmpl w:val="0E121AF2"/>
    <w:lvl w:ilvl="0" w:tplc="FFFFFFFF">
      <w:start w:val="1"/>
      <w:numFmt w:val="lowerLetter"/>
      <w:lvlText w:val="%1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7BC"/>
    <w:multiLevelType w:val="hybridMultilevel"/>
    <w:tmpl w:val="F9C6ECBE"/>
    <w:lvl w:ilvl="0" w:tplc="BB7E74B4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03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4B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E1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8E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4C2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AB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876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AF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477A7"/>
    <w:multiLevelType w:val="hybridMultilevel"/>
    <w:tmpl w:val="2780B00E"/>
    <w:lvl w:ilvl="0" w:tplc="A75ABC8A">
      <w:start w:val="3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CA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42D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6EC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9209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A95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E3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631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4F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94E58"/>
    <w:multiLevelType w:val="hybridMultilevel"/>
    <w:tmpl w:val="A8B6DF4A"/>
    <w:lvl w:ilvl="0" w:tplc="CF3A6C7C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E00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0D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490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464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6EE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01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E62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671D41"/>
    <w:multiLevelType w:val="hybridMultilevel"/>
    <w:tmpl w:val="FAA2B55E"/>
    <w:lvl w:ilvl="0" w:tplc="590EC784">
      <w:start w:val="1"/>
      <w:numFmt w:val="lowerLetter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87A7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6CA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8832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401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ADA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0739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6ACB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8F73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4E5B44"/>
    <w:multiLevelType w:val="hybridMultilevel"/>
    <w:tmpl w:val="2E10AA28"/>
    <w:lvl w:ilvl="0" w:tplc="3D22D06C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469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A4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41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89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AA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C0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049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C9B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60F0E"/>
    <w:multiLevelType w:val="hybridMultilevel"/>
    <w:tmpl w:val="969A342A"/>
    <w:lvl w:ilvl="0" w:tplc="98740CCA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C1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23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C5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E23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63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816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4E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4C4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AE08CE"/>
    <w:multiLevelType w:val="hybridMultilevel"/>
    <w:tmpl w:val="0E121AF2"/>
    <w:lvl w:ilvl="0" w:tplc="1D546EFE">
      <w:start w:val="1"/>
      <w:numFmt w:val="lowerLetter"/>
      <w:lvlText w:val="%1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445A0"/>
    <w:multiLevelType w:val="hybridMultilevel"/>
    <w:tmpl w:val="A5FE9DD2"/>
    <w:lvl w:ilvl="0" w:tplc="165E53D0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7486E0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41DA0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C5A24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48880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8274C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8F388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05EF2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A970C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5458C2"/>
    <w:multiLevelType w:val="hybridMultilevel"/>
    <w:tmpl w:val="BBBEE42A"/>
    <w:lvl w:ilvl="0" w:tplc="B79C8348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28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608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ED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603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26F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6FE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0CD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2C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D80C6C"/>
    <w:multiLevelType w:val="hybridMultilevel"/>
    <w:tmpl w:val="565C6108"/>
    <w:lvl w:ilvl="0" w:tplc="E0D61288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02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43F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E89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64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A2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87B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C4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8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0E5DDD"/>
    <w:multiLevelType w:val="hybridMultilevel"/>
    <w:tmpl w:val="1BD40AE2"/>
    <w:lvl w:ilvl="0" w:tplc="D1F2E3A0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46EFE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85CD4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CEEEC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E23A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6E2E8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207A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4F11C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6032E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884B01"/>
    <w:multiLevelType w:val="hybridMultilevel"/>
    <w:tmpl w:val="44085778"/>
    <w:lvl w:ilvl="0" w:tplc="FF6689AA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AE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C14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82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80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22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21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262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23F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AC062F"/>
    <w:multiLevelType w:val="hybridMultilevel"/>
    <w:tmpl w:val="E2A6A8AE"/>
    <w:lvl w:ilvl="0" w:tplc="9B825FEC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A8F2E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87834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2C00E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A14E2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28086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04906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0CF3D8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46BC6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6E1AD4"/>
    <w:multiLevelType w:val="hybridMultilevel"/>
    <w:tmpl w:val="704439A2"/>
    <w:lvl w:ilvl="0" w:tplc="6756AE86">
      <w:start w:val="1"/>
      <w:numFmt w:val="decimal"/>
      <w:lvlText w:val="(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E970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023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C2E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06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CBF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4C2F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25C0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267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4C665B"/>
    <w:multiLevelType w:val="hybridMultilevel"/>
    <w:tmpl w:val="AC0E49F2"/>
    <w:lvl w:ilvl="0" w:tplc="FFFFFFFF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6B470C"/>
    <w:multiLevelType w:val="hybridMultilevel"/>
    <w:tmpl w:val="AC0E49F2"/>
    <w:lvl w:ilvl="0" w:tplc="2FD090C0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E4574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A2F26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ED344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8C78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04CEA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EE1B6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0F5A2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20DD0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687FF4"/>
    <w:multiLevelType w:val="hybridMultilevel"/>
    <w:tmpl w:val="22F22602"/>
    <w:lvl w:ilvl="0" w:tplc="5C8CC57E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9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CAE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C1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A8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EBD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AE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C1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EF6D9D"/>
    <w:multiLevelType w:val="hybridMultilevel"/>
    <w:tmpl w:val="E4E6EA6E"/>
    <w:lvl w:ilvl="0" w:tplc="12021A60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ED8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C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C94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2A6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65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87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9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039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7106C0"/>
    <w:multiLevelType w:val="hybridMultilevel"/>
    <w:tmpl w:val="E2A6A8AE"/>
    <w:lvl w:ilvl="0" w:tplc="FFFFFFFF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2C0D3E"/>
    <w:multiLevelType w:val="hybridMultilevel"/>
    <w:tmpl w:val="6D2CD3B0"/>
    <w:lvl w:ilvl="0" w:tplc="87F41DD2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02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8A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23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26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633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EC6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E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C09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5616638">
    <w:abstractNumId w:val="14"/>
  </w:num>
  <w:num w:numId="2" w16cid:durableId="1061514724">
    <w:abstractNumId w:val="4"/>
  </w:num>
  <w:num w:numId="3" w16cid:durableId="833497590">
    <w:abstractNumId w:val="13"/>
  </w:num>
  <w:num w:numId="4" w16cid:durableId="1782409485">
    <w:abstractNumId w:val="9"/>
  </w:num>
  <w:num w:numId="5" w16cid:durableId="269050952">
    <w:abstractNumId w:val="11"/>
  </w:num>
  <w:num w:numId="6" w16cid:durableId="334766658">
    <w:abstractNumId w:val="17"/>
  </w:num>
  <w:num w:numId="7" w16cid:durableId="433742946">
    <w:abstractNumId w:val="16"/>
  </w:num>
  <w:num w:numId="8" w16cid:durableId="432942411">
    <w:abstractNumId w:val="20"/>
  </w:num>
  <w:num w:numId="9" w16cid:durableId="1833328993">
    <w:abstractNumId w:val="10"/>
  </w:num>
  <w:num w:numId="10" w16cid:durableId="368336290">
    <w:abstractNumId w:val="2"/>
  </w:num>
  <w:num w:numId="11" w16cid:durableId="380519971">
    <w:abstractNumId w:val="3"/>
  </w:num>
  <w:num w:numId="12" w16cid:durableId="496195365">
    <w:abstractNumId w:val="5"/>
  </w:num>
  <w:num w:numId="13" w16cid:durableId="642925366">
    <w:abstractNumId w:val="1"/>
  </w:num>
  <w:num w:numId="14" w16cid:durableId="2086341605">
    <w:abstractNumId w:val="12"/>
  </w:num>
  <w:num w:numId="15" w16cid:durableId="428501407">
    <w:abstractNumId w:val="18"/>
  </w:num>
  <w:num w:numId="16" w16cid:durableId="1120608880">
    <w:abstractNumId w:val="8"/>
  </w:num>
  <w:num w:numId="17" w16cid:durableId="230696671">
    <w:abstractNumId w:val="6"/>
  </w:num>
  <w:num w:numId="18" w16cid:durableId="1540122912">
    <w:abstractNumId w:val="7"/>
  </w:num>
  <w:num w:numId="19" w16cid:durableId="1949696520">
    <w:abstractNumId w:val="0"/>
  </w:num>
  <w:num w:numId="20" w16cid:durableId="2033678466">
    <w:abstractNumId w:val="15"/>
  </w:num>
  <w:num w:numId="21" w16cid:durableId="4813857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84"/>
    <w:rsid w:val="0004501B"/>
    <w:rsid w:val="00055B8A"/>
    <w:rsid w:val="001000DD"/>
    <w:rsid w:val="0016507D"/>
    <w:rsid w:val="001A2450"/>
    <w:rsid w:val="001F1DDA"/>
    <w:rsid w:val="00216EFF"/>
    <w:rsid w:val="00265269"/>
    <w:rsid w:val="002C3D01"/>
    <w:rsid w:val="00322432"/>
    <w:rsid w:val="003458DB"/>
    <w:rsid w:val="0035208A"/>
    <w:rsid w:val="00375675"/>
    <w:rsid w:val="003B324D"/>
    <w:rsid w:val="003B4C23"/>
    <w:rsid w:val="003B5FEA"/>
    <w:rsid w:val="003D3E61"/>
    <w:rsid w:val="003D4DBA"/>
    <w:rsid w:val="004252A5"/>
    <w:rsid w:val="00464F1A"/>
    <w:rsid w:val="00493CDA"/>
    <w:rsid w:val="0054398A"/>
    <w:rsid w:val="00563232"/>
    <w:rsid w:val="005B7DA5"/>
    <w:rsid w:val="005D6684"/>
    <w:rsid w:val="005F7E00"/>
    <w:rsid w:val="00611D5D"/>
    <w:rsid w:val="00614778"/>
    <w:rsid w:val="00634167"/>
    <w:rsid w:val="00635569"/>
    <w:rsid w:val="00682BF1"/>
    <w:rsid w:val="007649CC"/>
    <w:rsid w:val="007E7C78"/>
    <w:rsid w:val="007F26C0"/>
    <w:rsid w:val="00823D34"/>
    <w:rsid w:val="008766D5"/>
    <w:rsid w:val="00876A4C"/>
    <w:rsid w:val="009D4C69"/>
    <w:rsid w:val="009E23D8"/>
    <w:rsid w:val="009E5684"/>
    <w:rsid w:val="00A42EE9"/>
    <w:rsid w:val="00AA015C"/>
    <w:rsid w:val="00AF2138"/>
    <w:rsid w:val="00B2616C"/>
    <w:rsid w:val="00B502C8"/>
    <w:rsid w:val="00BC224C"/>
    <w:rsid w:val="00C34E0A"/>
    <w:rsid w:val="00C4652A"/>
    <w:rsid w:val="00CD1AB1"/>
    <w:rsid w:val="00CF5BF6"/>
    <w:rsid w:val="00D20B14"/>
    <w:rsid w:val="00D41C4D"/>
    <w:rsid w:val="00D73B0D"/>
    <w:rsid w:val="00D777DB"/>
    <w:rsid w:val="00D86305"/>
    <w:rsid w:val="00DA1A9C"/>
    <w:rsid w:val="00DA461B"/>
    <w:rsid w:val="00DB5DD9"/>
    <w:rsid w:val="00DC1670"/>
    <w:rsid w:val="00E0430B"/>
    <w:rsid w:val="00E311E9"/>
    <w:rsid w:val="00E641A8"/>
    <w:rsid w:val="00EF6605"/>
    <w:rsid w:val="00F045DB"/>
    <w:rsid w:val="00F32B6C"/>
    <w:rsid w:val="00F517A4"/>
    <w:rsid w:val="00FD10E3"/>
    <w:rsid w:val="00FD5A00"/>
    <w:rsid w:val="00FD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B529AB"/>
  <w15:docId w15:val="{FDD00D13-D521-41CA-8333-602B05DA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1" w:line="248" w:lineRule="auto"/>
      <w:ind w:left="29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8" w:line="265" w:lineRule="auto"/>
      <w:ind w:left="23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  <w:ind w:left="283" w:hanging="283"/>
      <w:jc w:val="both"/>
    </w:pPr>
    <w:rPr>
      <w:rFonts w:ascii="Garamond" w:eastAsia="Garamond" w:hAnsi="Garamond" w:cs="Garamond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i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i/>
      <w:color w:val="000000"/>
      <w:sz w:val="20"/>
      <w:vertAlign w:val="superscript"/>
    </w:rPr>
  </w:style>
  <w:style w:type="paragraph" w:styleId="Prosttext">
    <w:name w:val="Plain Text"/>
    <w:basedOn w:val="Normln"/>
    <w:link w:val="ProsttextChar"/>
    <w:rsid w:val="00B502C8"/>
    <w:pPr>
      <w:spacing w:after="120" w:line="240" w:lineRule="auto"/>
      <w:ind w:left="0" w:firstLine="284"/>
    </w:pPr>
    <w:rPr>
      <w:rFonts w:ascii="Courier New" w:hAnsi="Courier New"/>
      <w:color w:val="auto"/>
      <w:kern w:val="0"/>
      <w:sz w:val="20"/>
      <w:szCs w:val="20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B502C8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C2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24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24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15C"/>
    <w:rPr>
      <w:rFonts w:ascii="Segoe UI" w:eastAsia="Times New Roman" w:hAnsi="Segoe UI" w:cs="Segoe UI"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50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501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501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252A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4252A5"/>
    <w:rPr>
      <w:rFonts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CF5BF6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3AD8B6-37CE-4D92-B90A-C429C31DC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A5D15-59CF-40BA-B64D-062A0C542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DF85F-C5A1-40C6-A012-5F21E5A1F3EB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3292</Words>
  <Characters>18930</Characters>
  <Application>Microsoft Office Word</Application>
  <DocSecurity>0</DocSecurity>
  <Lines>402</Lines>
  <Paragraphs>258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Předpis pro hospodaření a účtování University Tomáše Bati ve Zlíně</vt:lpstr>
    </vt:vector>
  </TitlesOfParts>
  <Company/>
  <LinksUpToDate>false</LinksUpToDate>
  <CharactersWithSpaces>21964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Předpis pro hospodaření a účtování University Tomáše Bati ve Zlíně</dc:title>
  <dc:subject/>
  <dc:creator>*</dc:creator>
  <cp:keywords/>
  <cp:lastModifiedBy>Martin Sysel</cp:lastModifiedBy>
  <cp:revision>12</cp:revision>
  <dcterms:created xsi:type="dcterms:W3CDTF">2026-02-03T16:12:00Z</dcterms:created>
  <dcterms:modified xsi:type="dcterms:W3CDTF">2026-02-03T21:11:00Z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