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1F74" w14:textId="77777777" w:rsidR="00E4559B" w:rsidRDefault="00E4559B">
      <w:pPr>
        <w:rPr>
          <w:sz w:val="72"/>
          <w:szCs w:val="72"/>
        </w:rPr>
      </w:pPr>
    </w:p>
    <w:p w14:paraId="6B2092E9" w14:textId="77777777" w:rsidR="00E4559B" w:rsidRDefault="00E4559B">
      <w:pPr>
        <w:rPr>
          <w:sz w:val="72"/>
          <w:szCs w:val="72"/>
        </w:rPr>
      </w:pPr>
    </w:p>
    <w:p w14:paraId="5BB0D274" w14:textId="77777777" w:rsidR="00E4559B" w:rsidRDefault="00E4559B">
      <w:pPr>
        <w:rPr>
          <w:sz w:val="72"/>
          <w:szCs w:val="72"/>
        </w:rPr>
      </w:pPr>
    </w:p>
    <w:p w14:paraId="298695DE" w14:textId="77777777" w:rsidR="00E4559B" w:rsidRDefault="00E4559B">
      <w:pPr>
        <w:rPr>
          <w:sz w:val="72"/>
          <w:szCs w:val="72"/>
        </w:rPr>
      </w:pPr>
    </w:p>
    <w:p w14:paraId="2B302471" w14:textId="7FFC0414" w:rsidR="00A64E59" w:rsidRPr="00DC5C52" w:rsidRDefault="00476901">
      <w:pPr>
        <w:rPr>
          <w:color w:val="ED741B"/>
          <w:sz w:val="52"/>
          <w:szCs w:val="52"/>
        </w:rPr>
      </w:pPr>
      <w:r w:rsidRPr="00DC5C52">
        <w:rPr>
          <w:color w:val="ED741B"/>
          <w:sz w:val="52"/>
          <w:szCs w:val="52"/>
        </w:rPr>
        <w:t>Rozpis</w:t>
      </w:r>
      <w:r w:rsidR="00E4559B" w:rsidRPr="00DC5C52">
        <w:rPr>
          <w:color w:val="ED741B"/>
          <w:sz w:val="52"/>
          <w:szCs w:val="52"/>
        </w:rPr>
        <w:t xml:space="preserve"> rozpočtu </w:t>
      </w:r>
      <w:r w:rsidR="00E4559B" w:rsidRPr="00DC5C52">
        <w:rPr>
          <w:color w:val="ED741B"/>
          <w:sz w:val="52"/>
          <w:szCs w:val="52"/>
        </w:rPr>
        <w:br/>
        <w:t xml:space="preserve">Univerzity Tomáše Bati ve Zlíně </w:t>
      </w:r>
      <w:r w:rsidR="00E4559B" w:rsidRPr="00DC5C52">
        <w:rPr>
          <w:color w:val="ED741B"/>
          <w:sz w:val="52"/>
          <w:szCs w:val="52"/>
        </w:rPr>
        <w:br/>
      </w:r>
      <w:r w:rsidRPr="00DC5C52">
        <w:rPr>
          <w:color w:val="ED741B"/>
          <w:sz w:val="52"/>
          <w:szCs w:val="52"/>
        </w:rPr>
        <w:t>na</w:t>
      </w:r>
      <w:r w:rsidR="00E4559B" w:rsidRPr="00DC5C52">
        <w:rPr>
          <w:color w:val="ED741B"/>
          <w:sz w:val="52"/>
          <w:szCs w:val="52"/>
        </w:rPr>
        <w:t xml:space="preserve"> rok 202</w:t>
      </w:r>
      <w:r w:rsidR="00E643D9">
        <w:rPr>
          <w:color w:val="ED741B"/>
          <w:sz w:val="52"/>
          <w:szCs w:val="52"/>
        </w:rPr>
        <w:t>6</w:t>
      </w:r>
    </w:p>
    <w:p w14:paraId="70F2BEC4" w14:textId="77777777" w:rsidR="00476901" w:rsidRDefault="00476901">
      <w:pPr>
        <w:rPr>
          <w:color w:val="ED741B"/>
          <w:sz w:val="72"/>
          <w:szCs w:val="72"/>
        </w:rPr>
      </w:pPr>
    </w:p>
    <w:p w14:paraId="2B8D5C7E" w14:textId="77777777" w:rsidR="00476901" w:rsidRPr="00DC5C52" w:rsidRDefault="00476901">
      <w:pPr>
        <w:rPr>
          <w:color w:val="ED741B"/>
          <w:sz w:val="36"/>
          <w:szCs w:val="36"/>
        </w:rPr>
      </w:pPr>
      <w:r w:rsidRPr="00DC5C52">
        <w:rPr>
          <w:color w:val="ED741B"/>
          <w:sz w:val="36"/>
          <w:szCs w:val="36"/>
        </w:rPr>
        <w:t>Rozdělení příspěvků a dotací</w:t>
      </w:r>
    </w:p>
    <w:p w14:paraId="692207D7" w14:textId="77777777" w:rsidR="00476901" w:rsidRPr="00E4559B" w:rsidRDefault="00476901">
      <w:pPr>
        <w:rPr>
          <w:color w:val="ED741B"/>
          <w:sz w:val="72"/>
          <w:szCs w:val="72"/>
        </w:rPr>
      </w:pPr>
    </w:p>
    <w:p w14:paraId="5993BA8A" w14:textId="77777777" w:rsidR="00DC5C52" w:rsidRPr="00CC5FEF" w:rsidRDefault="00DC5C52" w:rsidP="00DC5C52">
      <w:pPr>
        <w:rPr>
          <w:i/>
          <w:sz w:val="28"/>
          <w:szCs w:val="28"/>
        </w:rPr>
      </w:pPr>
      <w:r w:rsidRPr="00CC5FEF">
        <w:rPr>
          <w:i/>
          <w:sz w:val="28"/>
          <w:szCs w:val="28"/>
        </w:rPr>
        <w:t>Materiál projednán a schválen</w:t>
      </w:r>
    </w:p>
    <w:p w14:paraId="13682E81" w14:textId="549EF6BE" w:rsidR="00DC5C52" w:rsidRPr="00CC5FEF" w:rsidRDefault="00DC5C52" w:rsidP="00DC5C52">
      <w:pPr>
        <w:rPr>
          <w:i/>
          <w:sz w:val="28"/>
          <w:szCs w:val="28"/>
        </w:rPr>
      </w:pPr>
      <w:r w:rsidRPr="00CC5FEF">
        <w:rPr>
          <w:i/>
          <w:sz w:val="28"/>
          <w:szCs w:val="28"/>
        </w:rPr>
        <w:t xml:space="preserve">Akademickým senátem UTB ve Zlíně dne </w:t>
      </w:r>
      <w:r w:rsidR="006A5B54" w:rsidRPr="006A5B54">
        <w:rPr>
          <w:i/>
          <w:sz w:val="28"/>
          <w:szCs w:val="28"/>
          <w:highlight w:val="yellow"/>
        </w:rPr>
        <w:t>XX</w:t>
      </w:r>
      <w:r w:rsidRPr="006A5B54">
        <w:rPr>
          <w:i/>
          <w:sz w:val="28"/>
          <w:szCs w:val="28"/>
          <w:highlight w:val="yellow"/>
        </w:rPr>
        <w:t xml:space="preserve">. </w:t>
      </w:r>
      <w:r w:rsidR="006A5B54" w:rsidRPr="006A5B54">
        <w:rPr>
          <w:i/>
          <w:sz w:val="28"/>
          <w:szCs w:val="28"/>
          <w:highlight w:val="yellow"/>
        </w:rPr>
        <w:t>XXXX</w:t>
      </w:r>
      <w:r w:rsidRPr="006A5B54">
        <w:rPr>
          <w:i/>
          <w:sz w:val="28"/>
          <w:szCs w:val="28"/>
          <w:highlight w:val="yellow"/>
        </w:rPr>
        <w:t xml:space="preserve"> 202</w:t>
      </w:r>
      <w:r w:rsidR="00E643D9">
        <w:rPr>
          <w:i/>
          <w:sz w:val="28"/>
          <w:szCs w:val="28"/>
        </w:rPr>
        <w:t>6</w:t>
      </w:r>
      <w:r w:rsidRPr="00CC5FEF">
        <w:rPr>
          <w:i/>
          <w:sz w:val="28"/>
          <w:szCs w:val="28"/>
        </w:rPr>
        <w:t>.</w:t>
      </w:r>
    </w:p>
    <w:p w14:paraId="1ECCD3B2" w14:textId="705167E6" w:rsidR="00DC5C52" w:rsidRPr="00CC5FEF" w:rsidRDefault="00DC5C52" w:rsidP="00DC5C52">
      <w:pPr>
        <w:rPr>
          <w:i/>
          <w:sz w:val="28"/>
          <w:szCs w:val="28"/>
        </w:rPr>
      </w:pPr>
      <w:r w:rsidRPr="00CC5FEF">
        <w:rPr>
          <w:i/>
          <w:sz w:val="28"/>
          <w:szCs w:val="28"/>
        </w:rPr>
        <w:t>Materiál vychází z „Pravidel rozpočtu UTB pro rok 202</w:t>
      </w:r>
      <w:r w:rsidR="00E643D9">
        <w:rPr>
          <w:i/>
          <w:sz w:val="28"/>
          <w:szCs w:val="28"/>
        </w:rPr>
        <w:t>6</w:t>
      </w:r>
      <w:r w:rsidRPr="00CC5FEF">
        <w:rPr>
          <w:i/>
          <w:sz w:val="28"/>
          <w:szCs w:val="28"/>
        </w:rPr>
        <w:t>“,</w:t>
      </w:r>
    </w:p>
    <w:p w14:paraId="32E21C6C" w14:textId="5F3B3138" w:rsidR="00DC5C52" w:rsidRPr="00CC5FEF" w:rsidRDefault="00DC5C52" w:rsidP="00DC5C52">
      <w:pPr>
        <w:rPr>
          <w:i/>
          <w:sz w:val="28"/>
          <w:szCs w:val="28"/>
        </w:rPr>
      </w:pPr>
      <w:r w:rsidRPr="00CC5FEF">
        <w:rPr>
          <w:i/>
          <w:sz w:val="28"/>
          <w:szCs w:val="28"/>
        </w:rPr>
        <w:t xml:space="preserve">schválených AS UTB ve Zlíně dne </w:t>
      </w:r>
      <w:r w:rsidR="003F5A45">
        <w:rPr>
          <w:i/>
          <w:sz w:val="28"/>
          <w:szCs w:val="28"/>
        </w:rPr>
        <w:t>13</w:t>
      </w:r>
      <w:r w:rsidR="00E643D9">
        <w:rPr>
          <w:i/>
          <w:sz w:val="28"/>
          <w:szCs w:val="28"/>
        </w:rPr>
        <w:t>.</w:t>
      </w:r>
      <w:r w:rsidR="003F5A45">
        <w:rPr>
          <w:i/>
          <w:sz w:val="28"/>
          <w:szCs w:val="28"/>
        </w:rPr>
        <w:t>01.</w:t>
      </w:r>
      <w:r w:rsidRPr="00CC5FEF">
        <w:rPr>
          <w:i/>
          <w:sz w:val="28"/>
          <w:szCs w:val="28"/>
        </w:rPr>
        <w:t xml:space="preserve"> 202</w:t>
      </w:r>
      <w:r w:rsidR="00E643D9">
        <w:rPr>
          <w:i/>
          <w:sz w:val="28"/>
          <w:szCs w:val="28"/>
        </w:rPr>
        <w:t>6</w:t>
      </w:r>
      <w:r w:rsidRPr="00CC5FEF">
        <w:rPr>
          <w:i/>
          <w:sz w:val="28"/>
          <w:szCs w:val="28"/>
        </w:rPr>
        <w:t>.</w:t>
      </w:r>
    </w:p>
    <w:p w14:paraId="27691D06" w14:textId="77777777" w:rsidR="00DC5C52" w:rsidRDefault="00DC5C52" w:rsidP="00DC5C52">
      <w:pPr>
        <w:rPr>
          <w:sz w:val="72"/>
          <w:szCs w:val="72"/>
        </w:rPr>
      </w:pPr>
    </w:p>
    <w:p w14:paraId="068B3517" w14:textId="77777777" w:rsidR="00DC5C52" w:rsidRDefault="00DC5C52" w:rsidP="00DC5C52">
      <w:pPr>
        <w:rPr>
          <w:sz w:val="72"/>
          <w:szCs w:val="72"/>
        </w:rPr>
      </w:pPr>
    </w:p>
    <w:p w14:paraId="258078E4" w14:textId="77777777" w:rsidR="00DC5C52" w:rsidRPr="00CC5FEF" w:rsidRDefault="00DC5C52" w:rsidP="00DC5C52">
      <w:pPr>
        <w:rPr>
          <w:sz w:val="44"/>
          <w:szCs w:val="44"/>
        </w:rPr>
      </w:pPr>
    </w:p>
    <w:p w14:paraId="4CAA8BE2" w14:textId="77777777" w:rsidR="00DC5C52" w:rsidRPr="00CC5FEF" w:rsidRDefault="00DC5C52" w:rsidP="00DC5C52">
      <w:pPr>
        <w:rPr>
          <w:sz w:val="28"/>
          <w:szCs w:val="28"/>
        </w:rPr>
      </w:pPr>
      <w:r w:rsidRPr="00CC5FEF">
        <w:rPr>
          <w:sz w:val="28"/>
          <w:szCs w:val="28"/>
        </w:rPr>
        <w:t xml:space="preserve">Předkládá: </w:t>
      </w:r>
      <w:r w:rsidRPr="00CC5FEF">
        <w:rPr>
          <w:sz w:val="28"/>
          <w:szCs w:val="28"/>
        </w:rPr>
        <w:tab/>
        <w:t xml:space="preserve">prof. Mgr. Milan Adámek, Ph.D. </w:t>
      </w:r>
    </w:p>
    <w:p w14:paraId="45C53AC3" w14:textId="77777777" w:rsidR="00DC5C52" w:rsidRPr="00CC5FEF" w:rsidRDefault="00DC5C52" w:rsidP="00DC5C52">
      <w:pPr>
        <w:ind w:left="708" w:firstLine="708"/>
        <w:rPr>
          <w:sz w:val="28"/>
          <w:szCs w:val="28"/>
        </w:rPr>
      </w:pPr>
      <w:r w:rsidRPr="00CC5FEF">
        <w:rPr>
          <w:sz w:val="28"/>
          <w:szCs w:val="28"/>
        </w:rPr>
        <w:t>rektor</w:t>
      </w:r>
    </w:p>
    <w:p w14:paraId="3A6C26A1" w14:textId="77777777" w:rsidR="00DC5C52" w:rsidRPr="00CC5FEF" w:rsidRDefault="00DC5C52" w:rsidP="00DC5C52">
      <w:pPr>
        <w:rPr>
          <w:sz w:val="28"/>
          <w:szCs w:val="28"/>
        </w:rPr>
      </w:pPr>
    </w:p>
    <w:p w14:paraId="60510038" w14:textId="16EE0D86" w:rsidR="00E643D9" w:rsidRPr="00403494" w:rsidRDefault="00E42D28" w:rsidP="00403494">
      <w:pPr>
        <w:rPr>
          <w:sz w:val="28"/>
          <w:szCs w:val="28"/>
        </w:rPr>
      </w:pPr>
      <w:r w:rsidRPr="00403494">
        <w:rPr>
          <w:sz w:val="28"/>
          <w:szCs w:val="28"/>
        </w:rPr>
        <w:t>Zpracoval</w:t>
      </w:r>
      <w:r w:rsidR="00403494">
        <w:rPr>
          <w:sz w:val="28"/>
          <w:szCs w:val="28"/>
        </w:rPr>
        <w:t>a</w:t>
      </w:r>
      <w:r w:rsidRPr="00403494">
        <w:rPr>
          <w:sz w:val="28"/>
          <w:szCs w:val="28"/>
        </w:rPr>
        <w:t xml:space="preserve">: </w:t>
      </w:r>
      <w:r w:rsidRPr="00403494">
        <w:rPr>
          <w:sz w:val="28"/>
          <w:szCs w:val="28"/>
        </w:rPr>
        <w:tab/>
      </w:r>
      <w:r w:rsidR="00E643D9" w:rsidRPr="00403494">
        <w:rPr>
          <w:sz w:val="28"/>
          <w:szCs w:val="28"/>
        </w:rPr>
        <w:t>Mgr. Petra Jungová, LL.M.</w:t>
      </w:r>
    </w:p>
    <w:p w14:paraId="1E824467" w14:textId="4FE860BE" w:rsidR="00E42D28" w:rsidRPr="00403494" w:rsidRDefault="00E42D28" w:rsidP="00403494">
      <w:pPr>
        <w:ind w:left="708" w:firstLine="708"/>
        <w:rPr>
          <w:sz w:val="28"/>
          <w:szCs w:val="28"/>
        </w:rPr>
      </w:pPr>
      <w:r w:rsidRPr="00403494">
        <w:rPr>
          <w:sz w:val="28"/>
          <w:szCs w:val="28"/>
        </w:rPr>
        <w:t>kvestor</w:t>
      </w:r>
      <w:r w:rsidR="00E643D9" w:rsidRPr="00403494">
        <w:rPr>
          <w:sz w:val="28"/>
          <w:szCs w:val="28"/>
        </w:rPr>
        <w:t>k</w:t>
      </w:r>
      <w:r w:rsidRPr="00403494">
        <w:rPr>
          <w:sz w:val="28"/>
          <w:szCs w:val="28"/>
        </w:rPr>
        <w:t>a</w:t>
      </w:r>
    </w:p>
    <w:p w14:paraId="02CA90A7" w14:textId="7F255FD0" w:rsidR="00E4559B" w:rsidRDefault="00E4559B" w:rsidP="00DC5C52">
      <w:pPr>
        <w:ind w:left="708" w:firstLine="708"/>
        <w:rPr>
          <w:sz w:val="32"/>
          <w:szCs w:val="32"/>
        </w:rPr>
      </w:pPr>
      <w:r>
        <w:rPr>
          <w:sz w:val="32"/>
          <w:szCs w:val="32"/>
        </w:rPr>
        <w:br w:type="page"/>
      </w:r>
    </w:p>
    <w:p w14:paraId="301C0846" w14:textId="77777777" w:rsidR="00E4559B" w:rsidRDefault="00E4559B" w:rsidP="00624472">
      <w:pPr>
        <w:pStyle w:val="Nadpis1"/>
        <w:numPr>
          <w:ilvl w:val="0"/>
          <w:numId w:val="0"/>
        </w:numPr>
        <w:ind w:left="432" w:hanging="432"/>
      </w:pPr>
      <w:r>
        <w:lastRenderedPageBreak/>
        <w:t>Obsah</w:t>
      </w:r>
    </w:p>
    <w:p w14:paraId="02C5D609" w14:textId="32772C44" w:rsidR="00D67DC9" w:rsidRDefault="009F7EAF">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r>
        <w:fldChar w:fldCharType="begin"/>
      </w:r>
      <w:r>
        <w:instrText xml:space="preserve"> TOC \h \z \t "Rozpocet_Nadpis 1;1;Rozpocet_Nadpis 2;2;Rozpočet_Nadpis 3;3" </w:instrText>
      </w:r>
      <w:r>
        <w:fldChar w:fldCharType="separate"/>
      </w:r>
      <w:hyperlink w:anchor="_Toc228824316" w:history="1">
        <w:r w:rsidR="00D67DC9" w:rsidRPr="00AD5E43">
          <w:rPr>
            <w:rStyle w:val="Hypertextovodkaz"/>
            <w:rFonts w:eastAsiaTheme="majorEastAsia"/>
            <w:noProof/>
          </w:rPr>
          <w:t>1</w:t>
        </w:r>
        <w:r w:rsidR="00D67DC9">
          <w:rPr>
            <w:rFonts w:asciiTheme="minorHAnsi" w:eastAsiaTheme="minorEastAsia" w:hAnsiTheme="minorHAnsi" w:cstheme="minorBidi"/>
            <w:b w:val="0"/>
            <w:bCs w:val="0"/>
            <w:caps w:val="0"/>
            <w:noProof/>
            <w:kern w:val="2"/>
            <w:sz w:val="24"/>
            <w:szCs w:val="24"/>
            <w:lang w:eastAsia="cs-CZ"/>
            <w14:ligatures w14:val="standardContextual"/>
          </w:rPr>
          <w:tab/>
        </w:r>
        <w:r w:rsidR="00D67DC9" w:rsidRPr="00AD5E43">
          <w:rPr>
            <w:rStyle w:val="Hypertextovodkaz"/>
            <w:rFonts w:eastAsiaTheme="majorEastAsia"/>
            <w:noProof/>
          </w:rPr>
          <w:t>Úvod</w:t>
        </w:r>
        <w:r w:rsidR="00D67DC9">
          <w:rPr>
            <w:noProof/>
            <w:webHidden/>
          </w:rPr>
          <w:tab/>
        </w:r>
        <w:r w:rsidR="00D67DC9">
          <w:rPr>
            <w:noProof/>
            <w:webHidden/>
          </w:rPr>
          <w:fldChar w:fldCharType="begin"/>
        </w:r>
        <w:r w:rsidR="00D67DC9">
          <w:rPr>
            <w:noProof/>
            <w:webHidden/>
          </w:rPr>
          <w:instrText xml:space="preserve"> PAGEREF _Toc228824316 \h </w:instrText>
        </w:r>
        <w:r w:rsidR="00D67DC9">
          <w:rPr>
            <w:noProof/>
            <w:webHidden/>
          </w:rPr>
        </w:r>
        <w:r w:rsidR="00D67DC9">
          <w:rPr>
            <w:noProof/>
            <w:webHidden/>
          </w:rPr>
          <w:fldChar w:fldCharType="separate"/>
        </w:r>
        <w:r w:rsidR="00D67DC9">
          <w:rPr>
            <w:noProof/>
            <w:webHidden/>
          </w:rPr>
          <w:t>4</w:t>
        </w:r>
        <w:r w:rsidR="00D67DC9">
          <w:rPr>
            <w:noProof/>
            <w:webHidden/>
          </w:rPr>
          <w:fldChar w:fldCharType="end"/>
        </w:r>
      </w:hyperlink>
    </w:p>
    <w:p w14:paraId="7AB0B9E2" w14:textId="4AD38DA5"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17" w:history="1">
        <w:r w:rsidRPr="00AD5E43">
          <w:rPr>
            <w:rStyle w:val="Hypertextovodkaz"/>
            <w:rFonts w:eastAsiaTheme="majorEastAsia"/>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Finanční zdroje rozpočtu UTB</w:t>
        </w:r>
        <w:r>
          <w:rPr>
            <w:noProof/>
            <w:webHidden/>
          </w:rPr>
          <w:tab/>
        </w:r>
        <w:r>
          <w:rPr>
            <w:noProof/>
            <w:webHidden/>
          </w:rPr>
          <w:fldChar w:fldCharType="begin"/>
        </w:r>
        <w:r>
          <w:rPr>
            <w:noProof/>
            <w:webHidden/>
          </w:rPr>
          <w:instrText xml:space="preserve"> PAGEREF _Toc228824317 \h </w:instrText>
        </w:r>
        <w:r>
          <w:rPr>
            <w:noProof/>
            <w:webHidden/>
          </w:rPr>
        </w:r>
        <w:r>
          <w:rPr>
            <w:noProof/>
            <w:webHidden/>
          </w:rPr>
          <w:fldChar w:fldCharType="separate"/>
        </w:r>
        <w:r>
          <w:rPr>
            <w:noProof/>
            <w:webHidden/>
          </w:rPr>
          <w:t>5</w:t>
        </w:r>
        <w:r>
          <w:rPr>
            <w:noProof/>
            <w:webHidden/>
          </w:rPr>
          <w:fldChar w:fldCharType="end"/>
        </w:r>
      </w:hyperlink>
    </w:p>
    <w:p w14:paraId="68D81028" w14:textId="2EB33C5F"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18" w:history="1">
        <w:r w:rsidRPr="00AD5E43">
          <w:rPr>
            <w:rStyle w:val="Hypertextovodkaz"/>
            <w:rFonts w:eastAsiaTheme="majorEastAsia"/>
            <w:noProof/>
          </w:rPr>
          <w:t>2.1</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Finanční zdroje rozpočtu z MŠMT</w:t>
        </w:r>
        <w:r>
          <w:rPr>
            <w:noProof/>
            <w:webHidden/>
          </w:rPr>
          <w:tab/>
        </w:r>
        <w:r>
          <w:rPr>
            <w:noProof/>
            <w:webHidden/>
          </w:rPr>
          <w:fldChar w:fldCharType="begin"/>
        </w:r>
        <w:r>
          <w:rPr>
            <w:noProof/>
            <w:webHidden/>
          </w:rPr>
          <w:instrText xml:space="preserve"> PAGEREF _Toc228824318 \h </w:instrText>
        </w:r>
        <w:r>
          <w:rPr>
            <w:noProof/>
            <w:webHidden/>
          </w:rPr>
        </w:r>
        <w:r>
          <w:rPr>
            <w:noProof/>
            <w:webHidden/>
          </w:rPr>
          <w:fldChar w:fldCharType="separate"/>
        </w:r>
        <w:r>
          <w:rPr>
            <w:noProof/>
            <w:webHidden/>
          </w:rPr>
          <w:t>5</w:t>
        </w:r>
        <w:r>
          <w:rPr>
            <w:noProof/>
            <w:webHidden/>
          </w:rPr>
          <w:fldChar w:fldCharType="end"/>
        </w:r>
      </w:hyperlink>
    </w:p>
    <w:p w14:paraId="43F0C571" w14:textId="399A9B1F"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19" w:history="1">
        <w:r w:rsidRPr="00AD5E43">
          <w:rPr>
            <w:rStyle w:val="Hypertextovodkaz"/>
            <w:rFonts w:eastAsiaTheme="majorEastAsia"/>
            <w:noProof/>
          </w:rPr>
          <w:t>2.2</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Další zdroje rozpočtu UTB</w:t>
        </w:r>
        <w:r>
          <w:rPr>
            <w:noProof/>
            <w:webHidden/>
          </w:rPr>
          <w:tab/>
        </w:r>
        <w:r>
          <w:rPr>
            <w:noProof/>
            <w:webHidden/>
          </w:rPr>
          <w:fldChar w:fldCharType="begin"/>
        </w:r>
        <w:r>
          <w:rPr>
            <w:noProof/>
            <w:webHidden/>
          </w:rPr>
          <w:instrText xml:space="preserve"> PAGEREF _Toc228824319 \h </w:instrText>
        </w:r>
        <w:r>
          <w:rPr>
            <w:noProof/>
            <w:webHidden/>
          </w:rPr>
        </w:r>
        <w:r>
          <w:rPr>
            <w:noProof/>
            <w:webHidden/>
          </w:rPr>
          <w:fldChar w:fldCharType="separate"/>
        </w:r>
        <w:r>
          <w:rPr>
            <w:noProof/>
            <w:webHidden/>
          </w:rPr>
          <w:t>5</w:t>
        </w:r>
        <w:r>
          <w:rPr>
            <w:noProof/>
            <w:webHidden/>
          </w:rPr>
          <w:fldChar w:fldCharType="end"/>
        </w:r>
      </w:hyperlink>
    </w:p>
    <w:p w14:paraId="06D36402" w14:textId="0A9789F6"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20" w:history="1">
        <w:r w:rsidRPr="00AD5E43">
          <w:rPr>
            <w:rStyle w:val="Hypertextovodkaz"/>
            <w:rFonts w:eastAsiaTheme="majorEastAsia"/>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Indikátory pro interní rozdělení financí</w:t>
        </w:r>
        <w:r>
          <w:rPr>
            <w:noProof/>
            <w:webHidden/>
          </w:rPr>
          <w:tab/>
        </w:r>
        <w:r>
          <w:rPr>
            <w:noProof/>
            <w:webHidden/>
          </w:rPr>
          <w:fldChar w:fldCharType="begin"/>
        </w:r>
        <w:r>
          <w:rPr>
            <w:noProof/>
            <w:webHidden/>
          </w:rPr>
          <w:instrText xml:space="preserve"> PAGEREF _Toc228824320 \h </w:instrText>
        </w:r>
        <w:r>
          <w:rPr>
            <w:noProof/>
            <w:webHidden/>
          </w:rPr>
        </w:r>
        <w:r>
          <w:rPr>
            <w:noProof/>
            <w:webHidden/>
          </w:rPr>
          <w:fldChar w:fldCharType="separate"/>
        </w:r>
        <w:r>
          <w:rPr>
            <w:noProof/>
            <w:webHidden/>
          </w:rPr>
          <w:t>6</w:t>
        </w:r>
        <w:r>
          <w:rPr>
            <w:noProof/>
            <w:webHidden/>
          </w:rPr>
          <w:fldChar w:fldCharType="end"/>
        </w:r>
      </w:hyperlink>
    </w:p>
    <w:p w14:paraId="76B0600A" w14:textId="3F5D94C3"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21" w:history="1">
        <w:r w:rsidRPr="00AD5E43">
          <w:rPr>
            <w:rStyle w:val="Hypertextovodkaz"/>
            <w:rFonts w:eastAsiaTheme="majorEastAsia"/>
            <w:noProof/>
          </w:rPr>
          <w:t>3.1</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Indikátory pro rozdělení příspěvků a dotací na vzdělávání a tvůrčí činnost</w:t>
        </w:r>
        <w:r>
          <w:rPr>
            <w:noProof/>
            <w:webHidden/>
          </w:rPr>
          <w:tab/>
        </w:r>
        <w:r>
          <w:rPr>
            <w:noProof/>
            <w:webHidden/>
          </w:rPr>
          <w:fldChar w:fldCharType="begin"/>
        </w:r>
        <w:r>
          <w:rPr>
            <w:noProof/>
            <w:webHidden/>
          </w:rPr>
          <w:instrText xml:space="preserve"> PAGEREF _Toc228824321 \h </w:instrText>
        </w:r>
        <w:r>
          <w:rPr>
            <w:noProof/>
            <w:webHidden/>
          </w:rPr>
        </w:r>
        <w:r>
          <w:rPr>
            <w:noProof/>
            <w:webHidden/>
          </w:rPr>
          <w:fldChar w:fldCharType="separate"/>
        </w:r>
        <w:r>
          <w:rPr>
            <w:noProof/>
            <w:webHidden/>
          </w:rPr>
          <w:t>6</w:t>
        </w:r>
        <w:r>
          <w:rPr>
            <w:noProof/>
            <w:webHidden/>
          </w:rPr>
          <w:fldChar w:fldCharType="end"/>
        </w:r>
      </w:hyperlink>
    </w:p>
    <w:p w14:paraId="67614C20" w14:textId="7AD8A2E1"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2" w:history="1">
        <w:r w:rsidRPr="00AD5E43">
          <w:rPr>
            <w:rStyle w:val="Hypertextovodkaz"/>
            <w:rFonts w:eastAsiaTheme="majorEastAsia"/>
            <w:noProof/>
          </w:rPr>
          <w:t>3.1.1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objem</w:t>
        </w:r>
        <w:r>
          <w:rPr>
            <w:noProof/>
            <w:webHidden/>
          </w:rPr>
          <w:tab/>
        </w:r>
        <w:r>
          <w:rPr>
            <w:noProof/>
            <w:webHidden/>
          </w:rPr>
          <w:fldChar w:fldCharType="begin"/>
        </w:r>
        <w:r>
          <w:rPr>
            <w:noProof/>
            <w:webHidden/>
          </w:rPr>
          <w:instrText xml:space="preserve"> PAGEREF _Toc228824322 \h </w:instrText>
        </w:r>
        <w:r>
          <w:rPr>
            <w:noProof/>
            <w:webHidden/>
          </w:rPr>
        </w:r>
        <w:r>
          <w:rPr>
            <w:noProof/>
            <w:webHidden/>
          </w:rPr>
          <w:fldChar w:fldCharType="separate"/>
        </w:r>
        <w:r>
          <w:rPr>
            <w:noProof/>
            <w:webHidden/>
          </w:rPr>
          <w:t>6</w:t>
        </w:r>
        <w:r>
          <w:rPr>
            <w:noProof/>
            <w:webHidden/>
          </w:rPr>
          <w:fldChar w:fldCharType="end"/>
        </w:r>
      </w:hyperlink>
    </w:p>
    <w:p w14:paraId="1AB2686E" w14:textId="2BF35D13"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3" w:history="1">
        <w:r w:rsidRPr="00AD5E43">
          <w:rPr>
            <w:rStyle w:val="Hypertextovodkaz"/>
            <w:rFonts w:eastAsiaTheme="majorEastAsia"/>
            <w:noProof/>
          </w:rPr>
          <w:t>3.1.2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graduation rate</w:t>
        </w:r>
        <w:r>
          <w:rPr>
            <w:noProof/>
            <w:webHidden/>
          </w:rPr>
          <w:tab/>
        </w:r>
        <w:r>
          <w:rPr>
            <w:noProof/>
            <w:webHidden/>
          </w:rPr>
          <w:fldChar w:fldCharType="begin"/>
        </w:r>
        <w:r>
          <w:rPr>
            <w:noProof/>
            <w:webHidden/>
          </w:rPr>
          <w:instrText xml:space="preserve"> PAGEREF _Toc228824323 \h </w:instrText>
        </w:r>
        <w:r>
          <w:rPr>
            <w:noProof/>
            <w:webHidden/>
          </w:rPr>
        </w:r>
        <w:r>
          <w:rPr>
            <w:noProof/>
            <w:webHidden/>
          </w:rPr>
          <w:fldChar w:fldCharType="separate"/>
        </w:r>
        <w:r>
          <w:rPr>
            <w:noProof/>
            <w:webHidden/>
          </w:rPr>
          <w:t>6</w:t>
        </w:r>
        <w:r>
          <w:rPr>
            <w:noProof/>
            <w:webHidden/>
          </w:rPr>
          <w:fldChar w:fldCharType="end"/>
        </w:r>
      </w:hyperlink>
    </w:p>
    <w:p w14:paraId="495D00A7" w14:textId="53F4E5FB"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4" w:history="1">
        <w:r w:rsidRPr="00AD5E43">
          <w:rPr>
            <w:rStyle w:val="Hypertextovodkaz"/>
            <w:rFonts w:eastAsiaTheme="majorEastAsia"/>
            <w:noProof/>
          </w:rPr>
          <w:t>3.1.3</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mezinárodní mobility</w:t>
        </w:r>
        <w:r>
          <w:rPr>
            <w:noProof/>
            <w:webHidden/>
          </w:rPr>
          <w:tab/>
        </w:r>
        <w:r>
          <w:rPr>
            <w:noProof/>
            <w:webHidden/>
          </w:rPr>
          <w:fldChar w:fldCharType="begin"/>
        </w:r>
        <w:r>
          <w:rPr>
            <w:noProof/>
            <w:webHidden/>
          </w:rPr>
          <w:instrText xml:space="preserve"> PAGEREF _Toc228824324 \h </w:instrText>
        </w:r>
        <w:r>
          <w:rPr>
            <w:noProof/>
            <w:webHidden/>
          </w:rPr>
        </w:r>
        <w:r>
          <w:rPr>
            <w:noProof/>
            <w:webHidden/>
          </w:rPr>
          <w:fldChar w:fldCharType="separate"/>
        </w:r>
        <w:r>
          <w:rPr>
            <w:noProof/>
            <w:webHidden/>
          </w:rPr>
          <w:t>7</w:t>
        </w:r>
        <w:r>
          <w:rPr>
            <w:noProof/>
            <w:webHidden/>
          </w:rPr>
          <w:fldChar w:fldCharType="end"/>
        </w:r>
      </w:hyperlink>
    </w:p>
    <w:p w14:paraId="0FEEE575" w14:textId="0E82530D"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5" w:history="1">
        <w:r w:rsidRPr="00AD5E43">
          <w:rPr>
            <w:rStyle w:val="Hypertextovodkaz"/>
            <w:rFonts w:eastAsiaTheme="majorEastAsia"/>
            <w:noProof/>
          </w:rPr>
          <w:t>3.1.4</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absolvent</w:t>
        </w:r>
        <w:r>
          <w:rPr>
            <w:noProof/>
            <w:webHidden/>
          </w:rPr>
          <w:tab/>
        </w:r>
        <w:r>
          <w:rPr>
            <w:noProof/>
            <w:webHidden/>
          </w:rPr>
          <w:fldChar w:fldCharType="begin"/>
        </w:r>
        <w:r>
          <w:rPr>
            <w:noProof/>
            <w:webHidden/>
          </w:rPr>
          <w:instrText xml:space="preserve"> PAGEREF _Toc228824325 \h </w:instrText>
        </w:r>
        <w:r>
          <w:rPr>
            <w:noProof/>
            <w:webHidden/>
          </w:rPr>
        </w:r>
        <w:r>
          <w:rPr>
            <w:noProof/>
            <w:webHidden/>
          </w:rPr>
          <w:fldChar w:fldCharType="separate"/>
        </w:r>
        <w:r>
          <w:rPr>
            <w:noProof/>
            <w:webHidden/>
          </w:rPr>
          <w:t>8</w:t>
        </w:r>
        <w:r>
          <w:rPr>
            <w:noProof/>
            <w:webHidden/>
          </w:rPr>
          <w:fldChar w:fldCharType="end"/>
        </w:r>
      </w:hyperlink>
    </w:p>
    <w:p w14:paraId="5AE5645D" w14:textId="26B017AA"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6" w:history="1">
        <w:r w:rsidRPr="00AD5E43">
          <w:rPr>
            <w:rStyle w:val="Hypertextovodkaz"/>
            <w:rFonts w:eastAsiaTheme="majorEastAsia"/>
            <w:noProof/>
          </w:rPr>
          <w:t>3.1.5</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DKRVO2025R</w:t>
        </w:r>
        <w:r>
          <w:rPr>
            <w:noProof/>
            <w:webHidden/>
          </w:rPr>
          <w:tab/>
        </w:r>
        <w:r>
          <w:rPr>
            <w:noProof/>
            <w:webHidden/>
          </w:rPr>
          <w:fldChar w:fldCharType="begin"/>
        </w:r>
        <w:r>
          <w:rPr>
            <w:noProof/>
            <w:webHidden/>
          </w:rPr>
          <w:instrText xml:space="preserve"> PAGEREF _Toc228824326 \h </w:instrText>
        </w:r>
        <w:r>
          <w:rPr>
            <w:noProof/>
            <w:webHidden/>
          </w:rPr>
        </w:r>
        <w:r>
          <w:rPr>
            <w:noProof/>
            <w:webHidden/>
          </w:rPr>
          <w:fldChar w:fldCharType="separate"/>
        </w:r>
        <w:r>
          <w:rPr>
            <w:noProof/>
            <w:webHidden/>
          </w:rPr>
          <w:t>8</w:t>
        </w:r>
        <w:r>
          <w:rPr>
            <w:noProof/>
            <w:webHidden/>
          </w:rPr>
          <w:fldChar w:fldCharType="end"/>
        </w:r>
      </w:hyperlink>
    </w:p>
    <w:p w14:paraId="2D4819BB" w14:textId="2F631A80"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7" w:history="1">
        <w:r w:rsidRPr="00AD5E43">
          <w:rPr>
            <w:rStyle w:val="Hypertextovodkaz"/>
            <w:rFonts w:eastAsiaTheme="majorEastAsia"/>
            <w:noProof/>
          </w:rPr>
          <w:t>3.1.6</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publikace</w:t>
        </w:r>
        <w:r>
          <w:rPr>
            <w:noProof/>
            <w:webHidden/>
          </w:rPr>
          <w:tab/>
        </w:r>
        <w:r>
          <w:rPr>
            <w:noProof/>
            <w:webHidden/>
          </w:rPr>
          <w:fldChar w:fldCharType="begin"/>
        </w:r>
        <w:r>
          <w:rPr>
            <w:noProof/>
            <w:webHidden/>
          </w:rPr>
          <w:instrText xml:space="preserve"> PAGEREF _Toc228824327 \h </w:instrText>
        </w:r>
        <w:r>
          <w:rPr>
            <w:noProof/>
            <w:webHidden/>
          </w:rPr>
        </w:r>
        <w:r>
          <w:rPr>
            <w:noProof/>
            <w:webHidden/>
          </w:rPr>
          <w:fldChar w:fldCharType="separate"/>
        </w:r>
        <w:r>
          <w:rPr>
            <w:noProof/>
            <w:webHidden/>
          </w:rPr>
          <w:t>8</w:t>
        </w:r>
        <w:r>
          <w:rPr>
            <w:noProof/>
            <w:webHidden/>
          </w:rPr>
          <w:fldChar w:fldCharType="end"/>
        </w:r>
      </w:hyperlink>
    </w:p>
    <w:p w14:paraId="420FDB86" w14:textId="7B80F230"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8" w:history="1">
        <w:r w:rsidRPr="00AD5E43">
          <w:rPr>
            <w:rStyle w:val="Hypertextovodkaz"/>
            <w:rFonts w:eastAsiaTheme="majorEastAsia"/>
            <w:noProof/>
          </w:rPr>
          <w:t>3.1.7</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VaV</w:t>
        </w:r>
        <w:r>
          <w:rPr>
            <w:noProof/>
            <w:webHidden/>
          </w:rPr>
          <w:tab/>
        </w:r>
        <w:r>
          <w:rPr>
            <w:noProof/>
            <w:webHidden/>
          </w:rPr>
          <w:fldChar w:fldCharType="begin"/>
        </w:r>
        <w:r>
          <w:rPr>
            <w:noProof/>
            <w:webHidden/>
          </w:rPr>
          <w:instrText xml:space="preserve"> PAGEREF _Toc228824328 \h </w:instrText>
        </w:r>
        <w:r>
          <w:rPr>
            <w:noProof/>
            <w:webHidden/>
          </w:rPr>
        </w:r>
        <w:r>
          <w:rPr>
            <w:noProof/>
            <w:webHidden/>
          </w:rPr>
          <w:fldChar w:fldCharType="separate"/>
        </w:r>
        <w:r>
          <w:rPr>
            <w:noProof/>
            <w:webHidden/>
          </w:rPr>
          <w:t>9</w:t>
        </w:r>
        <w:r>
          <w:rPr>
            <w:noProof/>
            <w:webHidden/>
          </w:rPr>
          <w:fldChar w:fldCharType="end"/>
        </w:r>
      </w:hyperlink>
    </w:p>
    <w:p w14:paraId="75656D2E" w14:textId="2A10AFAC"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29" w:history="1">
        <w:r w:rsidRPr="00AD5E43">
          <w:rPr>
            <w:rStyle w:val="Hypertextovodkaz"/>
            <w:rFonts w:eastAsiaTheme="majorEastAsia"/>
            <w:noProof/>
          </w:rPr>
          <w:t>3.1.8</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RUV</w:t>
        </w:r>
        <w:r>
          <w:rPr>
            <w:noProof/>
            <w:webHidden/>
          </w:rPr>
          <w:tab/>
        </w:r>
        <w:r>
          <w:rPr>
            <w:noProof/>
            <w:webHidden/>
          </w:rPr>
          <w:fldChar w:fldCharType="begin"/>
        </w:r>
        <w:r>
          <w:rPr>
            <w:noProof/>
            <w:webHidden/>
          </w:rPr>
          <w:instrText xml:space="preserve"> PAGEREF _Toc228824329 \h </w:instrText>
        </w:r>
        <w:r>
          <w:rPr>
            <w:noProof/>
            <w:webHidden/>
          </w:rPr>
        </w:r>
        <w:r>
          <w:rPr>
            <w:noProof/>
            <w:webHidden/>
          </w:rPr>
          <w:fldChar w:fldCharType="separate"/>
        </w:r>
        <w:r>
          <w:rPr>
            <w:noProof/>
            <w:webHidden/>
          </w:rPr>
          <w:t>10</w:t>
        </w:r>
        <w:r>
          <w:rPr>
            <w:noProof/>
            <w:webHidden/>
          </w:rPr>
          <w:fldChar w:fldCharType="end"/>
        </w:r>
      </w:hyperlink>
    </w:p>
    <w:p w14:paraId="4F1A852E" w14:textId="192B96FF"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0" w:history="1">
        <w:r w:rsidRPr="00AD5E43">
          <w:rPr>
            <w:rStyle w:val="Hypertextovodkaz"/>
            <w:rFonts w:eastAsiaTheme="majorEastAsia"/>
            <w:noProof/>
          </w:rPr>
          <w:t>3.1.9</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externí příjmy</w:t>
        </w:r>
        <w:r>
          <w:rPr>
            <w:noProof/>
            <w:webHidden/>
          </w:rPr>
          <w:tab/>
        </w:r>
        <w:r>
          <w:rPr>
            <w:noProof/>
            <w:webHidden/>
          </w:rPr>
          <w:fldChar w:fldCharType="begin"/>
        </w:r>
        <w:r>
          <w:rPr>
            <w:noProof/>
            <w:webHidden/>
          </w:rPr>
          <w:instrText xml:space="preserve"> PAGEREF _Toc228824330 \h </w:instrText>
        </w:r>
        <w:r>
          <w:rPr>
            <w:noProof/>
            <w:webHidden/>
          </w:rPr>
        </w:r>
        <w:r>
          <w:rPr>
            <w:noProof/>
            <w:webHidden/>
          </w:rPr>
          <w:fldChar w:fldCharType="separate"/>
        </w:r>
        <w:r>
          <w:rPr>
            <w:noProof/>
            <w:webHidden/>
          </w:rPr>
          <w:t>10</w:t>
        </w:r>
        <w:r>
          <w:rPr>
            <w:noProof/>
            <w:webHidden/>
          </w:rPr>
          <w:fldChar w:fldCharType="end"/>
        </w:r>
      </w:hyperlink>
    </w:p>
    <w:p w14:paraId="47741F23" w14:textId="68343BD5" w:rsidR="00D67DC9" w:rsidRDefault="00D67DC9">
      <w:pPr>
        <w:pStyle w:val="Obsah3"/>
        <w:tabs>
          <w:tab w:val="left" w:pos="144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1" w:history="1">
        <w:r w:rsidRPr="00AD5E43">
          <w:rPr>
            <w:rStyle w:val="Hypertextovodkaz"/>
            <w:rFonts w:eastAsiaTheme="majorEastAsia"/>
            <w:noProof/>
          </w:rPr>
          <w:t>3.1.10</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studia v cizím jazyce</w:t>
        </w:r>
        <w:r>
          <w:rPr>
            <w:noProof/>
            <w:webHidden/>
          </w:rPr>
          <w:tab/>
        </w:r>
        <w:r>
          <w:rPr>
            <w:noProof/>
            <w:webHidden/>
          </w:rPr>
          <w:fldChar w:fldCharType="begin"/>
        </w:r>
        <w:r>
          <w:rPr>
            <w:noProof/>
            <w:webHidden/>
          </w:rPr>
          <w:instrText xml:space="preserve"> PAGEREF _Toc228824331 \h </w:instrText>
        </w:r>
        <w:r>
          <w:rPr>
            <w:noProof/>
            <w:webHidden/>
          </w:rPr>
        </w:r>
        <w:r>
          <w:rPr>
            <w:noProof/>
            <w:webHidden/>
          </w:rPr>
          <w:fldChar w:fldCharType="separate"/>
        </w:r>
        <w:r>
          <w:rPr>
            <w:noProof/>
            <w:webHidden/>
          </w:rPr>
          <w:t>11</w:t>
        </w:r>
        <w:r>
          <w:rPr>
            <w:noProof/>
            <w:webHidden/>
          </w:rPr>
          <w:fldChar w:fldCharType="end"/>
        </w:r>
      </w:hyperlink>
    </w:p>
    <w:p w14:paraId="4CDB4AFF" w14:textId="077B1F40" w:rsidR="00D67DC9" w:rsidRDefault="00D67DC9">
      <w:pPr>
        <w:pStyle w:val="Obsah3"/>
        <w:tabs>
          <w:tab w:val="left" w:pos="144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2" w:history="1">
        <w:r w:rsidRPr="00AD5E43">
          <w:rPr>
            <w:rStyle w:val="Hypertextovodkaz"/>
            <w:rFonts w:eastAsiaTheme="majorEastAsia"/>
            <w:noProof/>
          </w:rPr>
          <w:t>3.1.11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cizinci</w:t>
        </w:r>
        <w:r>
          <w:rPr>
            <w:noProof/>
            <w:webHidden/>
          </w:rPr>
          <w:tab/>
        </w:r>
        <w:r>
          <w:rPr>
            <w:noProof/>
            <w:webHidden/>
          </w:rPr>
          <w:fldChar w:fldCharType="begin"/>
        </w:r>
        <w:r>
          <w:rPr>
            <w:noProof/>
            <w:webHidden/>
          </w:rPr>
          <w:instrText xml:space="preserve"> PAGEREF _Toc228824332 \h </w:instrText>
        </w:r>
        <w:r>
          <w:rPr>
            <w:noProof/>
            <w:webHidden/>
          </w:rPr>
        </w:r>
        <w:r>
          <w:rPr>
            <w:noProof/>
            <w:webHidden/>
          </w:rPr>
          <w:fldChar w:fldCharType="separate"/>
        </w:r>
        <w:r>
          <w:rPr>
            <w:noProof/>
            <w:webHidden/>
          </w:rPr>
          <w:t>11</w:t>
        </w:r>
        <w:r>
          <w:rPr>
            <w:noProof/>
            <w:webHidden/>
          </w:rPr>
          <w:fldChar w:fldCharType="end"/>
        </w:r>
      </w:hyperlink>
    </w:p>
    <w:p w14:paraId="13D8E4D8" w14:textId="265EDAAB"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33" w:history="1">
        <w:r w:rsidRPr="00AD5E43">
          <w:rPr>
            <w:rStyle w:val="Hypertextovodkaz"/>
            <w:rFonts w:eastAsiaTheme="majorEastAsia"/>
            <w:noProof/>
          </w:rPr>
          <w:t>3.2</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Indikátory pro rozdělení DKRVO</w:t>
        </w:r>
        <w:r>
          <w:rPr>
            <w:noProof/>
            <w:webHidden/>
          </w:rPr>
          <w:tab/>
        </w:r>
        <w:r>
          <w:rPr>
            <w:noProof/>
            <w:webHidden/>
          </w:rPr>
          <w:fldChar w:fldCharType="begin"/>
        </w:r>
        <w:r>
          <w:rPr>
            <w:noProof/>
            <w:webHidden/>
          </w:rPr>
          <w:instrText xml:space="preserve"> PAGEREF _Toc228824333 \h </w:instrText>
        </w:r>
        <w:r>
          <w:rPr>
            <w:noProof/>
            <w:webHidden/>
          </w:rPr>
        </w:r>
        <w:r>
          <w:rPr>
            <w:noProof/>
            <w:webHidden/>
          </w:rPr>
          <w:fldChar w:fldCharType="separate"/>
        </w:r>
        <w:r>
          <w:rPr>
            <w:noProof/>
            <w:webHidden/>
          </w:rPr>
          <w:t>12</w:t>
        </w:r>
        <w:r>
          <w:rPr>
            <w:noProof/>
            <w:webHidden/>
          </w:rPr>
          <w:fldChar w:fldCharType="end"/>
        </w:r>
      </w:hyperlink>
    </w:p>
    <w:p w14:paraId="02CFDB89" w14:textId="796D867A"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4" w:history="1">
        <w:r w:rsidRPr="00AD5E43">
          <w:rPr>
            <w:rStyle w:val="Hypertextovodkaz"/>
            <w:rFonts w:eastAsiaTheme="majorEastAsia"/>
            <w:noProof/>
          </w:rPr>
          <w:t>3.2.1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Počet pracovníků</w:t>
        </w:r>
        <w:r>
          <w:rPr>
            <w:noProof/>
            <w:webHidden/>
          </w:rPr>
          <w:tab/>
        </w:r>
        <w:r>
          <w:rPr>
            <w:noProof/>
            <w:webHidden/>
          </w:rPr>
          <w:fldChar w:fldCharType="begin"/>
        </w:r>
        <w:r>
          <w:rPr>
            <w:noProof/>
            <w:webHidden/>
          </w:rPr>
          <w:instrText xml:space="preserve"> PAGEREF _Toc228824334 \h </w:instrText>
        </w:r>
        <w:r>
          <w:rPr>
            <w:noProof/>
            <w:webHidden/>
          </w:rPr>
        </w:r>
        <w:r>
          <w:rPr>
            <w:noProof/>
            <w:webHidden/>
          </w:rPr>
          <w:fldChar w:fldCharType="separate"/>
        </w:r>
        <w:r>
          <w:rPr>
            <w:noProof/>
            <w:webHidden/>
          </w:rPr>
          <w:t>12</w:t>
        </w:r>
        <w:r>
          <w:rPr>
            <w:noProof/>
            <w:webHidden/>
          </w:rPr>
          <w:fldChar w:fldCharType="end"/>
        </w:r>
      </w:hyperlink>
    </w:p>
    <w:p w14:paraId="7B25B88F" w14:textId="48C69115"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5" w:history="1">
        <w:r w:rsidRPr="00AD5E43">
          <w:rPr>
            <w:rStyle w:val="Hypertextovodkaz"/>
            <w:rFonts w:eastAsiaTheme="majorEastAsia"/>
            <w:noProof/>
          </w:rPr>
          <w:t>3.2.2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DKRVO stabilizační</w:t>
        </w:r>
        <w:r>
          <w:rPr>
            <w:noProof/>
            <w:webHidden/>
          </w:rPr>
          <w:tab/>
        </w:r>
        <w:r>
          <w:rPr>
            <w:noProof/>
            <w:webHidden/>
          </w:rPr>
          <w:fldChar w:fldCharType="begin"/>
        </w:r>
        <w:r>
          <w:rPr>
            <w:noProof/>
            <w:webHidden/>
          </w:rPr>
          <w:instrText xml:space="preserve"> PAGEREF _Toc228824335 \h </w:instrText>
        </w:r>
        <w:r>
          <w:rPr>
            <w:noProof/>
            <w:webHidden/>
          </w:rPr>
        </w:r>
        <w:r>
          <w:rPr>
            <w:noProof/>
            <w:webHidden/>
          </w:rPr>
          <w:fldChar w:fldCharType="separate"/>
        </w:r>
        <w:r>
          <w:rPr>
            <w:noProof/>
            <w:webHidden/>
          </w:rPr>
          <w:t>12</w:t>
        </w:r>
        <w:r>
          <w:rPr>
            <w:noProof/>
            <w:webHidden/>
          </w:rPr>
          <w:fldChar w:fldCharType="end"/>
        </w:r>
      </w:hyperlink>
    </w:p>
    <w:p w14:paraId="71264314" w14:textId="3BA64A4D"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6" w:history="1">
        <w:r w:rsidRPr="00AD5E43">
          <w:rPr>
            <w:rStyle w:val="Hypertextovodkaz"/>
            <w:rFonts w:eastAsiaTheme="majorEastAsia"/>
            <w:noProof/>
          </w:rPr>
          <w:t>3.2.3</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citace</w:t>
        </w:r>
        <w:r>
          <w:rPr>
            <w:noProof/>
            <w:webHidden/>
          </w:rPr>
          <w:tab/>
        </w:r>
        <w:r>
          <w:rPr>
            <w:noProof/>
            <w:webHidden/>
          </w:rPr>
          <w:fldChar w:fldCharType="begin"/>
        </w:r>
        <w:r>
          <w:rPr>
            <w:noProof/>
            <w:webHidden/>
          </w:rPr>
          <w:instrText xml:space="preserve"> PAGEREF _Toc228824336 \h </w:instrText>
        </w:r>
        <w:r>
          <w:rPr>
            <w:noProof/>
            <w:webHidden/>
          </w:rPr>
        </w:r>
        <w:r>
          <w:rPr>
            <w:noProof/>
            <w:webHidden/>
          </w:rPr>
          <w:fldChar w:fldCharType="separate"/>
        </w:r>
        <w:r>
          <w:rPr>
            <w:noProof/>
            <w:webHidden/>
          </w:rPr>
          <w:t>14</w:t>
        </w:r>
        <w:r>
          <w:rPr>
            <w:noProof/>
            <w:webHidden/>
          </w:rPr>
          <w:fldChar w:fldCharType="end"/>
        </w:r>
      </w:hyperlink>
    </w:p>
    <w:p w14:paraId="63E85438" w14:textId="610BD852"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7" w:history="1">
        <w:r w:rsidRPr="00AD5E43">
          <w:rPr>
            <w:rStyle w:val="Hypertextovodkaz"/>
            <w:rFonts w:eastAsiaTheme="majorEastAsia"/>
            <w:noProof/>
          </w:rPr>
          <w:t>3.2.4</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výsledky projektů</w:t>
        </w:r>
        <w:r>
          <w:rPr>
            <w:noProof/>
            <w:webHidden/>
          </w:rPr>
          <w:tab/>
        </w:r>
        <w:r>
          <w:rPr>
            <w:noProof/>
            <w:webHidden/>
          </w:rPr>
          <w:fldChar w:fldCharType="begin"/>
        </w:r>
        <w:r>
          <w:rPr>
            <w:noProof/>
            <w:webHidden/>
          </w:rPr>
          <w:instrText xml:space="preserve"> PAGEREF _Toc228824337 \h </w:instrText>
        </w:r>
        <w:r>
          <w:rPr>
            <w:noProof/>
            <w:webHidden/>
          </w:rPr>
        </w:r>
        <w:r>
          <w:rPr>
            <w:noProof/>
            <w:webHidden/>
          </w:rPr>
          <w:fldChar w:fldCharType="separate"/>
        </w:r>
        <w:r>
          <w:rPr>
            <w:noProof/>
            <w:webHidden/>
          </w:rPr>
          <w:t>14</w:t>
        </w:r>
        <w:r>
          <w:rPr>
            <w:noProof/>
            <w:webHidden/>
          </w:rPr>
          <w:fldChar w:fldCharType="end"/>
        </w:r>
      </w:hyperlink>
    </w:p>
    <w:p w14:paraId="62F3CF38" w14:textId="4959A8D9"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8" w:history="1">
        <w:r w:rsidRPr="00AD5E43">
          <w:rPr>
            <w:rStyle w:val="Hypertextovodkaz"/>
            <w:rFonts w:eastAsiaTheme="majorEastAsia"/>
            <w:noProof/>
          </w:rPr>
          <w:t>3.2.5</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výsledky M1</w:t>
        </w:r>
        <w:r>
          <w:rPr>
            <w:noProof/>
            <w:webHidden/>
          </w:rPr>
          <w:tab/>
        </w:r>
        <w:r>
          <w:rPr>
            <w:noProof/>
            <w:webHidden/>
          </w:rPr>
          <w:fldChar w:fldCharType="begin"/>
        </w:r>
        <w:r>
          <w:rPr>
            <w:noProof/>
            <w:webHidden/>
          </w:rPr>
          <w:instrText xml:space="preserve"> PAGEREF _Toc228824338 \h </w:instrText>
        </w:r>
        <w:r>
          <w:rPr>
            <w:noProof/>
            <w:webHidden/>
          </w:rPr>
        </w:r>
        <w:r>
          <w:rPr>
            <w:noProof/>
            <w:webHidden/>
          </w:rPr>
          <w:fldChar w:fldCharType="separate"/>
        </w:r>
        <w:r>
          <w:rPr>
            <w:noProof/>
            <w:webHidden/>
          </w:rPr>
          <w:t>15</w:t>
        </w:r>
        <w:r>
          <w:rPr>
            <w:noProof/>
            <w:webHidden/>
          </w:rPr>
          <w:fldChar w:fldCharType="end"/>
        </w:r>
      </w:hyperlink>
    </w:p>
    <w:p w14:paraId="3E61803E" w14:textId="55D1F3DD"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39" w:history="1">
        <w:r w:rsidRPr="00AD5E43">
          <w:rPr>
            <w:rStyle w:val="Hypertextovodkaz"/>
            <w:rFonts w:eastAsiaTheme="majorEastAsia"/>
            <w:noProof/>
          </w:rPr>
          <w:t>3.2.6</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Indikátor DKRVO motivační</w:t>
        </w:r>
        <w:r>
          <w:rPr>
            <w:noProof/>
            <w:webHidden/>
          </w:rPr>
          <w:tab/>
        </w:r>
        <w:r>
          <w:rPr>
            <w:noProof/>
            <w:webHidden/>
          </w:rPr>
          <w:fldChar w:fldCharType="begin"/>
        </w:r>
        <w:r>
          <w:rPr>
            <w:noProof/>
            <w:webHidden/>
          </w:rPr>
          <w:instrText xml:space="preserve"> PAGEREF _Toc228824339 \h </w:instrText>
        </w:r>
        <w:r>
          <w:rPr>
            <w:noProof/>
            <w:webHidden/>
          </w:rPr>
        </w:r>
        <w:r>
          <w:rPr>
            <w:noProof/>
            <w:webHidden/>
          </w:rPr>
          <w:fldChar w:fldCharType="separate"/>
        </w:r>
        <w:r>
          <w:rPr>
            <w:noProof/>
            <w:webHidden/>
          </w:rPr>
          <w:t>15</w:t>
        </w:r>
        <w:r>
          <w:rPr>
            <w:noProof/>
            <w:webHidden/>
          </w:rPr>
          <w:fldChar w:fldCharType="end"/>
        </w:r>
      </w:hyperlink>
    </w:p>
    <w:p w14:paraId="3D81AFC1" w14:textId="7EFB6776"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40" w:history="1">
        <w:r w:rsidRPr="00AD5E43">
          <w:rPr>
            <w:rStyle w:val="Hypertextovodkaz"/>
            <w:rFonts w:eastAsiaTheme="majorEastAsia"/>
            <w:noProof/>
          </w:rPr>
          <w:t>3.3</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Indikátor pro rozdělení účelové podpory na SVV</w:t>
        </w:r>
        <w:r>
          <w:rPr>
            <w:noProof/>
            <w:webHidden/>
          </w:rPr>
          <w:tab/>
        </w:r>
        <w:r>
          <w:rPr>
            <w:noProof/>
            <w:webHidden/>
          </w:rPr>
          <w:fldChar w:fldCharType="begin"/>
        </w:r>
        <w:r>
          <w:rPr>
            <w:noProof/>
            <w:webHidden/>
          </w:rPr>
          <w:instrText xml:space="preserve"> PAGEREF _Toc228824340 \h </w:instrText>
        </w:r>
        <w:r>
          <w:rPr>
            <w:noProof/>
            <w:webHidden/>
          </w:rPr>
        </w:r>
        <w:r>
          <w:rPr>
            <w:noProof/>
            <w:webHidden/>
          </w:rPr>
          <w:fldChar w:fldCharType="separate"/>
        </w:r>
        <w:r>
          <w:rPr>
            <w:noProof/>
            <w:webHidden/>
          </w:rPr>
          <w:t>16</w:t>
        </w:r>
        <w:r>
          <w:rPr>
            <w:noProof/>
            <w:webHidden/>
          </w:rPr>
          <w:fldChar w:fldCharType="end"/>
        </w:r>
      </w:hyperlink>
    </w:p>
    <w:p w14:paraId="334041CD" w14:textId="2CBA5DF9"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41" w:history="1">
        <w:r w:rsidRPr="00AD5E43">
          <w:rPr>
            <w:rStyle w:val="Hypertextovodkaz"/>
            <w:rFonts w:eastAsiaTheme="majorEastAsia"/>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Interní rozdělení financí</w:t>
        </w:r>
        <w:r>
          <w:rPr>
            <w:noProof/>
            <w:webHidden/>
          </w:rPr>
          <w:tab/>
        </w:r>
        <w:r>
          <w:rPr>
            <w:noProof/>
            <w:webHidden/>
          </w:rPr>
          <w:fldChar w:fldCharType="begin"/>
        </w:r>
        <w:r>
          <w:rPr>
            <w:noProof/>
            <w:webHidden/>
          </w:rPr>
          <w:instrText xml:space="preserve"> PAGEREF _Toc228824341 \h </w:instrText>
        </w:r>
        <w:r>
          <w:rPr>
            <w:noProof/>
            <w:webHidden/>
          </w:rPr>
        </w:r>
        <w:r>
          <w:rPr>
            <w:noProof/>
            <w:webHidden/>
          </w:rPr>
          <w:fldChar w:fldCharType="separate"/>
        </w:r>
        <w:r>
          <w:rPr>
            <w:noProof/>
            <w:webHidden/>
          </w:rPr>
          <w:t>17</w:t>
        </w:r>
        <w:r>
          <w:rPr>
            <w:noProof/>
            <w:webHidden/>
          </w:rPr>
          <w:fldChar w:fldCharType="end"/>
        </w:r>
      </w:hyperlink>
    </w:p>
    <w:p w14:paraId="43292246" w14:textId="06641DF7"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42" w:history="1">
        <w:r w:rsidRPr="00AD5E43">
          <w:rPr>
            <w:rStyle w:val="Hypertextovodkaz"/>
            <w:rFonts w:eastAsiaTheme="majorEastAsia"/>
            <w:noProof/>
          </w:rPr>
          <w:t>4.1</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Rozdělení příspěvků a dotací na vzdělávací a tvůrčí činnost</w:t>
        </w:r>
        <w:r>
          <w:rPr>
            <w:noProof/>
            <w:webHidden/>
          </w:rPr>
          <w:tab/>
        </w:r>
        <w:r>
          <w:rPr>
            <w:noProof/>
            <w:webHidden/>
          </w:rPr>
          <w:fldChar w:fldCharType="begin"/>
        </w:r>
        <w:r>
          <w:rPr>
            <w:noProof/>
            <w:webHidden/>
          </w:rPr>
          <w:instrText xml:space="preserve"> PAGEREF _Toc228824342 \h </w:instrText>
        </w:r>
        <w:r>
          <w:rPr>
            <w:noProof/>
            <w:webHidden/>
          </w:rPr>
        </w:r>
        <w:r>
          <w:rPr>
            <w:noProof/>
            <w:webHidden/>
          </w:rPr>
          <w:fldChar w:fldCharType="separate"/>
        </w:r>
        <w:r>
          <w:rPr>
            <w:noProof/>
            <w:webHidden/>
          </w:rPr>
          <w:t>17</w:t>
        </w:r>
        <w:r>
          <w:rPr>
            <w:noProof/>
            <w:webHidden/>
          </w:rPr>
          <w:fldChar w:fldCharType="end"/>
        </w:r>
      </w:hyperlink>
    </w:p>
    <w:p w14:paraId="1C14B83D" w14:textId="70884972"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43" w:history="1">
        <w:r w:rsidRPr="00AD5E43">
          <w:rPr>
            <w:rStyle w:val="Hypertextovodkaz"/>
            <w:rFonts w:eastAsiaTheme="majorEastAsia"/>
            <w:noProof/>
          </w:rPr>
          <w:t>4.1.1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Rozdělení ukazatele A</w:t>
        </w:r>
        <w:r>
          <w:rPr>
            <w:noProof/>
            <w:webHidden/>
          </w:rPr>
          <w:tab/>
        </w:r>
        <w:r>
          <w:rPr>
            <w:noProof/>
            <w:webHidden/>
          </w:rPr>
          <w:fldChar w:fldCharType="begin"/>
        </w:r>
        <w:r>
          <w:rPr>
            <w:noProof/>
            <w:webHidden/>
          </w:rPr>
          <w:instrText xml:space="preserve"> PAGEREF _Toc228824343 \h </w:instrText>
        </w:r>
        <w:r>
          <w:rPr>
            <w:noProof/>
            <w:webHidden/>
          </w:rPr>
        </w:r>
        <w:r>
          <w:rPr>
            <w:noProof/>
            <w:webHidden/>
          </w:rPr>
          <w:fldChar w:fldCharType="separate"/>
        </w:r>
        <w:r>
          <w:rPr>
            <w:noProof/>
            <w:webHidden/>
          </w:rPr>
          <w:t>17</w:t>
        </w:r>
        <w:r>
          <w:rPr>
            <w:noProof/>
            <w:webHidden/>
          </w:rPr>
          <w:fldChar w:fldCharType="end"/>
        </w:r>
      </w:hyperlink>
    </w:p>
    <w:p w14:paraId="61ECC9B6" w14:textId="5B169CBB"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44" w:history="1">
        <w:r w:rsidRPr="00AD5E43">
          <w:rPr>
            <w:rStyle w:val="Hypertextovodkaz"/>
            <w:rFonts w:eastAsiaTheme="majorEastAsia"/>
            <w:noProof/>
          </w:rPr>
          <w:t>4.1.2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Rozdělení ukazatele K</w:t>
        </w:r>
        <w:r>
          <w:rPr>
            <w:noProof/>
            <w:webHidden/>
          </w:rPr>
          <w:tab/>
        </w:r>
        <w:r>
          <w:rPr>
            <w:noProof/>
            <w:webHidden/>
          </w:rPr>
          <w:fldChar w:fldCharType="begin"/>
        </w:r>
        <w:r>
          <w:rPr>
            <w:noProof/>
            <w:webHidden/>
          </w:rPr>
          <w:instrText xml:space="preserve"> PAGEREF _Toc228824344 \h </w:instrText>
        </w:r>
        <w:r>
          <w:rPr>
            <w:noProof/>
            <w:webHidden/>
          </w:rPr>
        </w:r>
        <w:r>
          <w:rPr>
            <w:noProof/>
            <w:webHidden/>
          </w:rPr>
          <w:fldChar w:fldCharType="separate"/>
        </w:r>
        <w:r>
          <w:rPr>
            <w:noProof/>
            <w:webHidden/>
          </w:rPr>
          <w:t>19</w:t>
        </w:r>
        <w:r>
          <w:rPr>
            <w:noProof/>
            <w:webHidden/>
          </w:rPr>
          <w:fldChar w:fldCharType="end"/>
        </w:r>
      </w:hyperlink>
    </w:p>
    <w:p w14:paraId="540324E1" w14:textId="2388A26C"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45" w:history="1">
        <w:r w:rsidRPr="00AD5E43">
          <w:rPr>
            <w:rStyle w:val="Hypertextovodkaz"/>
            <w:rFonts w:eastAsiaTheme="majorEastAsia"/>
            <w:noProof/>
          </w:rPr>
          <w:t>4.1.3</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Rozdělení ukazatele F</w:t>
        </w:r>
        <w:r>
          <w:rPr>
            <w:noProof/>
            <w:webHidden/>
          </w:rPr>
          <w:tab/>
        </w:r>
        <w:r>
          <w:rPr>
            <w:noProof/>
            <w:webHidden/>
          </w:rPr>
          <w:fldChar w:fldCharType="begin"/>
        </w:r>
        <w:r>
          <w:rPr>
            <w:noProof/>
            <w:webHidden/>
          </w:rPr>
          <w:instrText xml:space="preserve"> PAGEREF _Toc228824345 \h </w:instrText>
        </w:r>
        <w:r>
          <w:rPr>
            <w:noProof/>
            <w:webHidden/>
          </w:rPr>
        </w:r>
        <w:r>
          <w:rPr>
            <w:noProof/>
            <w:webHidden/>
          </w:rPr>
          <w:fldChar w:fldCharType="separate"/>
        </w:r>
        <w:r>
          <w:rPr>
            <w:noProof/>
            <w:webHidden/>
          </w:rPr>
          <w:t>20</w:t>
        </w:r>
        <w:r>
          <w:rPr>
            <w:noProof/>
            <w:webHidden/>
          </w:rPr>
          <w:fldChar w:fldCharType="end"/>
        </w:r>
      </w:hyperlink>
    </w:p>
    <w:p w14:paraId="17AABCCF" w14:textId="66CD8D57"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46" w:history="1">
        <w:r w:rsidRPr="00AD5E43">
          <w:rPr>
            <w:rStyle w:val="Hypertextovodkaz"/>
            <w:rFonts w:eastAsiaTheme="majorEastAsia"/>
            <w:noProof/>
          </w:rPr>
          <w:t>4.1.4</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Rozdělení ukazatele FUČ</w:t>
        </w:r>
        <w:r>
          <w:rPr>
            <w:noProof/>
            <w:webHidden/>
          </w:rPr>
          <w:tab/>
        </w:r>
        <w:r>
          <w:rPr>
            <w:noProof/>
            <w:webHidden/>
          </w:rPr>
          <w:fldChar w:fldCharType="begin"/>
        </w:r>
        <w:r>
          <w:rPr>
            <w:noProof/>
            <w:webHidden/>
          </w:rPr>
          <w:instrText xml:space="preserve"> PAGEREF _Toc228824346 \h </w:instrText>
        </w:r>
        <w:r>
          <w:rPr>
            <w:noProof/>
            <w:webHidden/>
          </w:rPr>
        </w:r>
        <w:r>
          <w:rPr>
            <w:noProof/>
            <w:webHidden/>
          </w:rPr>
          <w:fldChar w:fldCharType="separate"/>
        </w:r>
        <w:r>
          <w:rPr>
            <w:noProof/>
            <w:webHidden/>
          </w:rPr>
          <w:t>20</w:t>
        </w:r>
        <w:r>
          <w:rPr>
            <w:noProof/>
            <w:webHidden/>
          </w:rPr>
          <w:fldChar w:fldCharType="end"/>
        </w:r>
      </w:hyperlink>
    </w:p>
    <w:p w14:paraId="0C1A085A" w14:textId="7B180084"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47" w:history="1">
        <w:r w:rsidRPr="00AD5E43">
          <w:rPr>
            <w:rStyle w:val="Hypertextovodkaz"/>
            <w:rFonts w:eastAsiaTheme="majorEastAsia"/>
            <w:noProof/>
          </w:rPr>
          <w:t>4.2</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Rozdělení DKRVO</w:t>
        </w:r>
        <w:r>
          <w:rPr>
            <w:noProof/>
            <w:webHidden/>
          </w:rPr>
          <w:tab/>
        </w:r>
        <w:r>
          <w:rPr>
            <w:noProof/>
            <w:webHidden/>
          </w:rPr>
          <w:fldChar w:fldCharType="begin"/>
        </w:r>
        <w:r>
          <w:rPr>
            <w:noProof/>
            <w:webHidden/>
          </w:rPr>
          <w:instrText xml:space="preserve"> PAGEREF _Toc228824347 \h </w:instrText>
        </w:r>
        <w:r>
          <w:rPr>
            <w:noProof/>
            <w:webHidden/>
          </w:rPr>
        </w:r>
        <w:r>
          <w:rPr>
            <w:noProof/>
            <w:webHidden/>
          </w:rPr>
          <w:fldChar w:fldCharType="separate"/>
        </w:r>
        <w:r>
          <w:rPr>
            <w:noProof/>
            <w:webHidden/>
          </w:rPr>
          <w:t>20</w:t>
        </w:r>
        <w:r>
          <w:rPr>
            <w:noProof/>
            <w:webHidden/>
          </w:rPr>
          <w:fldChar w:fldCharType="end"/>
        </w:r>
      </w:hyperlink>
    </w:p>
    <w:p w14:paraId="5DBF0C2E" w14:textId="3172390E"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48" w:history="1">
        <w:r w:rsidRPr="00AD5E43">
          <w:rPr>
            <w:rStyle w:val="Hypertextovodkaz"/>
            <w:rFonts w:eastAsiaTheme="majorEastAsia"/>
            <w:noProof/>
          </w:rPr>
          <w:t>4.2.1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Rozdělení stabilizační složky DKRVO</w:t>
        </w:r>
        <w:r>
          <w:rPr>
            <w:noProof/>
            <w:webHidden/>
          </w:rPr>
          <w:tab/>
        </w:r>
        <w:r>
          <w:rPr>
            <w:noProof/>
            <w:webHidden/>
          </w:rPr>
          <w:fldChar w:fldCharType="begin"/>
        </w:r>
        <w:r>
          <w:rPr>
            <w:noProof/>
            <w:webHidden/>
          </w:rPr>
          <w:instrText xml:space="preserve"> PAGEREF _Toc228824348 \h </w:instrText>
        </w:r>
        <w:r>
          <w:rPr>
            <w:noProof/>
            <w:webHidden/>
          </w:rPr>
        </w:r>
        <w:r>
          <w:rPr>
            <w:noProof/>
            <w:webHidden/>
          </w:rPr>
          <w:fldChar w:fldCharType="separate"/>
        </w:r>
        <w:r>
          <w:rPr>
            <w:noProof/>
            <w:webHidden/>
          </w:rPr>
          <w:t>20</w:t>
        </w:r>
        <w:r>
          <w:rPr>
            <w:noProof/>
            <w:webHidden/>
          </w:rPr>
          <w:fldChar w:fldCharType="end"/>
        </w:r>
      </w:hyperlink>
    </w:p>
    <w:p w14:paraId="0543365A" w14:textId="543CED0E"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49" w:history="1">
        <w:r w:rsidRPr="00AD5E43">
          <w:rPr>
            <w:rStyle w:val="Hypertextovodkaz"/>
            <w:rFonts w:eastAsiaTheme="majorEastAsia"/>
            <w:noProof/>
          </w:rPr>
          <w:t>4.2.2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Rozdělení motivační složky DKRVO</w:t>
        </w:r>
        <w:r>
          <w:rPr>
            <w:noProof/>
            <w:webHidden/>
          </w:rPr>
          <w:tab/>
        </w:r>
        <w:r>
          <w:rPr>
            <w:noProof/>
            <w:webHidden/>
          </w:rPr>
          <w:fldChar w:fldCharType="begin"/>
        </w:r>
        <w:r>
          <w:rPr>
            <w:noProof/>
            <w:webHidden/>
          </w:rPr>
          <w:instrText xml:space="preserve"> PAGEREF _Toc228824349 \h </w:instrText>
        </w:r>
        <w:r>
          <w:rPr>
            <w:noProof/>
            <w:webHidden/>
          </w:rPr>
        </w:r>
        <w:r>
          <w:rPr>
            <w:noProof/>
            <w:webHidden/>
          </w:rPr>
          <w:fldChar w:fldCharType="separate"/>
        </w:r>
        <w:r>
          <w:rPr>
            <w:noProof/>
            <w:webHidden/>
          </w:rPr>
          <w:t>20</w:t>
        </w:r>
        <w:r>
          <w:rPr>
            <w:noProof/>
            <w:webHidden/>
          </w:rPr>
          <w:fldChar w:fldCharType="end"/>
        </w:r>
      </w:hyperlink>
    </w:p>
    <w:p w14:paraId="7E88D4E9" w14:textId="1A75E7F8"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50" w:history="1">
        <w:r w:rsidRPr="00AD5E43">
          <w:rPr>
            <w:rStyle w:val="Hypertextovodkaz"/>
            <w:rFonts w:eastAsiaTheme="majorEastAsia"/>
            <w:noProof/>
          </w:rPr>
          <w:t>4.3</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Rozdělení účelové podpory na SVV</w:t>
        </w:r>
        <w:r>
          <w:rPr>
            <w:noProof/>
            <w:webHidden/>
          </w:rPr>
          <w:tab/>
        </w:r>
        <w:r>
          <w:rPr>
            <w:noProof/>
            <w:webHidden/>
          </w:rPr>
          <w:fldChar w:fldCharType="begin"/>
        </w:r>
        <w:r>
          <w:rPr>
            <w:noProof/>
            <w:webHidden/>
          </w:rPr>
          <w:instrText xml:space="preserve"> PAGEREF _Toc228824350 \h </w:instrText>
        </w:r>
        <w:r>
          <w:rPr>
            <w:noProof/>
            <w:webHidden/>
          </w:rPr>
        </w:r>
        <w:r>
          <w:rPr>
            <w:noProof/>
            <w:webHidden/>
          </w:rPr>
          <w:fldChar w:fldCharType="separate"/>
        </w:r>
        <w:r>
          <w:rPr>
            <w:noProof/>
            <w:webHidden/>
          </w:rPr>
          <w:t>21</w:t>
        </w:r>
        <w:r>
          <w:rPr>
            <w:noProof/>
            <w:webHidden/>
          </w:rPr>
          <w:fldChar w:fldCharType="end"/>
        </w:r>
      </w:hyperlink>
    </w:p>
    <w:p w14:paraId="625CF404" w14:textId="1033A34E"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51" w:history="1">
        <w:r w:rsidRPr="00AD5E43">
          <w:rPr>
            <w:rStyle w:val="Hypertextovodkaz"/>
            <w:rFonts w:eastAsiaTheme="majorEastAsia"/>
            <w:noProof/>
          </w:rPr>
          <w:t>4.4</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Přehled interního rozdělení financí</w:t>
        </w:r>
        <w:r>
          <w:rPr>
            <w:noProof/>
            <w:webHidden/>
          </w:rPr>
          <w:tab/>
        </w:r>
        <w:r>
          <w:rPr>
            <w:noProof/>
            <w:webHidden/>
          </w:rPr>
          <w:fldChar w:fldCharType="begin"/>
        </w:r>
        <w:r>
          <w:rPr>
            <w:noProof/>
            <w:webHidden/>
          </w:rPr>
          <w:instrText xml:space="preserve"> PAGEREF _Toc228824351 \h </w:instrText>
        </w:r>
        <w:r>
          <w:rPr>
            <w:noProof/>
            <w:webHidden/>
          </w:rPr>
        </w:r>
        <w:r>
          <w:rPr>
            <w:noProof/>
            <w:webHidden/>
          </w:rPr>
          <w:fldChar w:fldCharType="separate"/>
        </w:r>
        <w:r>
          <w:rPr>
            <w:noProof/>
            <w:webHidden/>
          </w:rPr>
          <w:t>22</w:t>
        </w:r>
        <w:r>
          <w:rPr>
            <w:noProof/>
            <w:webHidden/>
          </w:rPr>
          <w:fldChar w:fldCharType="end"/>
        </w:r>
      </w:hyperlink>
    </w:p>
    <w:p w14:paraId="230A2395" w14:textId="09BDEB28"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52" w:history="1">
        <w:r w:rsidRPr="00AD5E43">
          <w:rPr>
            <w:rStyle w:val="Hypertextovodkaz"/>
            <w:rFonts w:eastAsiaTheme="majorEastAsia"/>
            <w:noProof/>
          </w:rPr>
          <w:t>4.5</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Přehled objemu ostatních výnosů roku 2025 započtených do výpočtu odvodů</w:t>
        </w:r>
        <w:r>
          <w:rPr>
            <w:noProof/>
            <w:webHidden/>
          </w:rPr>
          <w:tab/>
        </w:r>
        <w:r>
          <w:rPr>
            <w:noProof/>
            <w:webHidden/>
          </w:rPr>
          <w:fldChar w:fldCharType="begin"/>
        </w:r>
        <w:r>
          <w:rPr>
            <w:noProof/>
            <w:webHidden/>
          </w:rPr>
          <w:instrText xml:space="preserve"> PAGEREF _Toc228824352 \h </w:instrText>
        </w:r>
        <w:r>
          <w:rPr>
            <w:noProof/>
            <w:webHidden/>
          </w:rPr>
        </w:r>
        <w:r>
          <w:rPr>
            <w:noProof/>
            <w:webHidden/>
          </w:rPr>
          <w:fldChar w:fldCharType="separate"/>
        </w:r>
        <w:r>
          <w:rPr>
            <w:noProof/>
            <w:webHidden/>
          </w:rPr>
          <w:t>22</w:t>
        </w:r>
        <w:r>
          <w:rPr>
            <w:noProof/>
            <w:webHidden/>
          </w:rPr>
          <w:fldChar w:fldCharType="end"/>
        </w:r>
      </w:hyperlink>
    </w:p>
    <w:p w14:paraId="5703D4B5" w14:textId="68FA2A3B"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53" w:history="1">
        <w:r w:rsidRPr="00AD5E43">
          <w:rPr>
            <w:rStyle w:val="Hypertextovodkaz"/>
            <w:rFonts w:eastAsiaTheme="majorEastAsia"/>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Financování celouniverzitních aktivit</w:t>
        </w:r>
        <w:r>
          <w:rPr>
            <w:noProof/>
            <w:webHidden/>
          </w:rPr>
          <w:tab/>
        </w:r>
        <w:r>
          <w:rPr>
            <w:noProof/>
            <w:webHidden/>
          </w:rPr>
          <w:fldChar w:fldCharType="begin"/>
        </w:r>
        <w:r>
          <w:rPr>
            <w:noProof/>
            <w:webHidden/>
          </w:rPr>
          <w:instrText xml:space="preserve"> PAGEREF _Toc228824353 \h </w:instrText>
        </w:r>
        <w:r>
          <w:rPr>
            <w:noProof/>
            <w:webHidden/>
          </w:rPr>
        </w:r>
        <w:r>
          <w:rPr>
            <w:noProof/>
            <w:webHidden/>
          </w:rPr>
          <w:fldChar w:fldCharType="separate"/>
        </w:r>
        <w:r>
          <w:rPr>
            <w:noProof/>
            <w:webHidden/>
          </w:rPr>
          <w:t>24</w:t>
        </w:r>
        <w:r>
          <w:rPr>
            <w:noProof/>
            <w:webHidden/>
          </w:rPr>
          <w:fldChar w:fldCharType="end"/>
        </w:r>
      </w:hyperlink>
    </w:p>
    <w:p w14:paraId="49040BD4" w14:textId="238AF277"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54" w:history="1">
        <w:r w:rsidRPr="00AD5E43">
          <w:rPr>
            <w:rStyle w:val="Hypertextovodkaz"/>
            <w:rFonts w:eastAsiaTheme="majorEastAsia"/>
            <w:noProof/>
          </w:rPr>
          <w:t>5.1</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Prostředky na financování celouniverzitních aktivit</w:t>
        </w:r>
        <w:r>
          <w:rPr>
            <w:noProof/>
            <w:webHidden/>
          </w:rPr>
          <w:tab/>
        </w:r>
        <w:r>
          <w:rPr>
            <w:noProof/>
            <w:webHidden/>
          </w:rPr>
          <w:fldChar w:fldCharType="begin"/>
        </w:r>
        <w:r>
          <w:rPr>
            <w:noProof/>
            <w:webHidden/>
          </w:rPr>
          <w:instrText xml:space="preserve"> PAGEREF _Toc228824354 \h </w:instrText>
        </w:r>
        <w:r>
          <w:rPr>
            <w:noProof/>
            <w:webHidden/>
          </w:rPr>
        </w:r>
        <w:r>
          <w:rPr>
            <w:noProof/>
            <w:webHidden/>
          </w:rPr>
          <w:fldChar w:fldCharType="separate"/>
        </w:r>
        <w:r>
          <w:rPr>
            <w:noProof/>
            <w:webHidden/>
          </w:rPr>
          <w:t>24</w:t>
        </w:r>
        <w:r>
          <w:rPr>
            <w:noProof/>
            <w:webHidden/>
          </w:rPr>
          <w:fldChar w:fldCharType="end"/>
        </w:r>
      </w:hyperlink>
    </w:p>
    <w:p w14:paraId="3B46A952" w14:textId="0CD48605"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55" w:history="1">
        <w:r w:rsidRPr="00AD5E43">
          <w:rPr>
            <w:rStyle w:val="Hypertextovodkaz"/>
            <w:rFonts w:eastAsiaTheme="majorEastAsia"/>
            <w:noProof/>
          </w:rPr>
          <w:t>5.1.1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Prostředky na financování interních fondů</w:t>
        </w:r>
        <w:r>
          <w:rPr>
            <w:noProof/>
            <w:webHidden/>
          </w:rPr>
          <w:tab/>
        </w:r>
        <w:r>
          <w:rPr>
            <w:noProof/>
            <w:webHidden/>
          </w:rPr>
          <w:fldChar w:fldCharType="begin"/>
        </w:r>
        <w:r>
          <w:rPr>
            <w:noProof/>
            <w:webHidden/>
          </w:rPr>
          <w:instrText xml:space="preserve"> PAGEREF _Toc228824355 \h </w:instrText>
        </w:r>
        <w:r>
          <w:rPr>
            <w:noProof/>
            <w:webHidden/>
          </w:rPr>
        </w:r>
        <w:r>
          <w:rPr>
            <w:noProof/>
            <w:webHidden/>
          </w:rPr>
          <w:fldChar w:fldCharType="separate"/>
        </w:r>
        <w:r>
          <w:rPr>
            <w:noProof/>
            <w:webHidden/>
          </w:rPr>
          <w:t>24</w:t>
        </w:r>
        <w:r>
          <w:rPr>
            <w:noProof/>
            <w:webHidden/>
          </w:rPr>
          <w:fldChar w:fldCharType="end"/>
        </w:r>
      </w:hyperlink>
    </w:p>
    <w:p w14:paraId="20DA7872" w14:textId="5FAD44E0"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56" w:history="1">
        <w:r w:rsidRPr="00AD5E43">
          <w:rPr>
            <w:rStyle w:val="Hypertextovodkaz"/>
            <w:rFonts w:eastAsiaTheme="majorEastAsia"/>
            <w:noProof/>
          </w:rPr>
          <w:t>5.1.2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Prostředky na financování rektorátu</w:t>
        </w:r>
        <w:r>
          <w:rPr>
            <w:noProof/>
            <w:webHidden/>
          </w:rPr>
          <w:tab/>
        </w:r>
        <w:r>
          <w:rPr>
            <w:noProof/>
            <w:webHidden/>
          </w:rPr>
          <w:fldChar w:fldCharType="begin"/>
        </w:r>
        <w:r>
          <w:rPr>
            <w:noProof/>
            <w:webHidden/>
          </w:rPr>
          <w:instrText xml:space="preserve"> PAGEREF _Toc228824356 \h </w:instrText>
        </w:r>
        <w:r>
          <w:rPr>
            <w:noProof/>
            <w:webHidden/>
          </w:rPr>
        </w:r>
        <w:r>
          <w:rPr>
            <w:noProof/>
            <w:webHidden/>
          </w:rPr>
          <w:fldChar w:fldCharType="separate"/>
        </w:r>
        <w:r>
          <w:rPr>
            <w:noProof/>
            <w:webHidden/>
          </w:rPr>
          <w:t>25</w:t>
        </w:r>
        <w:r>
          <w:rPr>
            <w:noProof/>
            <w:webHidden/>
          </w:rPr>
          <w:fldChar w:fldCharType="end"/>
        </w:r>
      </w:hyperlink>
    </w:p>
    <w:p w14:paraId="784B7617" w14:textId="293702EF"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57" w:history="1">
        <w:r w:rsidRPr="00AD5E43">
          <w:rPr>
            <w:rStyle w:val="Hypertextovodkaz"/>
            <w:rFonts w:eastAsiaTheme="majorEastAsia"/>
            <w:noProof/>
          </w:rPr>
          <w:t>5.1.3</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Prostředky na financování informačních zdrojů</w:t>
        </w:r>
        <w:r>
          <w:rPr>
            <w:noProof/>
            <w:webHidden/>
          </w:rPr>
          <w:tab/>
        </w:r>
        <w:r>
          <w:rPr>
            <w:noProof/>
            <w:webHidden/>
          </w:rPr>
          <w:fldChar w:fldCharType="begin"/>
        </w:r>
        <w:r>
          <w:rPr>
            <w:noProof/>
            <w:webHidden/>
          </w:rPr>
          <w:instrText xml:space="preserve"> PAGEREF _Toc228824357 \h </w:instrText>
        </w:r>
        <w:r>
          <w:rPr>
            <w:noProof/>
            <w:webHidden/>
          </w:rPr>
        </w:r>
        <w:r>
          <w:rPr>
            <w:noProof/>
            <w:webHidden/>
          </w:rPr>
          <w:fldChar w:fldCharType="separate"/>
        </w:r>
        <w:r>
          <w:rPr>
            <w:noProof/>
            <w:webHidden/>
          </w:rPr>
          <w:t>25</w:t>
        </w:r>
        <w:r>
          <w:rPr>
            <w:noProof/>
            <w:webHidden/>
          </w:rPr>
          <w:fldChar w:fldCharType="end"/>
        </w:r>
      </w:hyperlink>
    </w:p>
    <w:p w14:paraId="01FE57E8" w14:textId="27FD6A7F"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58" w:history="1">
        <w:r w:rsidRPr="00AD5E43">
          <w:rPr>
            <w:rStyle w:val="Hypertextovodkaz"/>
            <w:rFonts w:eastAsiaTheme="majorEastAsia"/>
            <w:noProof/>
          </w:rPr>
          <w:t>5.1.4</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Prostředky na financování zdroje Stavební komise, celouniverzitní SZNN a celouniverzitní projekty</w:t>
        </w:r>
        <w:r>
          <w:rPr>
            <w:noProof/>
            <w:webHidden/>
          </w:rPr>
          <w:tab/>
        </w:r>
        <w:r>
          <w:rPr>
            <w:noProof/>
            <w:webHidden/>
          </w:rPr>
          <w:fldChar w:fldCharType="begin"/>
        </w:r>
        <w:r>
          <w:rPr>
            <w:noProof/>
            <w:webHidden/>
          </w:rPr>
          <w:instrText xml:space="preserve"> PAGEREF _Toc228824358 \h </w:instrText>
        </w:r>
        <w:r>
          <w:rPr>
            <w:noProof/>
            <w:webHidden/>
          </w:rPr>
        </w:r>
        <w:r>
          <w:rPr>
            <w:noProof/>
            <w:webHidden/>
          </w:rPr>
          <w:fldChar w:fldCharType="separate"/>
        </w:r>
        <w:r>
          <w:rPr>
            <w:noProof/>
            <w:webHidden/>
          </w:rPr>
          <w:t>26</w:t>
        </w:r>
        <w:r>
          <w:rPr>
            <w:noProof/>
            <w:webHidden/>
          </w:rPr>
          <w:fldChar w:fldCharType="end"/>
        </w:r>
      </w:hyperlink>
    </w:p>
    <w:p w14:paraId="157F0306" w14:textId="4305AF66"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59" w:history="1">
        <w:r w:rsidRPr="00AD5E43">
          <w:rPr>
            <w:rStyle w:val="Hypertextovodkaz"/>
            <w:rFonts w:eastAsiaTheme="majorEastAsia"/>
            <w:noProof/>
          </w:rPr>
          <w:t>5.2</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Odvody na financování celouniverzitních aktivit</w:t>
        </w:r>
        <w:r>
          <w:rPr>
            <w:noProof/>
            <w:webHidden/>
          </w:rPr>
          <w:tab/>
        </w:r>
        <w:r>
          <w:rPr>
            <w:noProof/>
            <w:webHidden/>
          </w:rPr>
          <w:fldChar w:fldCharType="begin"/>
        </w:r>
        <w:r>
          <w:rPr>
            <w:noProof/>
            <w:webHidden/>
          </w:rPr>
          <w:instrText xml:space="preserve"> PAGEREF _Toc228824359 \h </w:instrText>
        </w:r>
        <w:r>
          <w:rPr>
            <w:noProof/>
            <w:webHidden/>
          </w:rPr>
        </w:r>
        <w:r>
          <w:rPr>
            <w:noProof/>
            <w:webHidden/>
          </w:rPr>
          <w:fldChar w:fldCharType="separate"/>
        </w:r>
        <w:r>
          <w:rPr>
            <w:noProof/>
            <w:webHidden/>
          </w:rPr>
          <w:t>27</w:t>
        </w:r>
        <w:r>
          <w:rPr>
            <w:noProof/>
            <w:webHidden/>
          </w:rPr>
          <w:fldChar w:fldCharType="end"/>
        </w:r>
      </w:hyperlink>
    </w:p>
    <w:p w14:paraId="44A3C94F" w14:textId="0544F68C"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60" w:history="1">
        <w:r w:rsidRPr="00AD5E43">
          <w:rPr>
            <w:rStyle w:val="Hypertextovodkaz"/>
            <w:rFonts w:eastAsiaTheme="majorEastAsia"/>
            <w:noProof/>
          </w:rPr>
          <w:t>5.2.1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Odvody na financování interních fondů</w:t>
        </w:r>
        <w:r>
          <w:rPr>
            <w:noProof/>
            <w:webHidden/>
          </w:rPr>
          <w:tab/>
        </w:r>
        <w:r>
          <w:rPr>
            <w:noProof/>
            <w:webHidden/>
          </w:rPr>
          <w:fldChar w:fldCharType="begin"/>
        </w:r>
        <w:r>
          <w:rPr>
            <w:noProof/>
            <w:webHidden/>
          </w:rPr>
          <w:instrText xml:space="preserve"> PAGEREF _Toc228824360 \h </w:instrText>
        </w:r>
        <w:r>
          <w:rPr>
            <w:noProof/>
            <w:webHidden/>
          </w:rPr>
        </w:r>
        <w:r>
          <w:rPr>
            <w:noProof/>
            <w:webHidden/>
          </w:rPr>
          <w:fldChar w:fldCharType="separate"/>
        </w:r>
        <w:r>
          <w:rPr>
            <w:noProof/>
            <w:webHidden/>
          </w:rPr>
          <w:t>27</w:t>
        </w:r>
        <w:r>
          <w:rPr>
            <w:noProof/>
            <w:webHidden/>
          </w:rPr>
          <w:fldChar w:fldCharType="end"/>
        </w:r>
      </w:hyperlink>
    </w:p>
    <w:p w14:paraId="5A6EBB28" w14:textId="0C7CF5F6"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61" w:history="1">
        <w:r w:rsidRPr="00AD5E43">
          <w:rPr>
            <w:rStyle w:val="Hypertextovodkaz"/>
            <w:rFonts w:eastAsiaTheme="majorEastAsia"/>
            <w:noProof/>
          </w:rPr>
          <w:t>5.2.2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Odvody na financování informačních zdrojů</w:t>
        </w:r>
        <w:r>
          <w:rPr>
            <w:noProof/>
            <w:webHidden/>
          </w:rPr>
          <w:tab/>
        </w:r>
        <w:r>
          <w:rPr>
            <w:noProof/>
            <w:webHidden/>
          </w:rPr>
          <w:fldChar w:fldCharType="begin"/>
        </w:r>
        <w:r>
          <w:rPr>
            <w:noProof/>
            <w:webHidden/>
          </w:rPr>
          <w:instrText xml:space="preserve"> PAGEREF _Toc228824361 \h </w:instrText>
        </w:r>
        <w:r>
          <w:rPr>
            <w:noProof/>
            <w:webHidden/>
          </w:rPr>
        </w:r>
        <w:r>
          <w:rPr>
            <w:noProof/>
            <w:webHidden/>
          </w:rPr>
          <w:fldChar w:fldCharType="separate"/>
        </w:r>
        <w:r>
          <w:rPr>
            <w:noProof/>
            <w:webHidden/>
          </w:rPr>
          <w:t>27</w:t>
        </w:r>
        <w:r>
          <w:rPr>
            <w:noProof/>
            <w:webHidden/>
          </w:rPr>
          <w:fldChar w:fldCharType="end"/>
        </w:r>
      </w:hyperlink>
    </w:p>
    <w:p w14:paraId="650ED71A" w14:textId="32917160"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62" w:history="1">
        <w:r w:rsidRPr="00AD5E43">
          <w:rPr>
            <w:rStyle w:val="Hypertextovodkaz"/>
            <w:rFonts w:eastAsiaTheme="majorEastAsia"/>
            <w:noProof/>
          </w:rPr>
          <w:t>5.2.3</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Odvody na financování provozu rektorátu</w:t>
        </w:r>
        <w:r>
          <w:rPr>
            <w:noProof/>
            <w:webHidden/>
          </w:rPr>
          <w:tab/>
        </w:r>
        <w:r>
          <w:rPr>
            <w:noProof/>
            <w:webHidden/>
          </w:rPr>
          <w:fldChar w:fldCharType="begin"/>
        </w:r>
        <w:r>
          <w:rPr>
            <w:noProof/>
            <w:webHidden/>
          </w:rPr>
          <w:instrText xml:space="preserve"> PAGEREF _Toc228824362 \h </w:instrText>
        </w:r>
        <w:r>
          <w:rPr>
            <w:noProof/>
            <w:webHidden/>
          </w:rPr>
        </w:r>
        <w:r>
          <w:rPr>
            <w:noProof/>
            <w:webHidden/>
          </w:rPr>
          <w:fldChar w:fldCharType="separate"/>
        </w:r>
        <w:r>
          <w:rPr>
            <w:noProof/>
            <w:webHidden/>
          </w:rPr>
          <w:t>27</w:t>
        </w:r>
        <w:r>
          <w:rPr>
            <w:noProof/>
            <w:webHidden/>
          </w:rPr>
          <w:fldChar w:fldCharType="end"/>
        </w:r>
      </w:hyperlink>
    </w:p>
    <w:p w14:paraId="055EFE07" w14:textId="5E0D5745"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63" w:history="1">
        <w:r w:rsidRPr="00AD5E43">
          <w:rPr>
            <w:rStyle w:val="Hypertextovodkaz"/>
            <w:rFonts w:eastAsiaTheme="majorEastAsia"/>
            <w:noProof/>
          </w:rPr>
          <w:t>5.2.4</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Odvody na zdroje Stavební komise, celouniverzitní SZNN a celouniverzitní projekty</w:t>
        </w:r>
        <w:r>
          <w:rPr>
            <w:noProof/>
            <w:webHidden/>
          </w:rPr>
          <w:tab/>
        </w:r>
        <w:r>
          <w:rPr>
            <w:noProof/>
            <w:webHidden/>
          </w:rPr>
          <w:fldChar w:fldCharType="begin"/>
        </w:r>
        <w:r>
          <w:rPr>
            <w:noProof/>
            <w:webHidden/>
          </w:rPr>
          <w:instrText xml:space="preserve"> PAGEREF _Toc228824363 \h </w:instrText>
        </w:r>
        <w:r>
          <w:rPr>
            <w:noProof/>
            <w:webHidden/>
          </w:rPr>
        </w:r>
        <w:r>
          <w:rPr>
            <w:noProof/>
            <w:webHidden/>
          </w:rPr>
          <w:fldChar w:fldCharType="separate"/>
        </w:r>
        <w:r>
          <w:rPr>
            <w:noProof/>
            <w:webHidden/>
          </w:rPr>
          <w:t>27</w:t>
        </w:r>
        <w:r>
          <w:rPr>
            <w:noProof/>
            <w:webHidden/>
          </w:rPr>
          <w:fldChar w:fldCharType="end"/>
        </w:r>
      </w:hyperlink>
    </w:p>
    <w:p w14:paraId="28441681" w14:textId="000B6277"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64" w:history="1">
        <w:r w:rsidRPr="00AD5E43">
          <w:rPr>
            <w:rStyle w:val="Hypertextovodkaz"/>
            <w:rFonts w:eastAsiaTheme="majorEastAsia"/>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Čerpání finančních prostředků</w:t>
        </w:r>
        <w:r>
          <w:rPr>
            <w:noProof/>
            <w:webHidden/>
          </w:rPr>
          <w:tab/>
        </w:r>
        <w:r>
          <w:rPr>
            <w:noProof/>
            <w:webHidden/>
          </w:rPr>
          <w:fldChar w:fldCharType="begin"/>
        </w:r>
        <w:r>
          <w:rPr>
            <w:noProof/>
            <w:webHidden/>
          </w:rPr>
          <w:instrText xml:space="preserve"> PAGEREF _Toc228824364 \h </w:instrText>
        </w:r>
        <w:r>
          <w:rPr>
            <w:noProof/>
            <w:webHidden/>
          </w:rPr>
        </w:r>
        <w:r>
          <w:rPr>
            <w:noProof/>
            <w:webHidden/>
          </w:rPr>
          <w:fldChar w:fldCharType="separate"/>
        </w:r>
        <w:r>
          <w:rPr>
            <w:noProof/>
            <w:webHidden/>
          </w:rPr>
          <w:t>29</w:t>
        </w:r>
        <w:r>
          <w:rPr>
            <w:noProof/>
            <w:webHidden/>
          </w:rPr>
          <w:fldChar w:fldCharType="end"/>
        </w:r>
      </w:hyperlink>
    </w:p>
    <w:p w14:paraId="57202309" w14:textId="09944422"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65" w:history="1">
        <w:r w:rsidRPr="00AD5E43">
          <w:rPr>
            <w:rStyle w:val="Hypertextovodkaz"/>
            <w:rFonts w:eastAsiaTheme="majorEastAsia"/>
            <w:noProof/>
          </w:rPr>
          <w:t>6.1</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Počáteční nastavení financí ve fondech</w:t>
        </w:r>
        <w:r>
          <w:rPr>
            <w:noProof/>
            <w:webHidden/>
          </w:rPr>
          <w:tab/>
        </w:r>
        <w:r>
          <w:rPr>
            <w:noProof/>
            <w:webHidden/>
          </w:rPr>
          <w:fldChar w:fldCharType="begin"/>
        </w:r>
        <w:r>
          <w:rPr>
            <w:noProof/>
            <w:webHidden/>
          </w:rPr>
          <w:instrText xml:space="preserve"> PAGEREF _Toc228824365 \h </w:instrText>
        </w:r>
        <w:r>
          <w:rPr>
            <w:noProof/>
            <w:webHidden/>
          </w:rPr>
        </w:r>
        <w:r>
          <w:rPr>
            <w:noProof/>
            <w:webHidden/>
          </w:rPr>
          <w:fldChar w:fldCharType="separate"/>
        </w:r>
        <w:r>
          <w:rPr>
            <w:noProof/>
            <w:webHidden/>
          </w:rPr>
          <w:t>29</w:t>
        </w:r>
        <w:r>
          <w:rPr>
            <w:noProof/>
            <w:webHidden/>
          </w:rPr>
          <w:fldChar w:fldCharType="end"/>
        </w:r>
      </w:hyperlink>
    </w:p>
    <w:p w14:paraId="06ECF7C0" w14:textId="4B96A2DF"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66" w:history="1">
        <w:r w:rsidRPr="00AD5E43">
          <w:rPr>
            <w:rStyle w:val="Hypertextovodkaz"/>
            <w:rFonts w:eastAsiaTheme="majorEastAsia"/>
            <w:noProof/>
          </w:rPr>
          <w:t>6.1.1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Tvorba sociálního fondu</w:t>
        </w:r>
        <w:r>
          <w:rPr>
            <w:noProof/>
            <w:webHidden/>
          </w:rPr>
          <w:tab/>
        </w:r>
        <w:r>
          <w:rPr>
            <w:noProof/>
            <w:webHidden/>
          </w:rPr>
          <w:fldChar w:fldCharType="begin"/>
        </w:r>
        <w:r>
          <w:rPr>
            <w:noProof/>
            <w:webHidden/>
          </w:rPr>
          <w:instrText xml:space="preserve"> PAGEREF _Toc228824366 \h </w:instrText>
        </w:r>
        <w:r>
          <w:rPr>
            <w:noProof/>
            <w:webHidden/>
          </w:rPr>
        </w:r>
        <w:r>
          <w:rPr>
            <w:noProof/>
            <w:webHidden/>
          </w:rPr>
          <w:fldChar w:fldCharType="separate"/>
        </w:r>
        <w:r>
          <w:rPr>
            <w:noProof/>
            <w:webHidden/>
          </w:rPr>
          <w:t>29</w:t>
        </w:r>
        <w:r>
          <w:rPr>
            <w:noProof/>
            <w:webHidden/>
          </w:rPr>
          <w:fldChar w:fldCharType="end"/>
        </w:r>
      </w:hyperlink>
    </w:p>
    <w:p w14:paraId="4BE92E4E" w14:textId="43BD1C58"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67" w:history="1">
        <w:r w:rsidRPr="00AD5E43">
          <w:rPr>
            <w:rStyle w:val="Hypertextovodkaz"/>
            <w:rFonts w:eastAsiaTheme="majorEastAsia"/>
            <w:noProof/>
          </w:rPr>
          <w:t>6.2</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Čerpání DKRVO na organizačních jednotkách</w:t>
        </w:r>
        <w:r>
          <w:rPr>
            <w:noProof/>
            <w:webHidden/>
          </w:rPr>
          <w:tab/>
        </w:r>
        <w:r>
          <w:rPr>
            <w:noProof/>
            <w:webHidden/>
          </w:rPr>
          <w:fldChar w:fldCharType="begin"/>
        </w:r>
        <w:r>
          <w:rPr>
            <w:noProof/>
            <w:webHidden/>
          </w:rPr>
          <w:instrText xml:space="preserve"> PAGEREF _Toc228824367 \h </w:instrText>
        </w:r>
        <w:r>
          <w:rPr>
            <w:noProof/>
            <w:webHidden/>
          </w:rPr>
        </w:r>
        <w:r>
          <w:rPr>
            <w:noProof/>
            <w:webHidden/>
          </w:rPr>
          <w:fldChar w:fldCharType="separate"/>
        </w:r>
        <w:r>
          <w:rPr>
            <w:noProof/>
            <w:webHidden/>
          </w:rPr>
          <w:t>30</w:t>
        </w:r>
        <w:r>
          <w:rPr>
            <w:noProof/>
            <w:webHidden/>
          </w:rPr>
          <w:fldChar w:fldCharType="end"/>
        </w:r>
      </w:hyperlink>
    </w:p>
    <w:p w14:paraId="4BA250F5" w14:textId="02FE4DCA"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68" w:history="1">
        <w:r w:rsidRPr="00AD5E43">
          <w:rPr>
            <w:rStyle w:val="Hypertextovodkaz"/>
            <w:rFonts w:eastAsiaTheme="majorEastAsia"/>
            <w:noProof/>
          </w:rPr>
          <w:t>6.3</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Čerpání prostředků na dlouhodobý majetek součástí</w:t>
        </w:r>
        <w:r>
          <w:rPr>
            <w:noProof/>
            <w:webHidden/>
          </w:rPr>
          <w:tab/>
        </w:r>
        <w:r>
          <w:rPr>
            <w:noProof/>
            <w:webHidden/>
          </w:rPr>
          <w:fldChar w:fldCharType="begin"/>
        </w:r>
        <w:r>
          <w:rPr>
            <w:noProof/>
            <w:webHidden/>
          </w:rPr>
          <w:instrText xml:space="preserve"> PAGEREF _Toc228824368 \h </w:instrText>
        </w:r>
        <w:r>
          <w:rPr>
            <w:noProof/>
            <w:webHidden/>
          </w:rPr>
        </w:r>
        <w:r>
          <w:rPr>
            <w:noProof/>
            <w:webHidden/>
          </w:rPr>
          <w:fldChar w:fldCharType="separate"/>
        </w:r>
        <w:r>
          <w:rPr>
            <w:noProof/>
            <w:webHidden/>
          </w:rPr>
          <w:t>30</w:t>
        </w:r>
        <w:r>
          <w:rPr>
            <w:noProof/>
            <w:webHidden/>
          </w:rPr>
          <w:fldChar w:fldCharType="end"/>
        </w:r>
      </w:hyperlink>
    </w:p>
    <w:p w14:paraId="2D08B30D" w14:textId="63DE7076"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69" w:history="1">
        <w:r w:rsidRPr="00AD5E43">
          <w:rPr>
            <w:rStyle w:val="Hypertextovodkaz"/>
            <w:rFonts w:eastAsiaTheme="majorEastAsia"/>
            <w:noProof/>
          </w:rPr>
          <w:t>6.4</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Investiční prostředky</w:t>
        </w:r>
        <w:r>
          <w:rPr>
            <w:noProof/>
            <w:webHidden/>
          </w:rPr>
          <w:tab/>
        </w:r>
        <w:r>
          <w:rPr>
            <w:noProof/>
            <w:webHidden/>
          </w:rPr>
          <w:fldChar w:fldCharType="begin"/>
        </w:r>
        <w:r>
          <w:rPr>
            <w:noProof/>
            <w:webHidden/>
          </w:rPr>
          <w:instrText xml:space="preserve"> PAGEREF _Toc228824369 \h </w:instrText>
        </w:r>
        <w:r>
          <w:rPr>
            <w:noProof/>
            <w:webHidden/>
          </w:rPr>
        </w:r>
        <w:r>
          <w:rPr>
            <w:noProof/>
            <w:webHidden/>
          </w:rPr>
          <w:fldChar w:fldCharType="separate"/>
        </w:r>
        <w:r>
          <w:rPr>
            <w:noProof/>
            <w:webHidden/>
          </w:rPr>
          <w:t>31</w:t>
        </w:r>
        <w:r>
          <w:rPr>
            <w:noProof/>
            <w:webHidden/>
          </w:rPr>
          <w:fldChar w:fldCharType="end"/>
        </w:r>
      </w:hyperlink>
    </w:p>
    <w:p w14:paraId="41C9D0B7" w14:textId="30328483"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70" w:history="1">
        <w:r w:rsidRPr="00AD5E43">
          <w:rPr>
            <w:rStyle w:val="Hypertextovodkaz"/>
            <w:rFonts w:eastAsiaTheme="majorEastAsia"/>
            <w:noProof/>
          </w:rPr>
          <w:t>6.5</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Finanční rezervy</w:t>
        </w:r>
        <w:r>
          <w:rPr>
            <w:noProof/>
            <w:webHidden/>
          </w:rPr>
          <w:tab/>
        </w:r>
        <w:r>
          <w:rPr>
            <w:noProof/>
            <w:webHidden/>
          </w:rPr>
          <w:fldChar w:fldCharType="begin"/>
        </w:r>
        <w:r>
          <w:rPr>
            <w:noProof/>
            <w:webHidden/>
          </w:rPr>
          <w:instrText xml:space="preserve"> PAGEREF _Toc228824370 \h </w:instrText>
        </w:r>
        <w:r>
          <w:rPr>
            <w:noProof/>
            <w:webHidden/>
          </w:rPr>
        </w:r>
        <w:r>
          <w:rPr>
            <w:noProof/>
            <w:webHidden/>
          </w:rPr>
          <w:fldChar w:fldCharType="separate"/>
        </w:r>
        <w:r>
          <w:rPr>
            <w:noProof/>
            <w:webHidden/>
          </w:rPr>
          <w:t>31</w:t>
        </w:r>
        <w:r>
          <w:rPr>
            <w:noProof/>
            <w:webHidden/>
          </w:rPr>
          <w:fldChar w:fldCharType="end"/>
        </w:r>
      </w:hyperlink>
    </w:p>
    <w:p w14:paraId="7658D1E5" w14:textId="66BFA6D7"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71" w:history="1">
        <w:r w:rsidRPr="00AD5E43">
          <w:rPr>
            <w:rStyle w:val="Hypertextovodkaz"/>
            <w:rFonts w:eastAsiaTheme="majorEastAsia"/>
            <w:noProof/>
          </w:rPr>
          <w:t>6.5.1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Rezervní fond</w:t>
        </w:r>
        <w:r>
          <w:rPr>
            <w:noProof/>
            <w:webHidden/>
          </w:rPr>
          <w:tab/>
        </w:r>
        <w:r>
          <w:rPr>
            <w:noProof/>
            <w:webHidden/>
          </w:rPr>
          <w:fldChar w:fldCharType="begin"/>
        </w:r>
        <w:r>
          <w:rPr>
            <w:noProof/>
            <w:webHidden/>
          </w:rPr>
          <w:instrText xml:space="preserve"> PAGEREF _Toc228824371 \h </w:instrText>
        </w:r>
        <w:r>
          <w:rPr>
            <w:noProof/>
            <w:webHidden/>
          </w:rPr>
        </w:r>
        <w:r>
          <w:rPr>
            <w:noProof/>
            <w:webHidden/>
          </w:rPr>
          <w:fldChar w:fldCharType="separate"/>
        </w:r>
        <w:r>
          <w:rPr>
            <w:noProof/>
            <w:webHidden/>
          </w:rPr>
          <w:t>32</w:t>
        </w:r>
        <w:r>
          <w:rPr>
            <w:noProof/>
            <w:webHidden/>
          </w:rPr>
          <w:fldChar w:fldCharType="end"/>
        </w:r>
      </w:hyperlink>
    </w:p>
    <w:p w14:paraId="48794117" w14:textId="2FF24F04"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72" w:history="1">
        <w:r w:rsidRPr="00AD5E43">
          <w:rPr>
            <w:rStyle w:val="Hypertextovodkaz"/>
            <w:rFonts w:eastAsiaTheme="majorEastAsia"/>
            <w:noProof/>
          </w:rPr>
          <w:t>6.5.2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Fond finanční rezervy</w:t>
        </w:r>
        <w:r>
          <w:rPr>
            <w:noProof/>
            <w:webHidden/>
          </w:rPr>
          <w:tab/>
        </w:r>
        <w:r>
          <w:rPr>
            <w:noProof/>
            <w:webHidden/>
          </w:rPr>
          <w:fldChar w:fldCharType="begin"/>
        </w:r>
        <w:r>
          <w:rPr>
            <w:noProof/>
            <w:webHidden/>
          </w:rPr>
          <w:instrText xml:space="preserve"> PAGEREF _Toc228824372 \h </w:instrText>
        </w:r>
        <w:r>
          <w:rPr>
            <w:noProof/>
            <w:webHidden/>
          </w:rPr>
        </w:r>
        <w:r>
          <w:rPr>
            <w:noProof/>
            <w:webHidden/>
          </w:rPr>
          <w:fldChar w:fldCharType="separate"/>
        </w:r>
        <w:r>
          <w:rPr>
            <w:noProof/>
            <w:webHidden/>
          </w:rPr>
          <w:t>32</w:t>
        </w:r>
        <w:r>
          <w:rPr>
            <w:noProof/>
            <w:webHidden/>
          </w:rPr>
          <w:fldChar w:fldCharType="end"/>
        </w:r>
      </w:hyperlink>
    </w:p>
    <w:p w14:paraId="6EC2F5C8" w14:textId="68D95A54"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73" w:history="1">
        <w:r w:rsidRPr="00AD5E43">
          <w:rPr>
            <w:rStyle w:val="Hypertextovodkaz"/>
            <w:rFonts w:eastAsiaTheme="majorEastAsia"/>
            <w:noProof/>
          </w:rPr>
          <w:t>6.6</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Čerpání dispozičního fondu</w:t>
        </w:r>
        <w:r>
          <w:rPr>
            <w:noProof/>
            <w:webHidden/>
          </w:rPr>
          <w:tab/>
        </w:r>
        <w:r>
          <w:rPr>
            <w:noProof/>
            <w:webHidden/>
          </w:rPr>
          <w:fldChar w:fldCharType="begin"/>
        </w:r>
        <w:r>
          <w:rPr>
            <w:noProof/>
            <w:webHidden/>
          </w:rPr>
          <w:instrText xml:space="preserve"> PAGEREF _Toc228824373 \h </w:instrText>
        </w:r>
        <w:r>
          <w:rPr>
            <w:noProof/>
            <w:webHidden/>
          </w:rPr>
        </w:r>
        <w:r>
          <w:rPr>
            <w:noProof/>
            <w:webHidden/>
          </w:rPr>
          <w:fldChar w:fldCharType="separate"/>
        </w:r>
        <w:r>
          <w:rPr>
            <w:noProof/>
            <w:webHidden/>
          </w:rPr>
          <w:t>32</w:t>
        </w:r>
        <w:r>
          <w:rPr>
            <w:noProof/>
            <w:webHidden/>
          </w:rPr>
          <w:fldChar w:fldCharType="end"/>
        </w:r>
      </w:hyperlink>
    </w:p>
    <w:p w14:paraId="485BDF1C" w14:textId="2EEB96DD"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74" w:history="1">
        <w:r w:rsidRPr="00AD5E43">
          <w:rPr>
            <w:rStyle w:val="Hypertextovodkaz"/>
            <w:rFonts w:eastAsiaTheme="majorEastAsia"/>
            <w:noProof/>
          </w:rPr>
          <w:t>6.6.1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Příspěvek na financování ÚTV</w:t>
        </w:r>
        <w:r>
          <w:rPr>
            <w:noProof/>
            <w:webHidden/>
          </w:rPr>
          <w:tab/>
        </w:r>
        <w:r>
          <w:rPr>
            <w:noProof/>
            <w:webHidden/>
          </w:rPr>
          <w:fldChar w:fldCharType="begin"/>
        </w:r>
        <w:r>
          <w:rPr>
            <w:noProof/>
            <w:webHidden/>
          </w:rPr>
          <w:instrText xml:space="preserve"> PAGEREF _Toc228824374 \h </w:instrText>
        </w:r>
        <w:r>
          <w:rPr>
            <w:noProof/>
            <w:webHidden/>
          </w:rPr>
        </w:r>
        <w:r>
          <w:rPr>
            <w:noProof/>
            <w:webHidden/>
          </w:rPr>
          <w:fldChar w:fldCharType="separate"/>
        </w:r>
        <w:r>
          <w:rPr>
            <w:noProof/>
            <w:webHidden/>
          </w:rPr>
          <w:t>32</w:t>
        </w:r>
        <w:r>
          <w:rPr>
            <w:noProof/>
            <w:webHidden/>
          </w:rPr>
          <w:fldChar w:fldCharType="end"/>
        </w:r>
      </w:hyperlink>
    </w:p>
    <w:p w14:paraId="078B0CEB" w14:textId="79EA16B6"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75" w:history="1">
        <w:r w:rsidRPr="00AD5E43">
          <w:rPr>
            <w:rStyle w:val="Hypertextovodkaz"/>
            <w:rFonts w:eastAsiaTheme="majorEastAsia"/>
            <w:noProof/>
          </w:rPr>
          <w:t>6.6.2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Příspěvek na financování UMŠ</w:t>
        </w:r>
        <w:r>
          <w:rPr>
            <w:noProof/>
            <w:webHidden/>
          </w:rPr>
          <w:tab/>
        </w:r>
        <w:r>
          <w:rPr>
            <w:noProof/>
            <w:webHidden/>
          </w:rPr>
          <w:fldChar w:fldCharType="begin"/>
        </w:r>
        <w:r>
          <w:rPr>
            <w:noProof/>
            <w:webHidden/>
          </w:rPr>
          <w:instrText xml:space="preserve"> PAGEREF _Toc228824375 \h </w:instrText>
        </w:r>
        <w:r>
          <w:rPr>
            <w:noProof/>
            <w:webHidden/>
          </w:rPr>
        </w:r>
        <w:r>
          <w:rPr>
            <w:noProof/>
            <w:webHidden/>
          </w:rPr>
          <w:fldChar w:fldCharType="separate"/>
        </w:r>
        <w:r>
          <w:rPr>
            <w:noProof/>
            <w:webHidden/>
          </w:rPr>
          <w:t>33</w:t>
        </w:r>
        <w:r>
          <w:rPr>
            <w:noProof/>
            <w:webHidden/>
          </w:rPr>
          <w:fldChar w:fldCharType="end"/>
        </w:r>
      </w:hyperlink>
    </w:p>
    <w:p w14:paraId="7C7B3B61" w14:textId="66C91F50"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76" w:history="1">
        <w:r w:rsidRPr="00AD5E43">
          <w:rPr>
            <w:rStyle w:val="Hypertextovodkaz"/>
            <w:rFonts w:eastAsiaTheme="majorEastAsia"/>
            <w:noProof/>
          </w:rPr>
          <w:t>6.6.3</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Příspěvek na financování CTT</w:t>
        </w:r>
        <w:r>
          <w:rPr>
            <w:noProof/>
            <w:webHidden/>
          </w:rPr>
          <w:tab/>
        </w:r>
        <w:r>
          <w:rPr>
            <w:noProof/>
            <w:webHidden/>
          </w:rPr>
          <w:fldChar w:fldCharType="begin"/>
        </w:r>
        <w:r>
          <w:rPr>
            <w:noProof/>
            <w:webHidden/>
          </w:rPr>
          <w:instrText xml:space="preserve"> PAGEREF _Toc228824376 \h </w:instrText>
        </w:r>
        <w:r>
          <w:rPr>
            <w:noProof/>
            <w:webHidden/>
          </w:rPr>
        </w:r>
        <w:r>
          <w:rPr>
            <w:noProof/>
            <w:webHidden/>
          </w:rPr>
          <w:fldChar w:fldCharType="separate"/>
        </w:r>
        <w:r>
          <w:rPr>
            <w:noProof/>
            <w:webHidden/>
          </w:rPr>
          <w:t>33</w:t>
        </w:r>
        <w:r>
          <w:rPr>
            <w:noProof/>
            <w:webHidden/>
          </w:rPr>
          <w:fldChar w:fldCharType="end"/>
        </w:r>
      </w:hyperlink>
    </w:p>
    <w:p w14:paraId="1EA1F84B" w14:textId="755AD25A"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77" w:history="1">
        <w:r w:rsidRPr="00AD5E43">
          <w:rPr>
            <w:rStyle w:val="Hypertextovodkaz"/>
            <w:rFonts w:eastAsiaTheme="majorEastAsia"/>
            <w:noProof/>
          </w:rPr>
          <w:t>6.6.4</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Příspěvek na Univerzitní digitální studio</w:t>
        </w:r>
        <w:r>
          <w:rPr>
            <w:noProof/>
            <w:webHidden/>
          </w:rPr>
          <w:tab/>
        </w:r>
        <w:r>
          <w:rPr>
            <w:noProof/>
            <w:webHidden/>
          </w:rPr>
          <w:fldChar w:fldCharType="begin"/>
        </w:r>
        <w:r>
          <w:rPr>
            <w:noProof/>
            <w:webHidden/>
          </w:rPr>
          <w:instrText xml:space="preserve"> PAGEREF _Toc228824377 \h </w:instrText>
        </w:r>
        <w:r>
          <w:rPr>
            <w:noProof/>
            <w:webHidden/>
          </w:rPr>
        </w:r>
        <w:r>
          <w:rPr>
            <w:noProof/>
            <w:webHidden/>
          </w:rPr>
          <w:fldChar w:fldCharType="separate"/>
        </w:r>
        <w:r>
          <w:rPr>
            <w:noProof/>
            <w:webHidden/>
          </w:rPr>
          <w:t>33</w:t>
        </w:r>
        <w:r>
          <w:rPr>
            <w:noProof/>
            <w:webHidden/>
          </w:rPr>
          <w:fldChar w:fldCharType="end"/>
        </w:r>
      </w:hyperlink>
    </w:p>
    <w:p w14:paraId="46BF190E" w14:textId="40A661DA"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78" w:history="1">
        <w:r w:rsidRPr="00AD5E43">
          <w:rPr>
            <w:rStyle w:val="Hypertextovodkaz"/>
            <w:rFonts w:eastAsiaTheme="majorEastAsia"/>
            <w:noProof/>
          </w:rPr>
          <w:t>6.7</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Čerpání fondu strategického rozvoje</w:t>
        </w:r>
        <w:r>
          <w:rPr>
            <w:noProof/>
            <w:webHidden/>
          </w:rPr>
          <w:tab/>
        </w:r>
        <w:r>
          <w:rPr>
            <w:noProof/>
            <w:webHidden/>
          </w:rPr>
          <w:fldChar w:fldCharType="begin"/>
        </w:r>
        <w:r>
          <w:rPr>
            <w:noProof/>
            <w:webHidden/>
          </w:rPr>
          <w:instrText xml:space="preserve"> PAGEREF _Toc228824378 \h </w:instrText>
        </w:r>
        <w:r>
          <w:rPr>
            <w:noProof/>
            <w:webHidden/>
          </w:rPr>
        </w:r>
        <w:r>
          <w:rPr>
            <w:noProof/>
            <w:webHidden/>
          </w:rPr>
          <w:fldChar w:fldCharType="separate"/>
        </w:r>
        <w:r>
          <w:rPr>
            <w:noProof/>
            <w:webHidden/>
          </w:rPr>
          <w:t>33</w:t>
        </w:r>
        <w:r>
          <w:rPr>
            <w:noProof/>
            <w:webHidden/>
          </w:rPr>
          <w:fldChar w:fldCharType="end"/>
        </w:r>
      </w:hyperlink>
    </w:p>
    <w:p w14:paraId="2C3116B0" w14:textId="33E24173" w:rsidR="00D67DC9" w:rsidRDefault="00D67DC9">
      <w:pPr>
        <w:pStyle w:val="Obsah2"/>
        <w:tabs>
          <w:tab w:val="left" w:pos="960"/>
          <w:tab w:val="right" w:leader="dot" w:pos="9062"/>
        </w:tabs>
        <w:rPr>
          <w:rFonts w:asciiTheme="minorHAnsi" w:eastAsiaTheme="minorEastAsia" w:hAnsiTheme="minorHAnsi" w:cstheme="minorBidi"/>
          <w:smallCaps w:val="0"/>
          <w:noProof/>
          <w:kern w:val="2"/>
          <w:sz w:val="24"/>
          <w:szCs w:val="24"/>
          <w:lang w:eastAsia="cs-CZ"/>
          <w14:ligatures w14:val="standardContextual"/>
        </w:rPr>
      </w:pPr>
      <w:hyperlink w:anchor="_Toc228824379" w:history="1">
        <w:r w:rsidRPr="00AD5E43">
          <w:rPr>
            <w:rStyle w:val="Hypertextovodkaz"/>
            <w:rFonts w:eastAsiaTheme="majorEastAsia"/>
            <w:noProof/>
          </w:rPr>
          <w:t>6.8</w:t>
        </w:r>
        <w:r>
          <w:rPr>
            <w:rFonts w:asciiTheme="minorHAnsi" w:eastAsiaTheme="minorEastAsia" w:hAnsiTheme="minorHAnsi" w:cstheme="minorBidi"/>
            <w:smallCaps w:val="0"/>
            <w:noProof/>
            <w:kern w:val="2"/>
            <w:sz w:val="24"/>
            <w:szCs w:val="24"/>
            <w:lang w:eastAsia="cs-CZ"/>
            <w14:ligatures w14:val="standardContextual"/>
          </w:rPr>
          <w:tab/>
        </w:r>
        <w:r w:rsidRPr="00AD5E43">
          <w:rPr>
            <w:rStyle w:val="Hypertextovodkaz"/>
            <w:rFonts w:eastAsiaTheme="majorEastAsia"/>
            <w:noProof/>
          </w:rPr>
          <w:t>Čerpání zdrojů pro Stavební komisi, celouniverzitní SZNN a celouniverzitní projekty</w:t>
        </w:r>
        <w:r>
          <w:rPr>
            <w:noProof/>
            <w:webHidden/>
          </w:rPr>
          <w:tab/>
        </w:r>
        <w:r>
          <w:rPr>
            <w:noProof/>
            <w:webHidden/>
          </w:rPr>
          <w:fldChar w:fldCharType="begin"/>
        </w:r>
        <w:r>
          <w:rPr>
            <w:noProof/>
            <w:webHidden/>
          </w:rPr>
          <w:instrText xml:space="preserve"> PAGEREF _Toc228824379 \h </w:instrText>
        </w:r>
        <w:r>
          <w:rPr>
            <w:noProof/>
            <w:webHidden/>
          </w:rPr>
        </w:r>
        <w:r>
          <w:rPr>
            <w:noProof/>
            <w:webHidden/>
          </w:rPr>
          <w:fldChar w:fldCharType="separate"/>
        </w:r>
        <w:r>
          <w:rPr>
            <w:noProof/>
            <w:webHidden/>
          </w:rPr>
          <w:t>33</w:t>
        </w:r>
        <w:r>
          <w:rPr>
            <w:noProof/>
            <w:webHidden/>
          </w:rPr>
          <w:fldChar w:fldCharType="end"/>
        </w:r>
      </w:hyperlink>
    </w:p>
    <w:p w14:paraId="7240274A" w14:textId="32538340"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80" w:history="1">
        <w:r w:rsidRPr="00AD5E43">
          <w:rPr>
            <w:rStyle w:val="Hypertextovodkaz"/>
            <w:rFonts w:eastAsiaTheme="majorEastAsia"/>
            <w:noProof/>
          </w:rPr>
          <w:t>6.8.1</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Financování akcí Stavební komise</w:t>
        </w:r>
        <w:r>
          <w:rPr>
            <w:noProof/>
            <w:webHidden/>
          </w:rPr>
          <w:tab/>
        </w:r>
        <w:r>
          <w:rPr>
            <w:noProof/>
            <w:webHidden/>
          </w:rPr>
          <w:fldChar w:fldCharType="begin"/>
        </w:r>
        <w:r>
          <w:rPr>
            <w:noProof/>
            <w:webHidden/>
          </w:rPr>
          <w:instrText xml:space="preserve"> PAGEREF _Toc228824380 \h </w:instrText>
        </w:r>
        <w:r>
          <w:rPr>
            <w:noProof/>
            <w:webHidden/>
          </w:rPr>
        </w:r>
        <w:r>
          <w:rPr>
            <w:noProof/>
            <w:webHidden/>
          </w:rPr>
          <w:fldChar w:fldCharType="separate"/>
        </w:r>
        <w:r>
          <w:rPr>
            <w:noProof/>
            <w:webHidden/>
          </w:rPr>
          <w:t>33</w:t>
        </w:r>
        <w:r>
          <w:rPr>
            <w:noProof/>
            <w:webHidden/>
          </w:rPr>
          <w:fldChar w:fldCharType="end"/>
        </w:r>
      </w:hyperlink>
    </w:p>
    <w:p w14:paraId="22303B6B" w14:textId="302941D0" w:rsidR="00D67DC9" w:rsidRDefault="00D67DC9">
      <w:pPr>
        <w:pStyle w:val="Obsah3"/>
        <w:tabs>
          <w:tab w:val="left" w:pos="1200"/>
          <w:tab w:val="right" w:leader="dot" w:pos="9062"/>
        </w:tabs>
        <w:rPr>
          <w:rFonts w:asciiTheme="minorHAnsi" w:eastAsiaTheme="minorEastAsia" w:hAnsiTheme="minorHAnsi" w:cstheme="minorBidi"/>
          <w:i w:val="0"/>
          <w:iCs w:val="0"/>
          <w:noProof/>
          <w:kern w:val="2"/>
          <w:sz w:val="24"/>
          <w:szCs w:val="24"/>
          <w:lang w:eastAsia="cs-CZ"/>
          <w14:ligatures w14:val="standardContextual"/>
        </w:rPr>
      </w:pPr>
      <w:hyperlink w:anchor="_Toc228824381" w:history="1">
        <w:r w:rsidRPr="00AD5E43">
          <w:rPr>
            <w:rStyle w:val="Hypertextovodkaz"/>
            <w:rFonts w:eastAsiaTheme="majorEastAsia"/>
            <w:noProof/>
          </w:rPr>
          <w:t>6.8.2</w:t>
        </w:r>
        <w:r>
          <w:rPr>
            <w:rFonts w:asciiTheme="minorHAnsi" w:eastAsiaTheme="minorEastAsia" w:hAnsiTheme="minorHAnsi" w:cstheme="minorBidi"/>
            <w:i w:val="0"/>
            <w:iCs w:val="0"/>
            <w:noProof/>
            <w:kern w:val="2"/>
            <w:sz w:val="24"/>
            <w:szCs w:val="24"/>
            <w:lang w:eastAsia="cs-CZ"/>
            <w14:ligatures w14:val="standardContextual"/>
          </w:rPr>
          <w:tab/>
        </w:r>
        <w:r w:rsidRPr="00AD5E43">
          <w:rPr>
            <w:rStyle w:val="Hypertextovodkaz"/>
            <w:rFonts w:eastAsiaTheme="majorEastAsia"/>
            <w:noProof/>
          </w:rPr>
          <w:t>Novostavba objektu U1</w:t>
        </w:r>
        <w:r>
          <w:rPr>
            <w:noProof/>
            <w:webHidden/>
          </w:rPr>
          <w:tab/>
        </w:r>
        <w:r>
          <w:rPr>
            <w:noProof/>
            <w:webHidden/>
          </w:rPr>
          <w:fldChar w:fldCharType="begin"/>
        </w:r>
        <w:r>
          <w:rPr>
            <w:noProof/>
            <w:webHidden/>
          </w:rPr>
          <w:instrText xml:space="preserve"> PAGEREF _Toc228824381 \h </w:instrText>
        </w:r>
        <w:r>
          <w:rPr>
            <w:noProof/>
            <w:webHidden/>
          </w:rPr>
        </w:r>
        <w:r>
          <w:rPr>
            <w:noProof/>
            <w:webHidden/>
          </w:rPr>
          <w:fldChar w:fldCharType="separate"/>
        </w:r>
        <w:r>
          <w:rPr>
            <w:noProof/>
            <w:webHidden/>
          </w:rPr>
          <w:t>34</w:t>
        </w:r>
        <w:r>
          <w:rPr>
            <w:noProof/>
            <w:webHidden/>
          </w:rPr>
          <w:fldChar w:fldCharType="end"/>
        </w:r>
      </w:hyperlink>
    </w:p>
    <w:p w14:paraId="2F644353" w14:textId="445C1C11"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82" w:history="1">
        <w:r w:rsidRPr="00AD5E43">
          <w:rPr>
            <w:rStyle w:val="Hypertextovodkaz"/>
            <w:rFonts w:eastAsiaTheme="majorEastAsia"/>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Další mzda</w:t>
        </w:r>
        <w:r>
          <w:rPr>
            <w:noProof/>
            <w:webHidden/>
          </w:rPr>
          <w:tab/>
        </w:r>
        <w:r>
          <w:rPr>
            <w:noProof/>
            <w:webHidden/>
          </w:rPr>
          <w:fldChar w:fldCharType="begin"/>
        </w:r>
        <w:r>
          <w:rPr>
            <w:noProof/>
            <w:webHidden/>
          </w:rPr>
          <w:instrText xml:space="preserve"> PAGEREF _Toc228824382 \h </w:instrText>
        </w:r>
        <w:r>
          <w:rPr>
            <w:noProof/>
            <w:webHidden/>
          </w:rPr>
        </w:r>
        <w:r>
          <w:rPr>
            <w:noProof/>
            <w:webHidden/>
          </w:rPr>
          <w:fldChar w:fldCharType="separate"/>
        </w:r>
        <w:r>
          <w:rPr>
            <w:noProof/>
            <w:webHidden/>
          </w:rPr>
          <w:t>36</w:t>
        </w:r>
        <w:r>
          <w:rPr>
            <w:noProof/>
            <w:webHidden/>
          </w:rPr>
          <w:fldChar w:fldCharType="end"/>
        </w:r>
      </w:hyperlink>
    </w:p>
    <w:p w14:paraId="34779D9F" w14:textId="4BF7FBE8"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83" w:history="1">
        <w:r w:rsidRPr="00AD5E43">
          <w:rPr>
            <w:rStyle w:val="Hypertextovodkaz"/>
            <w:rFonts w:eastAsiaTheme="majorEastAsia"/>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Regulační opatření</w:t>
        </w:r>
        <w:r>
          <w:rPr>
            <w:noProof/>
            <w:webHidden/>
          </w:rPr>
          <w:tab/>
        </w:r>
        <w:r>
          <w:rPr>
            <w:noProof/>
            <w:webHidden/>
          </w:rPr>
          <w:fldChar w:fldCharType="begin"/>
        </w:r>
        <w:r>
          <w:rPr>
            <w:noProof/>
            <w:webHidden/>
          </w:rPr>
          <w:instrText xml:space="preserve"> PAGEREF _Toc228824383 \h </w:instrText>
        </w:r>
        <w:r>
          <w:rPr>
            <w:noProof/>
            <w:webHidden/>
          </w:rPr>
        </w:r>
        <w:r>
          <w:rPr>
            <w:noProof/>
            <w:webHidden/>
          </w:rPr>
          <w:fldChar w:fldCharType="separate"/>
        </w:r>
        <w:r>
          <w:rPr>
            <w:noProof/>
            <w:webHidden/>
          </w:rPr>
          <w:t>37</w:t>
        </w:r>
        <w:r>
          <w:rPr>
            <w:noProof/>
            <w:webHidden/>
          </w:rPr>
          <w:fldChar w:fldCharType="end"/>
        </w:r>
      </w:hyperlink>
    </w:p>
    <w:p w14:paraId="6BE6A7C3" w14:textId="0C114D39"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84" w:history="1">
        <w:r w:rsidRPr="00AD5E43">
          <w:rPr>
            <w:rStyle w:val="Hypertextovodkaz"/>
            <w:rFonts w:eastAsiaTheme="majorEastAsia"/>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Shrnutí disponibilních prostředků</w:t>
        </w:r>
        <w:r>
          <w:rPr>
            <w:noProof/>
            <w:webHidden/>
          </w:rPr>
          <w:tab/>
        </w:r>
        <w:r>
          <w:rPr>
            <w:noProof/>
            <w:webHidden/>
          </w:rPr>
          <w:fldChar w:fldCharType="begin"/>
        </w:r>
        <w:r>
          <w:rPr>
            <w:noProof/>
            <w:webHidden/>
          </w:rPr>
          <w:instrText xml:space="preserve"> PAGEREF _Toc228824384 \h </w:instrText>
        </w:r>
        <w:r>
          <w:rPr>
            <w:noProof/>
            <w:webHidden/>
          </w:rPr>
        </w:r>
        <w:r>
          <w:rPr>
            <w:noProof/>
            <w:webHidden/>
          </w:rPr>
          <w:fldChar w:fldCharType="separate"/>
        </w:r>
        <w:r>
          <w:rPr>
            <w:noProof/>
            <w:webHidden/>
          </w:rPr>
          <w:t>38</w:t>
        </w:r>
        <w:r>
          <w:rPr>
            <w:noProof/>
            <w:webHidden/>
          </w:rPr>
          <w:fldChar w:fldCharType="end"/>
        </w:r>
      </w:hyperlink>
    </w:p>
    <w:p w14:paraId="0ABEDD3A" w14:textId="49E40977"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85" w:history="1">
        <w:r w:rsidRPr="00AD5E43">
          <w:rPr>
            <w:rStyle w:val="Hypertextovodkaz"/>
            <w:rFonts w:eastAsiaTheme="majorEastAsia"/>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Financování akcí Stavební komise v roce 2026</w:t>
        </w:r>
        <w:r>
          <w:rPr>
            <w:noProof/>
            <w:webHidden/>
          </w:rPr>
          <w:tab/>
        </w:r>
        <w:r>
          <w:rPr>
            <w:noProof/>
            <w:webHidden/>
          </w:rPr>
          <w:fldChar w:fldCharType="begin"/>
        </w:r>
        <w:r>
          <w:rPr>
            <w:noProof/>
            <w:webHidden/>
          </w:rPr>
          <w:instrText xml:space="preserve"> PAGEREF _Toc228824385 \h </w:instrText>
        </w:r>
        <w:r>
          <w:rPr>
            <w:noProof/>
            <w:webHidden/>
          </w:rPr>
        </w:r>
        <w:r>
          <w:rPr>
            <w:noProof/>
            <w:webHidden/>
          </w:rPr>
          <w:fldChar w:fldCharType="separate"/>
        </w:r>
        <w:r>
          <w:rPr>
            <w:noProof/>
            <w:webHidden/>
          </w:rPr>
          <w:t>39</w:t>
        </w:r>
        <w:r>
          <w:rPr>
            <w:noProof/>
            <w:webHidden/>
          </w:rPr>
          <w:fldChar w:fldCharType="end"/>
        </w:r>
      </w:hyperlink>
    </w:p>
    <w:p w14:paraId="5739B76F" w14:textId="172D1BBE" w:rsidR="00D67DC9" w:rsidRDefault="00D67DC9">
      <w:pPr>
        <w:pStyle w:val="Obsah1"/>
        <w:tabs>
          <w:tab w:val="left" w:pos="480"/>
          <w:tab w:val="right" w:leader="dot" w:pos="9062"/>
        </w:tabs>
        <w:rPr>
          <w:rFonts w:asciiTheme="minorHAnsi" w:eastAsiaTheme="minorEastAsia" w:hAnsiTheme="minorHAnsi" w:cstheme="minorBidi"/>
          <w:b w:val="0"/>
          <w:bCs w:val="0"/>
          <w:caps w:val="0"/>
          <w:noProof/>
          <w:kern w:val="2"/>
          <w:sz w:val="24"/>
          <w:szCs w:val="24"/>
          <w:lang w:eastAsia="cs-CZ"/>
          <w14:ligatures w14:val="standardContextual"/>
        </w:rPr>
      </w:pPr>
      <w:hyperlink w:anchor="_Toc228824386" w:history="1">
        <w:r w:rsidRPr="00AD5E43">
          <w:rPr>
            <w:rStyle w:val="Hypertextovodkaz"/>
            <w:rFonts w:eastAsiaTheme="majorEastAsia"/>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sidRPr="00AD5E43">
          <w:rPr>
            <w:rStyle w:val="Hypertextovodkaz"/>
            <w:rFonts w:eastAsiaTheme="majorEastAsia"/>
            <w:noProof/>
          </w:rPr>
          <w:t>Seznam zkratek</w:t>
        </w:r>
        <w:r>
          <w:rPr>
            <w:noProof/>
            <w:webHidden/>
          </w:rPr>
          <w:tab/>
        </w:r>
        <w:r>
          <w:rPr>
            <w:noProof/>
            <w:webHidden/>
          </w:rPr>
          <w:fldChar w:fldCharType="begin"/>
        </w:r>
        <w:r>
          <w:rPr>
            <w:noProof/>
            <w:webHidden/>
          </w:rPr>
          <w:instrText xml:space="preserve"> PAGEREF _Toc228824386 \h </w:instrText>
        </w:r>
        <w:r>
          <w:rPr>
            <w:noProof/>
            <w:webHidden/>
          </w:rPr>
        </w:r>
        <w:r>
          <w:rPr>
            <w:noProof/>
            <w:webHidden/>
          </w:rPr>
          <w:fldChar w:fldCharType="separate"/>
        </w:r>
        <w:r>
          <w:rPr>
            <w:noProof/>
            <w:webHidden/>
          </w:rPr>
          <w:t>42</w:t>
        </w:r>
        <w:r>
          <w:rPr>
            <w:noProof/>
            <w:webHidden/>
          </w:rPr>
          <w:fldChar w:fldCharType="end"/>
        </w:r>
      </w:hyperlink>
    </w:p>
    <w:p w14:paraId="20EB0E92" w14:textId="5C3F1475" w:rsidR="00461B03" w:rsidRDefault="009F7EAF" w:rsidP="00461B03">
      <w:r>
        <w:fldChar w:fldCharType="end"/>
      </w:r>
    </w:p>
    <w:p w14:paraId="749ABFCB" w14:textId="77777777" w:rsidR="00461B03" w:rsidRDefault="008810DD" w:rsidP="00875F2C">
      <w:pPr>
        <w:pStyle w:val="RozpocetNadpis1"/>
      </w:pPr>
      <w:bookmarkStart w:id="0" w:name="_Toc228824316"/>
      <w:r>
        <w:lastRenderedPageBreak/>
        <w:t>Úvod</w:t>
      </w:r>
      <w:bookmarkEnd w:id="0"/>
    </w:p>
    <w:p w14:paraId="6FBCB6E5" w14:textId="0C398E9F" w:rsidR="009659D8" w:rsidRDefault="009659D8" w:rsidP="009659D8">
      <w:pPr>
        <w:pStyle w:val="RozpocetOdstavec"/>
      </w:pPr>
      <w:r w:rsidRPr="00875F2C">
        <w:t xml:space="preserve">Základním finančním zdrojem </w:t>
      </w:r>
      <w:r>
        <w:t>Univerzity Tomáše Bati ve Zlíně (dále jen „</w:t>
      </w:r>
      <w:r w:rsidRPr="00875F2C">
        <w:t>UTB</w:t>
      </w:r>
      <w:r>
        <w:t>“)</w:t>
      </w:r>
      <w:r w:rsidRPr="00875F2C">
        <w:t xml:space="preserve"> pro rok 202</w:t>
      </w:r>
      <w:r w:rsidR="00956BC6">
        <w:t>6</w:t>
      </w:r>
      <w:r w:rsidRPr="00875F2C">
        <w:t xml:space="preserve"> jsou investiční (kapitálové) a neinvestiční příspěvky a dotace ze státního rozpočtu.</w:t>
      </w:r>
      <w:r>
        <w:t xml:space="preserve"> Významnou část těchto zdrojů rozděluje </w:t>
      </w:r>
      <w:bookmarkStart w:id="1" w:name="_Hlk160994167"/>
      <w:r>
        <w:t>Ministerstvo školství, mládeže a tělovýchovy (dále jen „MŠMT“) mezi veřejné vysoké školy (dále jen „VVŠ</w:t>
      </w:r>
      <w:bookmarkEnd w:id="1"/>
      <w:r>
        <w:t>“) podle těchto dokumentů:</w:t>
      </w:r>
    </w:p>
    <w:p w14:paraId="35C15B9D" w14:textId="77777777" w:rsidR="009659D8" w:rsidRDefault="009659D8" w:rsidP="00AE2A47">
      <w:pPr>
        <w:pStyle w:val="Odstavecseseznamem"/>
        <w:numPr>
          <w:ilvl w:val="0"/>
          <w:numId w:val="2"/>
        </w:numPr>
        <w:jc w:val="both"/>
      </w:pPr>
      <w:r>
        <w:t>Pravidla pro poskytování příspěvku a dotací veřejným vysokým školám Ministerstvem školství, mládeže a tělovýchovy (dále jen „Pravidla poskytování příspěvků a dotací“),</w:t>
      </w:r>
    </w:p>
    <w:p w14:paraId="55E46994" w14:textId="77777777" w:rsidR="009659D8" w:rsidRDefault="009659D8" w:rsidP="00AE2A47">
      <w:pPr>
        <w:pStyle w:val="Odstavecseseznamem"/>
        <w:numPr>
          <w:ilvl w:val="0"/>
          <w:numId w:val="2"/>
        </w:numPr>
        <w:jc w:val="both"/>
      </w:pPr>
      <w:r>
        <w:t xml:space="preserve">Pravidla poskytování institucionální podpory na </w:t>
      </w:r>
      <w:bookmarkStart w:id="2" w:name="_Hlk160994257"/>
      <w:r>
        <w:t>dlouhodobý koncepční rozvoj výzkumné organizace</w:t>
      </w:r>
      <w:bookmarkEnd w:id="2"/>
      <w:r>
        <w:t xml:space="preserve"> v segmentu vysokých škol v působnosti Ministerstva školství, mládeže a tělovýchovy na léta 2021 až 2025 (dále jen „Pravidla poskytování DKRVO“),</w:t>
      </w:r>
    </w:p>
    <w:p w14:paraId="36B340E9" w14:textId="77777777" w:rsidR="009659D8" w:rsidRDefault="009659D8" w:rsidP="00AE2A47">
      <w:pPr>
        <w:pStyle w:val="Odstavecseseznamem"/>
        <w:numPr>
          <w:ilvl w:val="0"/>
          <w:numId w:val="2"/>
        </w:numPr>
        <w:jc w:val="both"/>
      </w:pPr>
      <w:r>
        <w:t xml:space="preserve">Pravidla pro poskytování účelové podpory na </w:t>
      </w:r>
      <w:bookmarkStart w:id="3" w:name="_Hlk160994232"/>
      <w:r>
        <w:t xml:space="preserve">specifický vysokoškolský výzkum </w:t>
      </w:r>
      <w:bookmarkEnd w:id="3"/>
      <w:r>
        <w:t xml:space="preserve">(dále </w:t>
      </w:r>
      <w:r w:rsidR="0026194B">
        <w:br/>
      </w:r>
      <w:r>
        <w:t>jen „Pravidla poskytování SVV“).</w:t>
      </w:r>
    </w:p>
    <w:p w14:paraId="15CE04F0" w14:textId="77777777" w:rsidR="009659D8" w:rsidRDefault="009659D8" w:rsidP="00C66B73">
      <w:pPr>
        <w:pStyle w:val="RozpocetOdstavec"/>
      </w:pPr>
    </w:p>
    <w:p w14:paraId="1BA019F2" w14:textId="25635404" w:rsidR="004E0304" w:rsidRDefault="008810DD" w:rsidP="00C66B73">
      <w:pPr>
        <w:pStyle w:val="RozpocetOdstavec"/>
      </w:pPr>
      <w:r>
        <w:t xml:space="preserve">Rozpis rozpočtu </w:t>
      </w:r>
      <w:r w:rsidR="009659D8">
        <w:t>UTB</w:t>
      </w:r>
      <w:r>
        <w:t xml:space="preserve"> na rok 202</w:t>
      </w:r>
      <w:r w:rsidR="00956BC6">
        <w:t>6</w:t>
      </w:r>
      <w:r>
        <w:t xml:space="preserve"> (dále jen „Rozpis rozpočtu“) vychází z dokumentu Pravidla rozpočtu </w:t>
      </w:r>
      <w:r w:rsidR="009659D8">
        <w:t>UTB</w:t>
      </w:r>
      <w:r>
        <w:t xml:space="preserve"> pro rok </w:t>
      </w:r>
      <w:r w:rsidR="006A5B54">
        <w:t>202</w:t>
      </w:r>
      <w:r w:rsidR="00574827">
        <w:t xml:space="preserve">6 </w:t>
      </w:r>
      <w:r>
        <w:t xml:space="preserve">(dále jen „Pravidla rozpočtu“) schváleného </w:t>
      </w:r>
      <w:bookmarkStart w:id="4" w:name="_Hlk160994310"/>
      <w:r>
        <w:t xml:space="preserve">Akademickým senátem </w:t>
      </w:r>
      <w:r w:rsidR="009659D8">
        <w:t>UTB</w:t>
      </w:r>
      <w:r>
        <w:t xml:space="preserve"> (dále jen „AS UTB“) dne </w:t>
      </w:r>
      <w:r w:rsidR="00956BC6">
        <w:t>1</w:t>
      </w:r>
      <w:r w:rsidR="00574827">
        <w:t>3</w:t>
      </w:r>
      <w:r w:rsidR="00956BC6">
        <w:t>.01.2026</w:t>
      </w:r>
      <w:r>
        <w:t>. Tento dokument obsahuje:</w:t>
      </w:r>
    </w:p>
    <w:bookmarkEnd w:id="4"/>
    <w:p w14:paraId="68101993" w14:textId="77777777" w:rsidR="008810DD" w:rsidRDefault="008810DD" w:rsidP="00AE2A47">
      <w:pPr>
        <w:pStyle w:val="RozpocetOdstavec"/>
        <w:numPr>
          <w:ilvl w:val="0"/>
          <w:numId w:val="10"/>
        </w:numPr>
      </w:pPr>
      <w:r>
        <w:t>definice a pojmy,</w:t>
      </w:r>
    </w:p>
    <w:p w14:paraId="4CB2133D" w14:textId="77777777" w:rsidR="008810DD" w:rsidRDefault="008810DD" w:rsidP="00AE2A47">
      <w:pPr>
        <w:pStyle w:val="RozpocetOdstavec"/>
        <w:numPr>
          <w:ilvl w:val="0"/>
          <w:numId w:val="10"/>
        </w:numPr>
      </w:pPr>
      <w:r>
        <w:t>finanční zdroje rozpočtu,</w:t>
      </w:r>
    </w:p>
    <w:p w14:paraId="6698E825" w14:textId="77777777" w:rsidR="008810DD" w:rsidRDefault="008810DD" w:rsidP="00AE2A47">
      <w:pPr>
        <w:pStyle w:val="RozpocetOdstavec"/>
        <w:numPr>
          <w:ilvl w:val="0"/>
          <w:numId w:val="10"/>
        </w:numPr>
      </w:pPr>
      <w:r>
        <w:t>indikátory pro interní rozdělení financí,</w:t>
      </w:r>
    </w:p>
    <w:p w14:paraId="130EBD3E" w14:textId="77777777" w:rsidR="008810DD" w:rsidRDefault="008810DD" w:rsidP="00AE2A47">
      <w:pPr>
        <w:pStyle w:val="RozpocetOdstavec"/>
        <w:numPr>
          <w:ilvl w:val="0"/>
          <w:numId w:val="10"/>
        </w:numPr>
      </w:pPr>
      <w:r>
        <w:t>principy interního rozdělení financí,</w:t>
      </w:r>
    </w:p>
    <w:p w14:paraId="377EB948" w14:textId="77777777" w:rsidR="008810DD" w:rsidRDefault="008810DD" w:rsidP="00AE2A47">
      <w:pPr>
        <w:pStyle w:val="RozpocetOdstavec"/>
        <w:numPr>
          <w:ilvl w:val="0"/>
          <w:numId w:val="10"/>
        </w:numPr>
      </w:pPr>
      <w:r>
        <w:t>financování celouniverzitních aktivit,</w:t>
      </w:r>
    </w:p>
    <w:p w14:paraId="1396DD1F" w14:textId="77777777" w:rsidR="008810DD" w:rsidRDefault="008810DD" w:rsidP="00AE2A47">
      <w:pPr>
        <w:pStyle w:val="RozpocetOdstavec"/>
        <w:numPr>
          <w:ilvl w:val="0"/>
          <w:numId w:val="10"/>
        </w:numPr>
      </w:pPr>
      <w:r>
        <w:t>čerpání finančních prostředků,</w:t>
      </w:r>
    </w:p>
    <w:p w14:paraId="1DAD9933" w14:textId="77777777" w:rsidR="00390E1C" w:rsidRDefault="00390E1C" w:rsidP="00AE2A47">
      <w:pPr>
        <w:pStyle w:val="RozpocetOdstavec"/>
        <w:numPr>
          <w:ilvl w:val="0"/>
          <w:numId w:val="10"/>
        </w:numPr>
      </w:pPr>
      <w:r>
        <w:t>regulační opatření.</w:t>
      </w:r>
    </w:p>
    <w:p w14:paraId="27DAF014" w14:textId="77777777" w:rsidR="00390E1C" w:rsidRDefault="00390E1C" w:rsidP="00C66B73">
      <w:pPr>
        <w:pStyle w:val="RozpocetOdstavec"/>
      </w:pPr>
    </w:p>
    <w:p w14:paraId="788EAA02" w14:textId="35F3D9E1" w:rsidR="00956BC6" w:rsidRDefault="00956BC6" w:rsidP="00956BC6">
      <w:pPr>
        <w:jc w:val="both"/>
      </w:pPr>
      <w:r>
        <w:t>Stanovení výše příspěvku na institucionální financování je podmíněno splněním několika dalších podmínek:</w:t>
      </w:r>
    </w:p>
    <w:p w14:paraId="141D13BA" w14:textId="77777777" w:rsidR="00956BC6" w:rsidRDefault="00956BC6" w:rsidP="00956BC6">
      <w:pPr>
        <w:numPr>
          <w:ilvl w:val="0"/>
          <w:numId w:val="43"/>
        </w:numPr>
        <w:jc w:val="both"/>
      </w:pPr>
      <w:r>
        <w:t>ověření výkonů VVŠ podle SIMS provedeno ze SIMS ke dni 31. 10. 2025,</w:t>
      </w:r>
    </w:p>
    <w:p w14:paraId="3A8A89EE" w14:textId="77777777" w:rsidR="00956BC6" w:rsidRDefault="00956BC6" w:rsidP="00956BC6">
      <w:pPr>
        <w:numPr>
          <w:ilvl w:val="0"/>
          <w:numId w:val="43"/>
        </w:numPr>
        <w:jc w:val="both"/>
      </w:pPr>
      <w:r>
        <w:t>pokles přepočtených studií zapsaných do prvních ročníků všech typů studijních programů v součtu nesmí být větší než 10 %,</w:t>
      </w:r>
    </w:p>
    <w:p w14:paraId="6FDA549D" w14:textId="2D442433" w:rsidR="00956BC6" w:rsidRPr="00590E7A" w:rsidRDefault="00956BC6" w:rsidP="00956BC6">
      <w:pPr>
        <w:numPr>
          <w:ilvl w:val="0"/>
          <w:numId w:val="43"/>
        </w:numPr>
        <w:jc w:val="both"/>
        <w:rPr>
          <w:vanish/>
          <w:specVanish/>
        </w:rPr>
      </w:pPr>
      <w:r>
        <w:t xml:space="preserve">průměrná hodnota KEN přepočtených studií zapsaných do prvních ročníků všech typů studijních programů dané VVŠ neklesne o více než 3 % </w:t>
      </w:r>
      <w:r w:rsidRPr="008813FF">
        <w:t xml:space="preserve">proti referenčním hodnotám </w:t>
      </w:r>
      <w:r>
        <w:t xml:space="preserve">       </w:t>
      </w:r>
      <w:r w:rsidRPr="008813FF">
        <w:t>k 31. 10. 2017.</w:t>
      </w:r>
      <w:r w:rsidRPr="00DE5828">
        <w:t xml:space="preserve"> </w:t>
      </w:r>
      <w:r w:rsidRPr="00C648C4">
        <w:t>V případě nedodržení uvedených parametrů bude výše příspěvku krácena v souladu s Pravidly pro poskytování příspěvků a dotací.</w:t>
      </w:r>
    </w:p>
    <w:p w14:paraId="25ECED1E" w14:textId="77777777" w:rsidR="00956BC6" w:rsidRPr="00590E7A" w:rsidRDefault="00956BC6" w:rsidP="00956BC6">
      <w:pPr>
        <w:jc w:val="both"/>
        <w:rPr>
          <w:vanish/>
          <w:specVanish/>
        </w:rPr>
      </w:pPr>
      <w:r>
        <w:t xml:space="preserve"> </w:t>
      </w:r>
    </w:p>
    <w:p w14:paraId="0D5168E6" w14:textId="66FA5963" w:rsidR="00956BC6" w:rsidRPr="00956BC6" w:rsidRDefault="00956BC6" w:rsidP="00956BC6">
      <w:pPr>
        <w:pStyle w:val="RozpocetOdstavec"/>
      </w:pPr>
    </w:p>
    <w:p w14:paraId="07320099" w14:textId="77777777" w:rsidR="00956BC6" w:rsidRDefault="00956BC6" w:rsidP="00956BC6">
      <w:pPr>
        <w:pStyle w:val="RozpocetOdstavec"/>
      </w:pPr>
    </w:p>
    <w:p w14:paraId="6448396F" w14:textId="77777777" w:rsidR="00DE2E8E" w:rsidRDefault="00DE2E8E" w:rsidP="00DE2E8E">
      <w:pPr>
        <w:pStyle w:val="RozpocetOdstavec"/>
      </w:pPr>
    </w:p>
    <w:p w14:paraId="70560C3D" w14:textId="77777777" w:rsidR="00AB575E" w:rsidRDefault="00CA00CC" w:rsidP="00875F2C">
      <w:pPr>
        <w:pStyle w:val="RozpocetNadpis1"/>
      </w:pPr>
      <w:bookmarkStart w:id="5" w:name="_Toc228824317"/>
      <w:r>
        <w:lastRenderedPageBreak/>
        <w:t xml:space="preserve">Finanční zdroje </w:t>
      </w:r>
      <w:r w:rsidR="00680403">
        <w:t>r</w:t>
      </w:r>
      <w:r w:rsidR="006C55D9">
        <w:t>ozpočtu UTB</w:t>
      </w:r>
      <w:bookmarkEnd w:id="5"/>
    </w:p>
    <w:p w14:paraId="302076B3" w14:textId="77777777" w:rsidR="00B74844" w:rsidRDefault="00B74844" w:rsidP="00B74844">
      <w:pPr>
        <w:pStyle w:val="RozpocetNadpis2"/>
      </w:pPr>
      <w:bookmarkStart w:id="6" w:name="_Toc228824318"/>
      <w:r>
        <w:t>Finanční zdroje rozpočtu z MŠMT</w:t>
      </w:r>
      <w:bookmarkEnd w:id="6"/>
    </w:p>
    <w:p w14:paraId="6876724A" w14:textId="2746716A" w:rsidR="00585E71" w:rsidRDefault="00B474A5" w:rsidP="00875F2C">
      <w:pPr>
        <w:pStyle w:val="RozpocetOdstavec"/>
      </w:pPr>
      <w:r>
        <w:t>MŠMT přidělilo UTB podle Pravidel přidělování příspěvků a dotací finanční prostředky v Rozpočtovém okruhu I (ukazatel A, K</w:t>
      </w:r>
      <w:r w:rsidR="00403494">
        <w:t> a P</w:t>
      </w:r>
      <w:r>
        <w:t>), Rozpočtovém okruhu II (ukazatel C</w:t>
      </w:r>
      <w:r w:rsidR="007B1864">
        <w:t>,</w:t>
      </w:r>
      <w:r>
        <w:t xml:space="preserve"> S a U), Rozpočtovém okruhu III (ukazatel I) a Rozpočtovém okruhu IV (ukazatel D, FUČ a F).</w:t>
      </w:r>
      <w:r w:rsidR="00585E71">
        <w:t xml:space="preserve"> </w:t>
      </w:r>
      <w:r>
        <w:t xml:space="preserve">Podle Pravidel poskytování DKRVO </w:t>
      </w:r>
      <w:r w:rsidR="00CD0489">
        <w:t>zažádala</w:t>
      </w:r>
      <w:r>
        <w:t xml:space="preserve"> </w:t>
      </w:r>
      <w:r w:rsidR="00585E71">
        <w:t>UTB</w:t>
      </w:r>
      <w:r w:rsidR="00CD0489">
        <w:t xml:space="preserve"> o</w:t>
      </w:r>
      <w:r w:rsidR="00585E71">
        <w:t xml:space="preserve"> </w:t>
      </w:r>
      <w:r>
        <w:t>finanční prostředky institucionální podpory na dlouhodobý koncepční rozvoj výzkumné organizace.</w:t>
      </w:r>
      <w:r w:rsidR="00585E71">
        <w:t xml:space="preserve"> MŠMT dále přidělilo UTB finanční prostředky podle Pravidel poskytování SVV na specifický vysokoškolský výzkum. Výše přidělených finančních prostředků pro rok 202</w:t>
      </w:r>
      <w:r w:rsidR="00956BC6">
        <w:t>6</w:t>
      </w:r>
      <w:r w:rsidR="00585E71">
        <w:t xml:space="preserve"> je uvedena v následující tabulce, spolu se srovnáním s rokem 202</w:t>
      </w:r>
      <w:r w:rsidR="00956BC6">
        <w:t xml:space="preserve">5, přičemž u DKRVO je vydáno aktuálně rozhodnutí MŠMT na částku </w:t>
      </w:r>
      <w:r w:rsidR="00956BC6" w:rsidRPr="00956BC6">
        <w:t>41 577</w:t>
      </w:r>
      <w:r w:rsidR="00956BC6">
        <w:t> </w:t>
      </w:r>
      <w:r w:rsidR="00956BC6" w:rsidRPr="00956BC6">
        <w:t>357</w:t>
      </w:r>
      <w:r w:rsidR="00956BC6">
        <w:t xml:space="preserve"> Kč, v rozpisu rozpočtu 2026 je prozatím počítáno s</w:t>
      </w:r>
      <w:r w:rsidR="00403494">
        <w:t xml:space="preserve"> celkovou </w:t>
      </w:r>
      <w:r w:rsidR="00956BC6">
        <w:t>částkou shodnou jako v roce 2025</w:t>
      </w:r>
      <w:r w:rsidR="00585E71">
        <w:t>.</w:t>
      </w:r>
    </w:p>
    <w:p w14:paraId="305D50CB" w14:textId="77777777" w:rsidR="009934BB" w:rsidRDefault="009934BB" w:rsidP="00875F2C">
      <w:pPr>
        <w:pStyle w:val="RozpocetOdstavec"/>
      </w:pPr>
    </w:p>
    <w:tbl>
      <w:tblPr>
        <w:tblW w:w="9072" w:type="dxa"/>
        <w:tblInd w:w="-5" w:type="dxa"/>
        <w:tblLook w:val="04A0" w:firstRow="1" w:lastRow="0" w:firstColumn="1" w:lastColumn="0" w:noHBand="0" w:noVBand="1"/>
      </w:tblPr>
      <w:tblGrid>
        <w:gridCol w:w="1077"/>
        <w:gridCol w:w="5613"/>
        <w:gridCol w:w="1191"/>
        <w:gridCol w:w="1191"/>
      </w:tblGrid>
      <w:tr w:rsidR="009934BB" w:rsidRPr="009934BB" w14:paraId="715A1097" w14:textId="77777777" w:rsidTr="00C36540">
        <w:trPr>
          <w:trHeight w:val="320"/>
        </w:trPr>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563B02" w14:textId="77777777" w:rsidR="009934BB" w:rsidRPr="009934BB" w:rsidRDefault="009934BB" w:rsidP="009934BB">
            <w:pPr>
              <w:ind w:left="-111" w:firstLine="91"/>
              <w:rPr>
                <w:rFonts w:ascii="Aptos Narrow" w:hAnsi="Aptos Narrow"/>
                <w:b/>
                <w:bCs/>
                <w:color w:val="000000"/>
              </w:rPr>
            </w:pPr>
            <w:r w:rsidRPr="009934BB">
              <w:rPr>
                <w:rFonts w:ascii="Aptos Narrow" w:hAnsi="Aptos Narrow"/>
                <w:b/>
                <w:bCs/>
                <w:color w:val="000000"/>
              </w:rPr>
              <w:t>Ukazatel</w:t>
            </w:r>
          </w:p>
        </w:tc>
        <w:tc>
          <w:tcPr>
            <w:tcW w:w="561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228443" w14:textId="77777777" w:rsidR="009934BB" w:rsidRPr="009934BB" w:rsidRDefault="009934BB" w:rsidP="009934BB">
            <w:pPr>
              <w:rPr>
                <w:rFonts w:ascii="Aptos Narrow" w:hAnsi="Aptos Narrow"/>
                <w:b/>
                <w:bCs/>
                <w:color w:val="000000"/>
              </w:rPr>
            </w:pPr>
            <w:r w:rsidRPr="009934BB">
              <w:rPr>
                <w:rFonts w:ascii="Aptos Narrow" w:hAnsi="Aptos Narrow"/>
                <w:b/>
                <w:bCs/>
                <w:color w:val="000000"/>
              </w:rPr>
              <w:t>Popis</w:t>
            </w:r>
          </w:p>
        </w:tc>
        <w:tc>
          <w:tcPr>
            <w:tcW w:w="11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6EE665C" w14:textId="77777777" w:rsidR="009934BB" w:rsidRDefault="009934BB" w:rsidP="009934BB">
            <w:pPr>
              <w:jc w:val="right"/>
              <w:rPr>
                <w:rFonts w:ascii="Aptos Narrow" w:hAnsi="Aptos Narrow"/>
                <w:b/>
                <w:bCs/>
                <w:color w:val="000000"/>
              </w:rPr>
            </w:pPr>
            <w:r w:rsidRPr="009934BB">
              <w:rPr>
                <w:rFonts w:ascii="Aptos Narrow" w:hAnsi="Aptos Narrow"/>
                <w:b/>
                <w:bCs/>
                <w:color w:val="000000"/>
              </w:rPr>
              <w:t>2026</w:t>
            </w:r>
          </w:p>
          <w:p w14:paraId="5C38AB38" w14:textId="42147C39"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v tis. Kč</w:t>
            </w:r>
          </w:p>
        </w:tc>
        <w:tc>
          <w:tcPr>
            <w:tcW w:w="11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F2E05AB" w14:textId="77777777" w:rsidR="009934BB" w:rsidRDefault="009934BB" w:rsidP="009934BB">
            <w:pPr>
              <w:jc w:val="right"/>
              <w:rPr>
                <w:rFonts w:ascii="Aptos Narrow" w:hAnsi="Aptos Narrow"/>
                <w:b/>
                <w:bCs/>
                <w:color w:val="000000"/>
              </w:rPr>
            </w:pPr>
            <w:r w:rsidRPr="009934BB">
              <w:rPr>
                <w:rFonts w:ascii="Aptos Narrow" w:hAnsi="Aptos Narrow"/>
                <w:b/>
                <w:bCs/>
                <w:color w:val="000000"/>
              </w:rPr>
              <w:t>2025</w:t>
            </w:r>
          </w:p>
          <w:p w14:paraId="050D7BFB" w14:textId="22D98E1F"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v tis. Kč</w:t>
            </w:r>
          </w:p>
        </w:tc>
      </w:tr>
      <w:tr w:rsidR="009934BB" w:rsidRPr="009934BB" w14:paraId="7D92D15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273B6AD7" w14:textId="77777777" w:rsidR="009934BB" w:rsidRPr="009934BB" w:rsidRDefault="009934BB" w:rsidP="009934BB">
            <w:pPr>
              <w:rPr>
                <w:rFonts w:ascii="Aptos Narrow" w:hAnsi="Aptos Narrow"/>
                <w:color w:val="000000"/>
              </w:rPr>
            </w:pPr>
            <w:r w:rsidRPr="009934BB">
              <w:rPr>
                <w:rFonts w:ascii="Aptos Narrow" w:hAnsi="Aptos Narrow"/>
                <w:color w:val="000000"/>
              </w:rPr>
              <w:t>A</w:t>
            </w:r>
          </w:p>
        </w:tc>
        <w:tc>
          <w:tcPr>
            <w:tcW w:w="5613" w:type="dxa"/>
            <w:tcBorders>
              <w:top w:val="nil"/>
              <w:left w:val="nil"/>
              <w:bottom w:val="single" w:sz="4" w:space="0" w:color="auto"/>
              <w:right w:val="single" w:sz="4" w:space="0" w:color="auto"/>
            </w:tcBorders>
            <w:noWrap/>
            <w:vAlign w:val="center"/>
            <w:hideMark/>
          </w:tcPr>
          <w:p w14:paraId="2D7E88DB" w14:textId="77777777" w:rsidR="009934BB" w:rsidRPr="009934BB" w:rsidRDefault="009934BB" w:rsidP="009934BB">
            <w:pPr>
              <w:rPr>
                <w:rFonts w:ascii="Aptos Narrow" w:hAnsi="Aptos Narrow"/>
                <w:color w:val="000000"/>
              </w:rPr>
            </w:pPr>
            <w:r w:rsidRPr="009934BB">
              <w:rPr>
                <w:rFonts w:ascii="Aptos Narrow" w:hAnsi="Aptos Narrow"/>
                <w:color w:val="000000"/>
              </w:rPr>
              <w:t>fixní část</w:t>
            </w:r>
          </w:p>
        </w:tc>
        <w:tc>
          <w:tcPr>
            <w:tcW w:w="1191" w:type="dxa"/>
            <w:tcBorders>
              <w:top w:val="nil"/>
              <w:left w:val="nil"/>
              <w:bottom w:val="single" w:sz="4" w:space="0" w:color="auto"/>
              <w:right w:val="single" w:sz="4" w:space="0" w:color="auto"/>
            </w:tcBorders>
            <w:noWrap/>
            <w:vAlign w:val="bottom"/>
            <w:hideMark/>
          </w:tcPr>
          <w:p w14:paraId="6A550FB9"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652 366</w:t>
            </w:r>
          </w:p>
        </w:tc>
        <w:tc>
          <w:tcPr>
            <w:tcW w:w="1191" w:type="dxa"/>
            <w:tcBorders>
              <w:top w:val="nil"/>
              <w:left w:val="nil"/>
              <w:bottom w:val="single" w:sz="4" w:space="0" w:color="auto"/>
              <w:right w:val="single" w:sz="4" w:space="0" w:color="auto"/>
            </w:tcBorders>
            <w:noWrap/>
            <w:vAlign w:val="bottom"/>
            <w:hideMark/>
          </w:tcPr>
          <w:p w14:paraId="5C492810"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630 294</w:t>
            </w:r>
          </w:p>
        </w:tc>
      </w:tr>
      <w:tr w:rsidR="009934BB" w:rsidRPr="009934BB" w14:paraId="023375C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0474F2A9" w14:textId="77777777" w:rsidR="009934BB" w:rsidRPr="009934BB" w:rsidRDefault="009934BB" w:rsidP="009934BB">
            <w:pPr>
              <w:rPr>
                <w:rFonts w:ascii="Aptos Narrow" w:hAnsi="Aptos Narrow"/>
                <w:color w:val="000000"/>
              </w:rPr>
            </w:pPr>
            <w:r w:rsidRPr="009934BB">
              <w:rPr>
                <w:rFonts w:ascii="Aptos Narrow" w:hAnsi="Aptos Narrow"/>
                <w:color w:val="000000"/>
              </w:rPr>
              <w:t>K</w:t>
            </w:r>
          </w:p>
        </w:tc>
        <w:tc>
          <w:tcPr>
            <w:tcW w:w="5613" w:type="dxa"/>
            <w:tcBorders>
              <w:top w:val="nil"/>
              <w:left w:val="nil"/>
              <w:bottom w:val="single" w:sz="4" w:space="0" w:color="auto"/>
              <w:right w:val="single" w:sz="4" w:space="0" w:color="auto"/>
            </w:tcBorders>
            <w:noWrap/>
            <w:vAlign w:val="center"/>
            <w:hideMark/>
          </w:tcPr>
          <w:p w14:paraId="158DF5F8" w14:textId="77777777" w:rsidR="009934BB" w:rsidRPr="009934BB" w:rsidRDefault="009934BB" w:rsidP="009934BB">
            <w:pPr>
              <w:rPr>
                <w:rFonts w:ascii="Aptos Narrow" w:hAnsi="Aptos Narrow"/>
                <w:color w:val="000000"/>
              </w:rPr>
            </w:pPr>
            <w:r w:rsidRPr="009934BB">
              <w:rPr>
                <w:rFonts w:ascii="Aptos Narrow" w:hAnsi="Aptos Narrow"/>
                <w:color w:val="000000"/>
              </w:rPr>
              <w:t>výkonová část</w:t>
            </w:r>
          </w:p>
        </w:tc>
        <w:tc>
          <w:tcPr>
            <w:tcW w:w="1191" w:type="dxa"/>
            <w:tcBorders>
              <w:top w:val="nil"/>
              <w:left w:val="nil"/>
              <w:bottom w:val="single" w:sz="4" w:space="0" w:color="auto"/>
              <w:right w:val="single" w:sz="4" w:space="0" w:color="auto"/>
            </w:tcBorders>
            <w:noWrap/>
            <w:vAlign w:val="bottom"/>
            <w:hideMark/>
          </w:tcPr>
          <w:p w14:paraId="0221E3E5"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141 227</w:t>
            </w:r>
          </w:p>
        </w:tc>
        <w:tc>
          <w:tcPr>
            <w:tcW w:w="1191" w:type="dxa"/>
            <w:tcBorders>
              <w:top w:val="nil"/>
              <w:left w:val="nil"/>
              <w:bottom w:val="single" w:sz="4" w:space="0" w:color="auto"/>
              <w:right w:val="single" w:sz="4" w:space="0" w:color="auto"/>
            </w:tcBorders>
            <w:noWrap/>
            <w:vAlign w:val="bottom"/>
            <w:hideMark/>
          </w:tcPr>
          <w:p w14:paraId="69306F87"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140 396</w:t>
            </w:r>
          </w:p>
        </w:tc>
      </w:tr>
      <w:tr w:rsidR="009934BB" w:rsidRPr="009934BB" w14:paraId="1A4A446D"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0B38F9DB" w14:textId="77777777" w:rsidR="009934BB" w:rsidRPr="009934BB" w:rsidRDefault="009934BB" w:rsidP="009934BB">
            <w:pPr>
              <w:rPr>
                <w:rFonts w:ascii="Aptos Narrow" w:hAnsi="Aptos Narrow"/>
                <w:color w:val="000000"/>
              </w:rPr>
            </w:pPr>
            <w:r w:rsidRPr="009934BB">
              <w:rPr>
                <w:rFonts w:ascii="Aptos Narrow" w:hAnsi="Aptos Narrow"/>
                <w:color w:val="000000"/>
              </w:rPr>
              <w:t>P</w:t>
            </w:r>
          </w:p>
        </w:tc>
        <w:tc>
          <w:tcPr>
            <w:tcW w:w="5613" w:type="dxa"/>
            <w:tcBorders>
              <w:top w:val="nil"/>
              <w:left w:val="nil"/>
              <w:bottom w:val="single" w:sz="4" w:space="0" w:color="auto"/>
              <w:right w:val="single" w:sz="4" w:space="0" w:color="auto"/>
            </w:tcBorders>
            <w:noWrap/>
            <w:vAlign w:val="center"/>
            <w:hideMark/>
          </w:tcPr>
          <w:p w14:paraId="23D5F565" w14:textId="77777777" w:rsidR="009934BB" w:rsidRPr="009934BB" w:rsidRDefault="009934BB" w:rsidP="009934BB">
            <w:pPr>
              <w:rPr>
                <w:rFonts w:ascii="Aptos Narrow" w:hAnsi="Aptos Narrow"/>
                <w:color w:val="000000"/>
              </w:rPr>
            </w:pPr>
            <w:r w:rsidRPr="009934BB">
              <w:rPr>
                <w:rFonts w:ascii="Aptos Narrow" w:hAnsi="Aptos Narrow"/>
                <w:color w:val="000000"/>
              </w:rPr>
              <w:t>část společenské poptávky</w:t>
            </w:r>
          </w:p>
        </w:tc>
        <w:tc>
          <w:tcPr>
            <w:tcW w:w="1191" w:type="dxa"/>
            <w:tcBorders>
              <w:top w:val="nil"/>
              <w:left w:val="nil"/>
              <w:bottom w:val="single" w:sz="4" w:space="0" w:color="auto"/>
              <w:right w:val="single" w:sz="4" w:space="0" w:color="auto"/>
            </w:tcBorders>
            <w:noWrap/>
            <w:vAlign w:val="bottom"/>
            <w:hideMark/>
          </w:tcPr>
          <w:p w14:paraId="6233DBF4"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22 129</w:t>
            </w:r>
          </w:p>
        </w:tc>
        <w:tc>
          <w:tcPr>
            <w:tcW w:w="1191" w:type="dxa"/>
            <w:tcBorders>
              <w:top w:val="nil"/>
              <w:left w:val="nil"/>
              <w:bottom w:val="single" w:sz="4" w:space="0" w:color="auto"/>
              <w:right w:val="single" w:sz="4" w:space="0" w:color="auto"/>
            </w:tcBorders>
            <w:noWrap/>
            <w:vAlign w:val="bottom"/>
            <w:hideMark/>
          </w:tcPr>
          <w:p w14:paraId="7A89FA0A"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0</w:t>
            </w:r>
          </w:p>
        </w:tc>
      </w:tr>
      <w:tr w:rsidR="009934BB" w:rsidRPr="009934BB" w14:paraId="1E38F7BE"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2E2FC791" w14:textId="77777777" w:rsidR="009934BB" w:rsidRPr="009934BB" w:rsidRDefault="009934BB" w:rsidP="009934BB">
            <w:pPr>
              <w:rPr>
                <w:rFonts w:ascii="Aptos Narrow" w:hAnsi="Aptos Narrow"/>
                <w:color w:val="000000"/>
              </w:rPr>
            </w:pPr>
            <w:r w:rsidRPr="009934BB">
              <w:rPr>
                <w:rFonts w:ascii="Aptos Narrow" w:hAnsi="Aptos Narrow"/>
                <w:color w:val="000000"/>
              </w:rPr>
              <w:t>C</w:t>
            </w:r>
          </w:p>
        </w:tc>
        <w:tc>
          <w:tcPr>
            <w:tcW w:w="5613" w:type="dxa"/>
            <w:tcBorders>
              <w:top w:val="nil"/>
              <w:left w:val="nil"/>
              <w:bottom w:val="single" w:sz="4" w:space="0" w:color="auto"/>
              <w:right w:val="single" w:sz="4" w:space="0" w:color="auto"/>
            </w:tcBorders>
            <w:noWrap/>
            <w:vAlign w:val="center"/>
            <w:hideMark/>
          </w:tcPr>
          <w:p w14:paraId="7A07C177" w14:textId="77777777" w:rsidR="009934BB" w:rsidRPr="009934BB" w:rsidRDefault="009934BB" w:rsidP="009934BB">
            <w:pPr>
              <w:rPr>
                <w:rFonts w:ascii="Aptos Narrow" w:hAnsi="Aptos Narrow"/>
                <w:color w:val="000000"/>
              </w:rPr>
            </w:pPr>
            <w:r w:rsidRPr="009934BB">
              <w:rPr>
                <w:rFonts w:ascii="Aptos Narrow" w:hAnsi="Aptos Narrow"/>
                <w:color w:val="000000"/>
              </w:rPr>
              <w:t>stipendia doktorandů</w:t>
            </w:r>
          </w:p>
        </w:tc>
        <w:tc>
          <w:tcPr>
            <w:tcW w:w="1191" w:type="dxa"/>
            <w:tcBorders>
              <w:top w:val="nil"/>
              <w:left w:val="nil"/>
              <w:bottom w:val="single" w:sz="4" w:space="0" w:color="auto"/>
              <w:right w:val="single" w:sz="4" w:space="0" w:color="auto"/>
            </w:tcBorders>
            <w:noWrap/>
            <w:vAlign w:val="bottom"/>
            <w:hideMark/>
          </w:tcPr>
          <w:p w14:paraId="1695F07D"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26 574</w:t>
            </w:r>
          </w:p>
        </w:tc>
        <w:tc>
          <w:tcPr>
            <w:tcW w:w="1191" w:type="dxa"/>
            <w:tcBorders>
              <w:top w:val="nil"/>
              <w:left w:val="nil"/>
              <w:bottom w:val="single" w:sz="4" w:space="0" w:color="auto"/>
              <w:right w:val="single" w:sz="4" w:space="0" w:color="auto"/>
            </w:tcBorders>
            <w:noWrap/>
            <w:vAlign w:val="bottom"/>
            <w:hideMark/>
          </w:tcPr>
          <w:p w14:paraId="1137A170"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23 937</w:t>
            </w:r>
          </w:p>
        </w:tc>
      </w:tr>
      <w:tr w:rsidR="009934BB" w:rsidRPr="009934BB" w14:paraId="540A81AA"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0A84F464" w14:textId="77777777" w:rsidR="009934BB" w:rsidRPr="009934BB" w:rsidRDefault="009934BB" w:rsidP="009934BB">
            <w:pPr>
              <w:rPr>
                <w:rFonts w:ascii="Aptos Narrow" w:hAnsi="Aptos Narrow"/>
                <w:color w:val="000000"/>
              </w:rPr>
            </w:pPr>
            <w:r w:rsidRPr="009934BB">
              <w:rPr>
                <w:rFonts w:ascii="Aptos Narrow" w:hAnsi="Aptos Narrow"/>
                <w:color w:val="000000"/>
              </w:rPr>
              <w:t>J</w:t>
            </w:r>
          </w:p>
        </w:tc>
        <w:tc>
          <w:tcPr>
            <w:tcW w:w="5613" w:type="dxa"/>
            <w:tcBorders>
              <w:top w:val="nil"/>
              <w:left w:val="nil"/>
              <w:bottom w:val="single" w:sz="4" w:space="0" w:color="auto"/>
              <w:right w:val="single" w:sz="4" w:space="0" w:color="auto"/>
            </w:tcBorders>
            <w:noWrap/>
            <w:vAlign w:val="center"/>
            <w:hideMark/>
          </w:tcPr>
          <w:p w14:paraId="29A054EE" w14:textId="77777777" w:rsidR="009934BB" w:rsidRPr="009934BB" w:rsidRDefault="009934BB" w:rsidP="009934BB">
            <w:pPr>
              <w:rPr>
                <w:rFonts w:ascii="Aptos Narrow" w:hAnsi="Aptos Narrow"/>
                <w:color w:val="000000"/>
              </w:rPr>
            </w:pPr>
            <w:r w:rsidRPr="009934BB">
              <w:rPr>
                <w:rFonts w:ascii="Aptos Narrow" w:hAnsi="Aptos Narrow"/>
                <w:color w:val="000000"/>
              </w:rPr>
              <w:t>dotace na ubytování a stravování</w:t>
            </w:r>
          </w:p>
        </w:tc>
        <w:tc>
          <w:tcPr>
            <w:tcW w:w="1191" w:type="dxa"/>
            <w:tcBorders>
              <w:top w:val="nil"/>
              <w:left w:val="nil"/>
              <w:bottom w:val="single" w:sz="4" w:space="0" w:color="auto"/>
              <w:right w:val="single" w:sz="4" w:space="0" w:color="auto"/>
            </w:tcBorders>
            <w:noWrap/>
            <w:vAlign w:val="bottom"/>
            <w:hideMark/>
          </w:tcPr>
          <w:p w14:paraId="06E6F592"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0</w:t>
            </w:r>
          </w:p>
        </w:tc>
        <w:tc>
          <w:tcPr>
            <w:tcW w:w="1191" w:type="dxa"/>
            <w:tcBorders>
              <w:top w:val="nil"/>
              <w:left w:val="nil"/>
              <w:bottom w:val="single" w:sz="4" w:space="0" w:color="auto"/>
              <w:right w:val="single" w:sz="4" w:space="0" w:color="auto"/>
            </w:tcBorders>
            <w:noWrap/>
            <w:vAlign w:val="bottom"/>
            <w:hideMark/>
          </w:tcPr>
          <w:p w14:paraId="6567A3F9"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2 204</w:t>
            </w:r>
          </w:p>
        </w:tc>
      </w:tr>
      <w:tr w:rsidR="009934BB" w:rsidRPr="009934BB" w14:paraId="64A4BFF2"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321D3A6A" w14:textId="77777777" w:rsidR="009934BB" w:rsidRPr="009934BB" w:rsidRDefault="009934BB" w:rsidP="009934BB">
            <w:pPr>
              <w:rPr>
                <w:rFonts w:ascii="Aptos Narrow" w:hAnsi="Aptos Narrow"/>
                <w:color w:val="000000"/>
              </w:rPr>
            </w:pPr>
            <w:r w:rsidRPr="009934BB">
              <w:rPr>
                <w:rFonts w:ascii="Aptos Narrow" w:hAnsi="Aptos Narrow"/>
                <w:color w:val="000000"/>
              </w:rPr>
              <w:t>S</w:t>
            </w:r>
          </w:p>
        </w:tc>
        <w:tc>
          <w:tcPr>
            <w:tcW w:w="5613" w:type="dxa"/>
            <w:tcBorders>
              <w:top w:val="nil"/>
              <w:left w:val="nil"/>
              <w:bottom w:val="single" w:sz="4" w:space="0" w:color="auto"/>
              <w:right w:val="single" w:sz="4" w:space="0" w:color="auto"/>
            </w:tcBorders>
            <w:noWrap/>
            <w:vAlign w:val="center"/>
            <w:hideMark/>
          </w:tcPr>
          <w:p w14:paraId="2656BE50" w14:textId="77777777" w:rsidR="009934BB" w:rsidRPr="009934BB" w:rsidRDefault="009934BB" w:rsidP="009934BB">
            <w:pPr>
              <w:rPr>
                <w:rFonts w:ascii="Aptos Narrow" w:hAnsi="Aptos Narrow"/>
                <w:color w:val="000000"/>
              </w:rPr>
            </w:pPr>
            <w:r w:rsidRPr="009934BB">
              <w:rPr>
                <w:rFonts w:ascii="Aptos Narrow" w:hAnsi="Aptos Narrow"/>
                <w:color w:val="000000"/>
              </w:rPr>
              <w:t>sociální stipendia</w:t>
            </w:r>
          </w:p>
        </w:tc>
        <w:tc>
          <w:tcPr>
            <w:tcW w:w="1191" w:type="dxa"/>
            <w:tcBorders>
              <w:top w:val="nil"/>
              <w:left w:val="nil"/>
              <w:bottom w:val="single" w:sz="4" w:space="0" w:color="auto"/>
              <w:right w:val="single" w:sz="4" w:space="0" w:color="auto"/>
            </w:tcBorders>
            <w:noWrap/>
            <w:vAlign w:val="bottom"/>
            <w:hideMark/>
          </w:tcPr>
          <w:p w14:paraId="68CFD9AD"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314</w:t>
            </w:r>
          </w:p>
        </w:tc>
        <w:tc>
          <w:tcPr>
            <w:tcW w:w="1191" w:type="dxa"/>
            <w:tcBorders>
              <w:top w:val="nil"/>
              <w:left w:val="nil"/>
              <w:bottom w:val="single" w:sz="4" w:space="0" w:color="auto"/>
              <w:right w:val="single" w:sz="4" w:space="0" w:color="auto"/>
            </w:tcBorders>
            <w:noWrap/>
            <w:vAlign w:val="bottom"/>
            <w:hideMark/>
          </w:tcPr>
          <w:p w14:paraId="08DEC128"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328</w:t>
            </w:r>
          </w:p>
        </w:tc>
      </w:tr>
      <w:tr w:rsidR="009934BB" w:rsidRPr="009934BB" w14:paraId="6F096988"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F648B65" w14:textId="77777777" w:rsidR="009934BB" w:rsidRPr="009934BB" w:rsidRDefault="009934BB" w:rsidP="009934BB">
            <w:pPr>
              <w:rPr>
                <w:rFonts w:ascii="Aptos Narrow" w:hAnsi="Aptos Narrow"/>
                <w:color w:val="000000"/>
              </w:rPr>
            </w:pPr>
            <w:r w:rsidRPr="009934BB">
              <w:rPr>
                <w:rFonts w:ascii="Aptos Narrow" w:hAnsi="Aptos Narrow"/>
                <w:color w:val="000000"/>
              </w:rPr>
              <w:t>U</w:t>
            </w:r>
          </w:p>
        </w:tc>
        <w:tc>
          <w:tcPr>
            <w:tcW w:w="5613" w:type="dxa"/>
            <w:tcBorders>
              <w:top w:val="nil"/>
              <w:left w:val="nil"/>
              <w:bottom w:val="single" w:sz="4" w:space="0" w:color="auto"/>
              <w:right w:val="single" w:sz="4" w:space="0" w:color="auto"/>
            </w:tcBorders>
            <w:noWrap/>
            <w:vAlign w:val="center"/>
            <w:hideMark/>
          </w:tcPr>
          <w:p w14:paraId="6F446B6B" w14:textId="77777777" w:rsidR="009934BB" w:rsidRPr="009934BB" w:rsidRDefault="009934BB" w:rsidP="009934BB">
            <w:pPr>
              <w:rPr>
                <w:rFonts w:ascii="Aptos Narrow" w:hAnsi="Aptos Narrow"/>
                <w:color w:val="000000"/>
              </w:rPr>
            </w:pPr>
            <w:r w:rsidRPr="009934BB">
              <w:rPr>
                <w:rFonts w:ascii="Aptos Narrow" w:hAnsi="Aptos Narrow"/>
                <w:color w:val="000000"/>
              </w:rPr>
              <w:t>ubytovací stipendia</w:t>
            </w:r>
          </w:p>
        </w:tc>
        <w:tc>
          <w:tcPr>
            <w:tcW w:w="1191" w:type="dxa"/>
            <w:tcBorders>
              <w:top w:val="nil"/>
              <w:left w:val="nil"/>
              <w:bottom w:val="single" w:sz="4" w:space="0" w:color="auto"/>
              <w:right w:val="single" w:sz="4" w:space="0" w:color="auto"/>
            </w:tcBorders>
            <w:noWrap/>
            <w:vAlign w:val="bottom"/>
            <w:hideMark/>
          </w:tcPr>
          <w:p w14:paraId="2ED9DDE2"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27 060</w:t>
            </w:r>
          </w:p>
        </w:tc>
        <w:tc>
          <w:tcPr>
            <w:tcW w:w="1191" w:type="dxa"/>
            <w:tcBorders>
              <w:top w:val="nil"/>
              <w:left w:val="nil"/>
              <w:bottom w:val="single" w:sz="4" w:space="0" w:color="auto"/>
              <w:right w:val="single" w:sz="4" w:space="0" w:color="auto"/>
            </w:tcBorders>
            <w:noWrap/>
            <w:vAlign w:val="bottom"/>
            <w:hideMark/>
          </w:tcPr>
          <w:p w14:paraId="7722043C"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24 834</w:t>
            </w:r>
          </w:p>
        </w:tc>
      </w:tr>
      <w:tr w:rsidR="009934BB" w:rsidRPr="009934BB" w14:paraId="22FB46C8"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57226A49" w14:textId="77777777" w:rsidR="009934BB" w:rsidRPr="009934BB" w:rsidRDefault="009934BB" w:rsidP="009934BB">
            <w:pPr>
              <w:rPr>
                <w:rFonts w:ascii="Aptos Narrow" w:hAnsi="Aptos Narrow"/>
                <w:color w:val="000000"/>
              </w:rPr>
            </w:pPr>
            <w:r w:rsidRPr="009934BB">
              <w:rPr>
                <w:rFonts w:ascii="Aptos Narrow" w:hAnsi="Aptos Narrow"/>
                <w:color w:val="000000"/>
              </w:rPr>
              <w:t>I</w:t>
            </w:r>
          </w:p>
        </w:tc>
        <w:tc>
          <w:tcPr>
            <w:tcW w:w="5613" w:type="dxa"/>
            <w:tcBorders>
              <w:top w:val="nil"/>
              <w:left w:val="nil"/>
              <w:bottom w:val="single" w:sz="4" w:space="0" w:color="auto"/>
              <w:right w:val="single" w:sz="4" w:space="0" w:color="auto"/>
            </w:tcBorders>
            <w:noWrap/>
            <w:vAlign w:val="center"/>
            <w:hideMark/>
          </w:tcPr>
          <w:p w14:paraId="5E54514D" w14:textId="77777777" w:rsidR="009934BB" w:rsidRPr="009934BB" w:rsidRDefault="009934BB" w:rsidP="009934BB">
            <w:pPr>
              <w:rPr>
                <w:rFonts w:ascii="Aptos Narrow" w:hAnsi="Aptos Narrow"/>
                <w:color w:val="000000"/>
              </w:rPr>
            </w:pPr>
            <w:r w:rsidRPr="009934BB">
              <w:rPr>
                <w:rFonts w:ascii="Aptos Narrow" w:hAnsi="Aptos Narrow"/>
                <w:color w:val="000000"/>
              </w:rPr>
              <w:t>rozvojové programy MŠMT</w:t>
            </w:r>
          </w:p>
        </w:tc>
        <w:tc>
          <w:tcPr>
            <w:tcW w:w="1191" w:type="dxa"/>
            <w:tcBorders>
              <w:top w:val="nil"/>
              <w:left w:val="nil"/>
              <w:bottom w:val="single" w:sz="4" w:space="0" w:color="auto"/>
              <w:right w:val="single" w:sz="4" w:space="0" w:color="auto"/>
            </w:tcBorders>
            <w:noWrap/>
            <w:vAlign w:val="bottom"/>
            <w:hideMark/>
          </w:tcPr>
          <w:p w14:paraId="63BFEE8E"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41 423</w:t>
            </w:r>
          </w:p>
        </w:tc>
        <w:tc>
          <w:tcPr>
            <w:tcW w:w="1191" w:type="dxa"/>
            <w:tcBorders>
              <w:top w:val="nil"/>
              <w:left w:val="nil"/>
              <w:bottom w:val="single" w:sz="4" w:space="0" w:color="auto"/>
              <w:right w:val="single" w:sz="4" w:space="0" w:color="auto"/>
            </w:tcBorders>
            <w:noWrap/>
            <w:vAlign w:val="bottom"/>
            <w:hideMark/>
          </w:tcPr>
          <w:p w14:paraId="552FB9E4"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38 566</w:t>
            </w:r>
          </w:p>
        </w:tc>
      </w:tr>
      <w:tr w:rsidR="009934BB" w:rsidRPr="009934BB" w14:paraId="596BA8F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CD7302A" w14:textId="77777777" w:rsidR="009934BB" w:rsidRPr="009934BB" w:rsidRDefault="009934BB" w:rsidP="009934BB">
            <w:pPr>
              <w:rPr>
                <w:rFonts w:ascii="Aptos Narrow" w:hAnsi="Aptos Narrow"/>
                <w:color w:val="000000"/>
              </w:rPr>
            </w:pPr>
            <w:r w:rsidRPr="009934BB">
              <w:rPr>
                <w:rFonts w:ascii="Aptos Narrow" w:hAnsi="Aptos Narrow"/>
                <w:color w:val="000000"/>
              </w:rPr>
              <w:t>D</w:t>
            </w:r>
          </w:p>
        </w:tc>
        <w:tc>
          <w:tcPr>
            <w:tcW w:w="5613" w:type="dxa"/>
            <w:tcBorders>
              <w:top w:val="nil"/>
              <w:left w:val="nil"/>
              <w:bottom w:val="single" w:sz="4" w:space="0" w:color="auto"/>
              <w:right w:val="single" w:sz="4" w:space="0" w:color="auto"/>
            </w:tcBorders>
            <w:noWrap/>
            <w:vAlign w:val="center"/>
            <w:hideMark/>
          </w:tcPr>
          <w:p w14:paraId="065F7601" w14:textId="77777777" w:rsidR="009934BB" w:rsidRPr="009934BB" w:rsidRDefault="009934BB" w:rsidP="009934BB">
            <w:pPr>
              <w:rPr>
                <w:rFonts w:ascii="Aptos Narrow" w:hAnsi="Aptos Narrow"/>
                <w:color w:val="000000"/>
              </w:rPr>
            </w:pPr>
            <w:r w:rsidRPr="009934BB">
              <w:rPr>
                <w:rFonts w:ascii="Aptos Narrow" w:hAnsi="Aptos Narrow"/>
                <w:color w:val="000000"/>
              </w:rPr>
              <w:t>mezinárodní spolupráce</w:t>
            </w:r>
          </w:p>
        </w:tc>
        <w:tc>
          <w:tcPr>
            <w:tcW w:w="1191" w:type="dxa"/>
            <w:tcBorders>
              <w:top w:val="nil"/>
              <w:left w:val="nil"/>
              <w:bottom w:val="single" w:sz="4" w:space="0" w:color="auto"/>
              <w:right w:val="single" w:sz="4" w:space="0" w:color="auto"/>
            </w:tcBorders>
            <w:noWrap/>
            <w:vAlign w:val="bottom"/>
            <w:hideMark/>
          </w:tcPr>
          <w:p w14:paraId="173EC76D"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960</w:t>
            </w:r>
          </w:p>
        </w:tc>
        <w:tc>
          <w:tcPr>
            <w:tcW w:w="1191" w:type="dxa"/>
            <w:tcBorders>
              <w:top w:val="nil"/>
              <w:left w:val="nil"/>
              <w:bottom w:val="single" w:sz="4" w:space="0" w:color="auto"/>
              <w:right w:val="single" w:sz="4" w:space="0" w:color="auto"/>
            </w:tcBorders>
            <w:noWrap/>
            <w:vAlign w:val="bottom"/>
            <w:hideMark/>
          </w:tcPr>
          <w:p w14:paraId="5E7569E0"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879</w:t>
            </w:r>
          </w:p>
        </w:tc>
      </w:tr>
      <w:tr w:rsidR="009934BB" w:rsidRPr="009934BB" w14:paraId="740D1B0C"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23CF4FA" w14:textId="77777777" w:rsidR="009934BB" w:rsidRPr="009934BB" w:rsidRDefault="009934BB" w:rsidP="009934BB">
            <w:pPr>
              <w:rPr>
                <w:rFonts w:ascii="Aptos Narrow" w:hAnsi="Aptos Narrow"/>
                <w:color w:val="000000"/>
              </w:rPr>
            </w:pPr>
            <w:r w:rsidRPr="009934BB">
              <w:rPr>
                <w:rFonts w:ascii="Aptos Narrow" w:hAnsi="Aptos Narrow"/>
                <w:color w:val="000000"/>
              </w:rPr>
              <w:t>FUČ</w:t>
            </w:r>
          </w:p>
        </w:tc>
        <w:tc>
          <w:tcPr>
            <w:tcW w:w="5613" w:type="dxa"/>
            <w:tcBorders>
              <w:top w:val="nil"/>
              <w:left w:val="nil"/>
              <w:bottom w:val="single" w:sz="4" w:space="0" w:color="auto"/>
              <w:right w:val="single" w:sz="4" w:space="0" w:color="auto"/>
            </w:tcBorders>
            <w:noWrap/>
            <w:vAlign w:val="center"/>
            <w:hideMark/>
          </w:tcPr>
          <w:p w14:paraId="478EE2FA" w14:textId="77777777" w:rsidR="009934BB" w:rsidRPr="009934BB" w:rsidRDefault="009934BB" w:rsidP="009934BB">
            <w:pPr>
              <w:rPr>
                <w:rFonts w:ascii="Aptos Narrow" w:hAnsi="Aptos Narrow"/>
                <w:color w:val="000000"/>
              </w:rPr>
            </w:pPr>
            <w:r w:rsidRPr="009934BB">
              <w:rPr>
                <w:rFonts w:ascii="Aptos Narrow" w:hAnsi="Aptos Narrow"/>
                <w:color w:val="000000"/>
              </w:rPr>
              <w:t>fond umělecké činnosti</w:t>
            </w:r>
          </w:p>
        </w:tc>
        <w:tc>
          <w:tcPr>
            <w:tcW w:w="1191" w:type="dxa"/>
            <w:tcBorders>
              <w:top w:val="nil"/>
              <w:left w:val="nil"/>
              <w:bottom w:val="single" w:sz="4" w:space="0" w:color="auto"/>
              <w:right w:val="single" w:sz="4" w:space="0" w:color="auto"/>
            </w:tcBorders>
            <w:noWrap/>
            <w:vAlign w:val="bottom"/>
            <w:hideMark/>
          </w:tcPr>
          <w:p w14:paraId="4FA66796"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12 161</w:t>
            </w:r>
          </w:p>
        </w:tc>
        <w:tc>
          <w:tcPr>
            <w:tcW w:w="1191" w:type="dxa"/>
            <w:tcBorders>
              <w:top w:val="nil"/>
              <w:left w:val="nil"/>
              <w:bottom w:val="single" w:sz="4" w:space="0" w:color="auto"/>
              <w:right w:val="single" w:sz="4" w:space="0" w:color="auto"/>
            </w:tcBorders>
            <w:noWrap/>
            <w:vAlign w:val="bottom"/>
            <w:hideMark/>
          </w:tcPr>
          <w:p w14:paraId="3DE0CC5F"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12 135</w:t>
            </w:r>
          </w:p>
        </w:tc>
      </w:tr>
      <w:tr w:rsidR="009934BB" w:rsidRPr="009934BB" w14:paraId="20CAB2A0"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35D38097" w14:textId="77777777" w:rsidR="009934BB" w:rsidRPr="009934BB" w:rsidRDefault="009934BB" w:rsidP="009934BB">
            <w:pPr>
              <w:rPr>
                <w:rFonts w:ascii="Aptos Narrow" w:hAnsi="Aptos Narrow"/>
                <w:color w:val="000000"/>
              </w:rPr>
            </w:pPr>
            <w:r w:rsidRPr="009934BB">
              <w:rPr>
                <w:rFonts w:ascii="Aptos Narrow" w:hAnsi="Aptos Narrow"/>
                <w:color w:val="000000"/>
              </w:rPr>
              <w:t>F</w:t>
            </w:r>
          </w:p>
        </w:tc>
        <w:tc>
          <w:tcPr>
            <w:tcW w:w="5613" w:type="dxa"/>
            <w:tcBorders>
              <w:top w:val="nil"/>
              <w:left w:val="nil"/>
              <w:bottom w:val="single" w:sz="4" w:space="0" w:color="auto"/>
              <w:right w:val="single" w:sz="4" w:space="0" w:color="auto"/>
            </w:tcBorders>
            <w:noWrap/>
            <w:vAlign w:val="center"/>
            <w:hideMark/>
          </w:tcPr>
          <w:p w14:paraId="0DF8E39F" w14:textId="77777777" w:rsidR="009934BB" w:rsidRPr="009934BB" w:rsidRDefault="009934BB" w:rsidP="009934BB">
            <w:pPr>
              <w:rPr>
                <w:rFonts w:ascii="Aptos Narrow" w:hAnsi="Aptos Narrow"/>
                <w:color w:val="000000"/>
              </w:rPr>
            </w:pPr>
            <w:r w:rsidRPr="009934BB">
              <w:rPr>
                <w:rFonts w:ascii="Aptos Narrow" w:hAnsi="Aptos Narrow"/>
                <w:color w:val="000000"/>
              </w:rPr>
              <w:t>fond vzdělávací politiky</w:t>
            </w:r>
          </w:p>
        </w:tc>
        <w:tc>
          <w:tcPr>
            <w:tcW w:w="1191" w:type="dxa"/>
            <w:tcBorders>
              <w:top w:val="nil"/>
              <w:left w:val="nil"/>
              <w:bottom w:val="single" w:sz="4" w:space="0" w:color="auto"/>
              <w:right w:val="single" w:sz="4" w:space="0" w:color="auto"/>
            </w:tcBorders>
            <w:noWrap/>
            <w:vAlign w:val="bottom"/>
            <w:hideMark/>
          </w:tcPr>
          <w:p w14:paraId="2040F82C"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4 620</w:t>
            </w:r>
          </w:p>
        </w:tc>
        <w:tc>
          <w:tcPr>
            <w:tcW w:w="1191" w:type="dxa"/>
            <w:tcBorders>
              <w:top w:val="nil"/>
              <w:left w:val="nil"/>
              <w:bottom w:val="single" w:sz="4" w:space="0" w:color="auto"/>
              <w:right w:val="single" w:sz="4" w:space="0" w:color="auto"/>
            </w:tcBorders>
            <w:noWrap/>
            <w:vAlign w:val="bottom"/>
            <w:hideMark/>
          </w:tcPr>
          <w:p w14:paraId="777D664E"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19 419</w:t>
            </w:r>
          </w:p>
        </w:tc>
      </w:tr>
      <w:tr w:rsidR="009934BB" w:rsidRPr="009934BB" w14:paraId="314424A4"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B337A5F" w14:textId="77777777" w:rsidR="009934BB" w:rsidRPr="009934BB" w:rsidRDefault="009934BB" w:rsidP="009934BB">
            <w:pPr>
              <w:rPr>
                <w:rFonts w:ascii="Aptos Narrow" w:hAnsi="Aptos Narrow"/>
                <w:color w:val="000000"/>
              </w:rPr>
            </w:pPr>
            <w:r w:rsidRPr="009934BB">
              <w:rPr>
                <w:rFonts w:ascii="Aptos Narrow" w:hAnsi="Aptos Narrow"/>
                <w:color w:val="000000"/>
              </w:rPr>
              <w:t>DKRVO</w:t>
            </w:r>
          </w:p>
        </w:tc>
        <w:tc>
          <w:tcPr>
            <w:tcW w:w="5613" w:type="dxa"/>
            <w:tcBorders>
              <w:top w:val="nil"/>
              <w:left w:val="nil"/>
              <w:bottom w:val="single" w:sz="4" w:space="0" w:color="auto"/>
              <w:right w:val="single" w:sz="4" w:space="0" w:color="auto"/>
            </w:tcBorders>
            <w:noWrap/>
            <w:vAlign w:val="center"/>
            <w:hideMark/>
          </w:tcPr>
          <w:p w14:paraId="20EA449D" w14:textId="77777777" w:rsidR="009934BB" w:rsidRPr="009934BB" w:rsidRDefault="009934BB" w:rsidP="009934BB">
            <w:pPr>
              <w:rPr>
                <w:rFonts w:ascii="Aptos Narrow" w:hAnsi="Aptos Narrow"/>
                <w:color w:val="000000"/>
              </w:rPr>
            </w:pPr>
            <w:r w:rsidRPr="009934BB">
              <w:rPr>
                <w:rFonts w:ascii="Aptos Narrow" w:hAnsi="Aptos Narrow"/>
                <w:color w:val="000000"/>
              </w:rPr>
              <w:t>institucionální podpora na dlouhodobý koncepční rozvoj</w:t>
            </w:r>
          </w:p>
        </w:tc>
        <w:tc>
          <w:tcPr>
            <w:tcW w:w="1191" w:type="dxa"/>
            <w:tcBorders>
              <w:top w:val="nil"/>
              <w:left w:val="nil"/>
              <w:bottom w:val="single" w:sz="4" w:space="0" w:color="auto"/>
              <w:right w:val="single" w:sz="4" w:space="0" w:color="auto"/>
            </w:tcBorders>
            <w:noWrap/>
            <w:vAlign w:val="bottom"/>
            <w:hideMark/>
          </w:tcPr>
          <w:p w14:paraId="5656F40E"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167 434</w:t>
            </w:r>
          </w:p>
        </w:tc>
        <w:tc>
          <w:tcPr>
            <w:tcW w:w="1191" w:type="dxa"/>
            <w:tcBorders>
              <w:top w:val="nil"/>
              <w:left w:val="nil"/>
              <w:bottom w:val="single" w:sz="4" w:space="0" w:color="auto"/>
              <w:right w:val="single" w:sz="4" w:space="0" w:color="auto"/>
            </w:tcBorders>
            <w:noWrap/>
            <w:vAlign w:val="bottom"/>
            <w:hideMark/>
          </w:tcPr>
          <w:p w14:paraId="60DD9FB1"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167 434</w:t>
            </w:r>
          </w:p>
        </w:tc>
      </w:tr>
      <w:tr w:rsidR="009934BB" w:rsidRPr="009934BB" w14:paraId="31B4278A"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1E3E6B2A" w14:textId="77777777" w:rsidR="009934BB" w:rsidRPr="009934BB" w:rsidRDefault="009934BB" w:rsidP="009934BB">
            <w:pPr>
              <w:rPr>
                <w:rFonts w:ascii="Aptos Narrow" w:hAnsi="Aptos Narrow"/>
                <w:color w:val="000000"/>
              </w:rPr>
            </w:pPr>
            <w:r w:rsidRPr="009934BB">
              <w:rPr>
                <w:rFonts w:ascii="Aptos Narrow" w:hAnsi="Aptos Narrow"/>
                <w:color w:val="000000"/>
              </w:rPr>
              <w:t>SVV</w:t>
            </w:r>
          </w:p>
        </w:tc>
        <w:tc>
          <w:tcPr>
            <w:tcW w:w="5613" w:type="dxa"/>
            <w:tcBorders>
              <w:top w:val="nil"/>
              <w:left w:val="nil"/>
              <w:bottom w:val="single" w:sz="4" w:space="0" w:color="auto"/>
              <w:right w:val="single" w:sz="4" w:space="0" w:color="auto"/>
            </w:tcBorders>
            <w:noWrap/>
            <w:vAlign w:val="center"/>
            <w:hideMark/>
          </w:tcPr>
          <w:p w14:paraId="5BA1FDF4" w14:textId="77777777" w:rsidR="009934BB" w:rsidRPr="009934BB" w:rsidRDefault="009934BB" w:rsidP="009934BB">
            <w:pPr>
              <w:rPr>
                <w:rFonts w:ascii="Aptos Narrow" w:hAnsi="Aptos Narrow"/>
                <w:color w:val="000000"/>
              </w:rPr>
            </w:pPr>
            <w:r w:rsidRPr="009934BB">
              <w:rPr>
                <w:rFonts w:ascii="Aptos Narrow" w:hAnsi="Aptos Narrow"/>
                <w:color w:val="000000"/>
              </w:rPr>
              <w:t>účelová podpora na specifický vysokoškolský výzkum</w:t>
            </w:r>
          </w:p>
        </w:tc>
        <w:tc>
          <w:tcPr>
            <w:tcW w:w="1191" w:type="dxa"/>
            <w:tcBorders>
              <w:top w:val="nil"/>
              <w:left w:val="nil"/>
              <w:bottom w:val="single" w:sz="4" w:space="0" w:color="auto"/>
              <w:right w:val="single" w:sz="4" w:space="0" w:color="auto"/>
            </w:tcBorders>
            <w:noWrap/>
            <w:vAlign w:val="bottom"/>
            <w:hideMark/>
          </w:tcPr>
          <w:p w14:paraId="70984F5B"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20 584</w:t>
            </w:r>
          </w:p>
        </w:tc>
        <w:tc>
          <w:tcPr>
            <w:tcW w:w="1191" w:type="dxa"/>
            <w:tcBorders>
              <w:top w:val="nil"/>
              <w:left w:val="nil"/>
              <w:bottom w:val="single" w:sz="4" w:space="0" w:color="auto"/>
              <w:right w:val="single" w:sz="4" w:space="0" w:color="auto"/>
            </w:tcBorders>
            <w:noWrap/>
            <w:vAlign w:val="bottom"/>
            <w:hideMark/>
          </w:tcPr>
          <w:p w14:paraId="1E294E79" w14:textId="77777777" w:rsidR="009934BB" w:rsidRPr="009934BB" w:rsidRDefault="009934BB" w:rsidP="009934BB">
            <w:pPr>
              <w:jc w:val="right"/>
              <w:rPr>
                <w:rFonts w:ascii="Aptos Narrow" w:hAnsi="Aptos Narrow"/>
                <w:color w:val="000000"/>
              </w:rPr>
            </w:pPr>
            <w:r w:rsidRPr="009934BB">
              <w:rPr>
                <w:rFonts w:ascii="Aptos Narrow" w:hAnsi="Aptos Narrow"/>
                <w:color w:val="000000"/>
              </w:rPr>
              <w:t>20 065</w:t>
            </w:r>
          </w:p>
        </w:tc>
      </w:tr>
      <w:tr w:rsidR="009934BB" w:rsidRPr="009934BB" w14:paraId="30BA17A2" w14:textId="77777777" w:rsidTr="00C36540">
        <w:trPr>
          <w:trHeight w:val="320"/>
        </w:trPr>
        <w:tc>
          <w:tcPr>
            <w:tcW w:w="1077" w:type="dxa"/>
            <w:tcBorders>
              <w:top w:val="nil"/>
              <w:left w:val="single" w:sz="4" w:space="0" w:color="auto"/>
              <w:bottom w:val="single" w:sz="4" w:space="0" w:color="auto"/>
              <w:right w:val="single" w:sz="4" w:space="0" w:color="auto"/>
            </w:tcBorders>
            <w:noWrap/>
            <w:vAlign w:val="center"/>
            <w:hideMark/>
          </w:tcPr>
          <w:p w14:paraId="675D99B8" w14:textId="77777777" w:rsidR="009934BB" w:rsidRPr="009934BB" w:rsidRDefault="009934BB" w:rsidP="009934BB">
            <w:pPr>
              <w:rPr>
                <w:rFonts w:ascii="Aptos Narrow" w:hAnsi="Aptos Narrow"/>
                <w:b/>
                <w:bCs/>
                <w:color w:val="000000"/>
              </w:rPr>
            </w:pPr>
            <w:r w:rsidRPr="009934BB">
              <w:rPr>
                <w:rFonts w:ascii="Aptos Narrow" w:hAnsi="Aptos Narrow"/>
                <w:b/>
                <w:bCs/>
                <w:color w:val="000000"/>
              </w:rPr>
              <w:t>Celkem</w:t>
            </w:r>
          </w:p>
        </w:tc>
        <w:tc>
          <w:tcPr>
            <w:tcW w:w="5613" w:type="dxa"/>
            <w:tcBorders>
              <w:top w:val="nil"/>
              <w:left w:val="nil"/>
              <w:bottom w:val="single" w:sz="4" w:space="0" w:color="auto"/>
              <w:right w:val="single" w:sz="4" w:space="0" w:color="auto"/>
            </w:tcBorders>
            <w:noWrap/>
            <w:vAlign w:val="bottom"/>
            <w:hideMark/>
          </w:tcPr>
          <w:p w14:paraId="0CDF17B7" w14:textId="77777777" w:rsidR="009934BB" w:rsidRPr="009934BB" w:rsidRDefault="009934BB" w:rsidP="009934BB">
            <w:pPr>
              <w:rPr>
                <w:rFonts w:ascii="Aptos Narrow" w:hAnsi="Aptos Narrow"/>
                <w:b/>
                <w:bCs/>
                <w:color w:val="000000"/>
              </w:rPr>
            </w:pPr>
            <w:r w:rsidRPr="009934BB">
              <w:rPr>
                <w:rFonts w:ascii="Aptos Narrow" w:hAnsi="Aptos Narrow"/>
                <w:b/>
                <w:bCs/>
                <w:color w:val="000000"/>
              </w:rPr>
              <w:t> </w:t>
            </w:r>
          </w:p>
        </w:tc>
        <w:tc>
          <w:tcPr>
            <w:tcW w:w="1191" w:type="dxa"/>
            <w:tcBorders>
              <w:top w:val="nil"/>
              <w:left w:val="nil"/>
              <w:bottom w:val="single" w:sz="4" w:space="0" w:color="auto"/>
              <w:right w:val="single" w:sz="4" w:space="0" w:color="auto"/>
            </w:tcBorders>
            <w:noWrap/>
            <w:vAlign w:val="bottom"/>
            <w:hideMark/>
          </w:tcPr>
          <w:p w14:paraId="659D8239" w14:textId="77777777"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1 116 850</w:t>
            </w:r>
          </w:p>
        </w:tc>
        <w:tc>
          <w:tcPr>
            <w:tcW w:w="1191" w:type="dxa"/>
            <w:tcBorders>
              <w:top w:val="nil"/>
              <w:left w:val="nil"/>
              <w:bottom w:val="single" w:sz="4" w:space="0" w:color="auto"/>
              <w:right w:val="single" w:sz="4" w:space="0" w:color="auto"/>
            </w:tcBorders>
            <w:noWrap/>
            <w:vAlign w:val="bottom"/>
            <w:hideMark/>
          </w:tcPr>
          <w:p w14:paraId="6699AE21" w14:textId="77777777" w:rsidR="009934BB" w:rsidRPr="009934BB" w:rsidRDefault="009934BB" w:rsidP="009934BB">
            <w:pPr>
              <w:jc w:val="right"/>
              <w:rPr>
                <w:rFonts w:ascii="Aptos Narrow" w:hAnsi="Aptos Narrow"/>
                <w:b/>
                <w:bCs/>
                <w:color w:val="000000"/>
              </w:rPr>
            </w:pPr>
            <w:r w:rsidRPr="009934BB">
              <w:rPr>
                <w:rFonts w:ascii="Aptos Narrow" w:hAnsi="Aptos Narrow"/>
                <w:b/>
                <w:bCs/>
                <w:color w:val="000000"/>
              </w:rPr>
              <w:t>1 080 491</w:t>
            </w:r>
          </w:p>
        </w:tc>
      </w:tr>
    </w:tbl>
    <w:p w14:paraId="4E49520F" w14:textId="77777777" w:rsidR="001A3D13" w:rsidRDefault="001A3D13" w:rsidP="00875F2C">
      <w:pPr>
        <w:pStyle w:val="RozpocetOdstavec"/>
      </w:pPr>
    </w:p>
    <w:p w14:paraId="2F105077" w14:textId="77777777" w:rsidR="005628FB" w:rsidRDefault="009B422C" w:rsidP="009B422C">
      <w:pPr>
        <w:pStyle w:val="RozpocetNadpis2"/>
      </w:pPr>
      <w:bookmarkStart w:id="7" w:name="_Toc228824319"/>
      <w:r>
        <w:t>Další zdroje rozpočtu UTB</w:t>
      </w:r>
      <w:bookmarkEnd w:id="7"/>
    </w:p>
    <w:p w14:paraId="1FEBC0B8" w14:textId="77777777" w:rsidR="009B422C" w:rsidRDefault="009B422C" w:rsidP="00F46BCB">
      <w:pPr>
        <w:pStyle w:val="RozpocetOdstavec"/>
      </w:pPr>
      <w:r>
        <w:t>Dalšími zdroji rozpočtu UTB</w:t>
      </w:r>
      <w:r w:rsidR="00B74844">
        <w:t>, které nejsou předmětem Rozpisu rozpočtu,</w:t>
      </w:r>
      <w:r>
        <w:t xml:space="preserve"> jsou</w:t>
      </w:r>
      <w:r w:rsidR="007D1097">
        <w:t xml:space="preserve"> zejména</w:t>
      </w:r>
      <w:r>
        <w:t>:</w:t>
      </w:r>
    </w:p>
    <w:p w14:paraId="324D245E" w14:textId="77777777" w:rsidR="009B422C" w:rsidRDefault="009B422C" w:rsidP="00AE2A47">
      <w:pPr>
        <w:pStyle w:val="Odstavecseseznamem"/>
        <w:numPr>
          <w:ilvl w:val="0"/>
          <w:numId w:val="3"/>
        </w:numPr>
        <w:jc w:val="both"/>
      </w:pPr>
      <w:r>
        <w:t>prostředky programové</w:t>
      </w:r>
      <w:r w:rsidR="00560BFB">
        <w:t>ho</w:t>
      </w:r>
      <w:r>
        <w:t xml:space="preserve"> financování MŠMT,</w:t>
      </w:r>
    </w:p>
    <w:p w14:paraId="5478F59A" w14:textId="77777777" w:rsidR="009B422C" w:rsidRDefault="009B422C" w:rsidP="00AE2A47">
      <w:pPr>
        <w:pStyle w:val="Odstavecseseznamem"/>
        <w:numPr>
          <w:ilvl w:val="0"/>
          <w:numId w:val="3"/>
        </w:numPr>
        <w:jc w:val="both"/>
      </w:pPr>
      <w:r>
        <w:t>projektové prostředky národní,</w:t>
      </w:r>
    </w:p>
    <w:p w14:paraId="3F72EB6A" w14:textId="77777777" w:rsidR="009B422C" w:rsidRDefault="009B422C" w:rsidP="00AE2A47">
      <w:pPr>
        <w:pStyle w:val="Odstavecseseznamem"/>
        <w:numPr>
          <w:ilvl w:val="0"/>
          <w:numId w:val="3"/>
        </w:numPr>
        <w:jc w:val="both"/>
      </w:pPr>
      <w:r>
        <w:t>projektové prostředky mezinárodní,</w:t>
      </w:r>
    </w:p>
    <w:p w14:paraId="36BE0C83" w14:textId="77777777" w:rsidR="009B422C" w:rsidRDefault="009B422C" w:rsidP="00AE2A47">
      <w:pPr>
        <w:pStyle w:val="Odstavecseseznamem"/>
        <w:numPr>
          <w:ilvl w:val="0"/>
          <w:numId w:val="3"/>
        </w:numPr>
        <w:jc w:val="both"/>
      </w:pPr>
      <w:r>
        <w:t>prostředky z doplňkové činnosti,</w:t>
      </w:r>
    </w:p>
    <w:p w14:paraId="33F2D09D" w14:textId="77777777" w:rsidR="009B422C" w:rsidRDefault="009B422C" w:rsidP="00AE2A47">
      <w:pPr>
        <w:pStyle w:val="Odstavecseseznamem"/>
        <w:numPr>
          <w:ilvl w:val="0"/>
          <w:numId w:val="3"/>
        </w:numPr>
        <w:jc w:val="both"/>
      </w:pPr>
      <w:r>
        <w:t>vlastní prostředky UTB,</w:t>
      </w:r>
    </w:p>
    <w:p w14:paraId="0539D468" w14:textId="71A72414" w:rsidR="009B422C" w:rsidRDefault="007D1097" w:rsidP="00AE2A47">
      <w:pPr>
        <w:pStyle w:val="Odstavecseseznamem"/>
        <w:numPr>
          <w:ilvl w:val="0"/>
          <w:numId w:val="3"/>
        </w:numPr>
        <w:jc w:val="both"/>
      </w:pPr>
      <w:r>
        <w:t xml:space="preserve">ostatní prostředky (zejména </w:t>
      </w:r>
      <w:r w:rsidR="009B422C">
        <w:t>dary</w:t>
      </w:r>
      <w:r>
        <w:t>, poplatky studentů,</w:t>
      </w:r>
      <w:r w:rsidR="009B422C">
        <w:t xml:space="preserve"> </w:t>
      </w:r>
      <w:r>
        <w:t>výnosy z finančního majetku apod.).</w:t>
      </w:r>
    </w:p>
    <w:p w14:paraId="1DC2DE4D" w14:textId="246F7248" w:rsidR="00FB049E" w:rsidRDefault="003A713A" w:rsidP="004F0804">
      <w:pPr>
        <w:pStyle w:val="RozpocetNadpis1"/>
      </w:pPr>
      <w:bookmarkStart w:id="8" w:name="_Toc228824320"/>
      <w:r>
        <w:lastRenderedPageBreak/>
        <w:t>Indikátory pro interní rozdělení financí</w:t>
      </w:r>
      <w:bookmarkEnd w:id="8"/>
    </w:p>
    <w:p w14:paraId="57D6E2EC" w14:textId="36DF7865" w:rsidR="0012257E" w:rsidRPr="00956BC6" w:rsidRDefault="004F0804" w:rsidP="00A147DC">
      <w:pPr>
        <w:pStyle w:val="RozpocetOdstavec"/>
      </w:pPr>
      <w:r w:rsidRPr="000A20AA">
        <w:t xml:space="preserve">Indikátory slouží </w:t>
      </w:r>
      <w:r w:rsidR="00560BFB" w:rsidRPr="000A20AA">
        <w:t xml:space="preserve">k </w:t>
      </w:r>
      <w:r w:rsidRPr="000A20AA">
        <w:t>rozdělení investičních (kapitálov</w:t>
      </w:r>
      <w:r w:rsidR="0012257E" w:rsidRPr="000A20AA">
        <w:t>ých</w:t>
      </w:r>
      <w:r w:rsidRPr="000A20AA">
        <w:t xml:space="preserve">) a neinvestičních příspěvků a dotací </w:t>
      </w:r>
      <w:r w:rsidR="006B684F" w:rsidRPr="000A20AA">
        <w:br/>
      </w:r>
      <w:r w:rsidRPr="000A20AA">
        <w:t>ze státního rozpočtu</w:t>
      </w:r>
      <w:r w:rsidR="0012257E" w:rsidRPr="000A20AA">
        <w:t xml:space="preserve"> poskytnutých MŠMT. Indikátory vyjadřují podíly </w:t>
      </w:r>
      <w:r w:rsidR="00DC696C" w:rsidRPr="000A20AA">
        <w:t>součástí na hodnotách jednotlivých ukazatelů UTB</w:t>
      </w:r>
      <w:r w:rsidR="0012257E" w:rsidRPr="000A20AA">
        <w:t>.</w:t>
      </w:r>
    </w:p>
    <w:p w14:paraId="69CC655A" w14:textId="77777777" w:rsidR="0012257E" w:rsidRDefault="0012257E" w:rsidP="0012257E">
      <w:pPr>
        <w:pStyle w:val="RozpocetOdstavec"/>
      </w:pPr>
    </w:p>
    <w:p w14:paraId="615923EE" w14:textId="77777777" w:rsidR="0012257E" w:rsidRDefault="0012257E" w:rsidP="0012257E">
      <w:pPr>
        <w:pStyle w:val="RozpocetNadpis2"/>
      </w:pPr>
      <w:bookmarkStart w:id="9" w:name="_Toc228824321"/>
      <w:r>
        <w:t>Indikátory pro rozdělení p</w:t>
      </w:r>
      <w:r w:rsidRPr="0012257E">
        <w:t>říspěvk</w:t>
      </w:r>
      <w:r>
        <w:t>ů</w:t>
      </w:r>
      <w:r w:rsidRPr="0012257E">
        <w:t xml:space="preserve"> a dotac</w:t>
      </w:r>
      <w:r>
        <w:t>í</w:t>
      </w:r>
      <w:r w:rsidRPr="0012257E">
        <w:t xml:space="preserve"> na vzdělávání a tvůrčí činnost</w:t>
      </w:r>
      <w:bookmarkEnd w:id="9"/>
    </w:p>
    <w:p w14:paraId="761F63AC" w14:textId="51F088DE" w:rsidR="004C447C" w:rsidRPr="00956BC6" w:rsidRDefault="004C447C" w:rsidP="004C447C">
      <w:pPr>
        <w:pStyle w:val="RozpocetOdstavec"/>
      </w:pPr>
      <w:r w:rsidRPr="00956BC6">
        <w:t>Z příspěvků a dotací na vzdělávací a tvůrčí činnost budou mezi součásti rozděleny finanční prostředky z ukazatele A, K, F, P a FUČ. Interní indikátory v maximální možné míře respektují algoritmy Pravidel rozdělení příspěvků a dotací MŠMT.</w:t>
      </w:r>
    </w:p>
    <w:p w14:paraId="0DC16101" w14:textId="77777777" w:rsidR="00566C55" w:rsidRPr="00956BC6" w:rsidRDefault="00566C55" w:rsidP="0012257E">
      <w:pPr>
        <w:pStyle w:val="RozpocetOdstavec"/>
      </w:pPr>
    </w:p>
    <w:p w14:paraId="4EB32620" w14:textId="77777777" w:rsidR="0012257E" w:rsidRDefault="006B684F" w:rsidP="00566C55">
      <w:pPr>
        <w:pStyle w:val="RozpoetNadpis3"/>
      </w:pPr>
      <w:bookmarkStart w:id="10" w:name="_Toc228824322"/>
      <w:r>
        <w:t>Indikátor o</w:t>
      </w:r>
      <w:r w:rsidR="00566C55">
        <w:t>bjem</w:t>
      </w:r>
      <w:bookmarkEnd w:id="10"/>
    </w:p>
    <w:p w14:paraId="18772396" w14:textId="77777777" w:rsidR="004C447C" w:rsidRDefault="004C447C" w:rsidP="004C447C">
      <w:pPr>
        <w:pStyle w:val="RozpocetOdstavec"/>
      </w:pPr>
      <w:r w:rsidRPr="00956BC6">
        <w:t>Indikátor objem představuje podíl součásti na ukazateli A v rámci všech součástí v předcházejících letech. Jedná se vážený průměr za roky 2025, 2024, 2023, 2022, 2021 s váhami 5:3:1:0,5:0,5. Zdrojem dat je Rozpis rozpočtu UTB v daných letech. Podle tohoto indikátoru bude mezi součásti rozděleno 100 % ukazatele A přiděleného UTB.</w:t>
      </w:r>
    </w:p>
    <w:p w14:paraId="46A84EC5" w14:textId="77777777" w:rsidR="00FB26BD" w:rsidRDefault="00FB26BD" w:rsidP="004C447C">
      <w:pPr>
        <w:pStyle w:val="RozpocetOdstavec"/>
      </w:pPr>
    </w:p>
    <w:tbl>
      <w:tblPr>
        <w:tblW w:w="9068" w:type="dxa"/>
        <w:tblLook w:val="04A0" w:firstRow="1" w:lastRow="0" w:firstColumn="1" w:lastColumn="0" w:noHBand="0" w:noVBand="1"/>
      </w:tblPr>
      <w:tblGrid>
        <w:gridCol w:w="1474"/>
        <w:gridCol w:w="1020"/>
        <w:gridCol w:w="1020"/>
        <w:gridCol w:w="1020"/>
        <w:gridCol w:w="1020"/>
        <w:gridCol w:w="1020"/>
        <w:gridCol w:w="1247"/>
        <w:gridCol w:w="1247"/>
      </w:tblGrid>
      <w:tr w:rsidR="00FB26BD" w14:paraId="700A758D" w14:textId="77777777" w:rsidTr="00BD6D0B">
        <w:trPr>
          <w:trHeight w:val="320"/>
        </w:trPr>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ADBF70" w14:textId="25A9E7E3" w:rsidR="00FB26BD" w:rsidRDefault="00FB26BD" w:rsidP="00FB26BD">
            <w:pPr>
              <w:jc w:val="center"/>
              <w:rPr>
                <w:rFonts w:ascii="Aptos Narrow" w:hAnsi="Aptos Narrow"/>
                <w:b/>
                <w:bCs/>
                <w:color w:val="000000"/>
              </w:rPr>
            </w:pPr>
            <w:r>
              <w:rPr>
                <w:rFonts w:ascii="Aptos Narrow" w:hAnsi="Aptos Narrow"/>
                <w:b/>
                <w:bCs/>
                <w:color w:val="000000"/>
              </w:rPr>
              <w:t>Součást</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95F8C9" w14:textId="77777777" w:rsidR="00FB26BD" w:rsidRDefault="00FB26BD" w:rsidP="00FB26BD">
            <w:pPr>
              <w:jc w:val="center"/>
              <w:rPr>
                <w:rFonts w:ascii="Aptos Narrow" w:hAnsi="Aptos Narrow"/>
                <w:b/>
                <w:bCs/>
                <w:color w:val="000000"/>
              </w:rPr>
            </w:pPr>
            <w:r>
              <w:rPr>
                <w:rFonts w:ascii="Aptos Narrow" w:hAnsi="Aptos Narrow"/>
                <w:b/>
                <w:bCs/>
                <w:color w:val="000000"/>
              </w:rPr>
              <w:t>2021</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7633B3" w14:textId="77777777" w:rsidR="00FB26BD" w:rsidRDefault="00FB26BD" w:rsidP="00FB26BD">
            <w:pPr>
              <w:jc w:val="center"/>
              <w:rPr>
                <w:rFonts w:ascii="Aptos Narrow" w:hAnsi="Aptos Narrow"/>
                <w:b/>
                <w:bCs/>
                <w:color w:val="000000"/>
              </w:rPr>
            </w:pPr>
            <w:r>
              <w:rPr>
                <w:rFonts w:ascii="Aptos Narrow" w:hAnsi="Aptos Narrow"/>
                <w:b/>
                <w:bCs/>
                <w:color w:val="000000"/>
              </w:rPr>
              <w:t>2022</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AA3D76" w14:textId="77777777" w:rsidR="00FB26BD" w:rsidRDefault="00FB26BD" w:rsidP="00FB26BD">
            <w:pPr>
              <w:jc w:val="center"/>
              <w:rPr>
                <w:rFonts w:ascii="Aptos Narrow" w:hAnsi="Aptos Narrow"/>
                <w:b/>
                <w:bCs/>
                <w:color w:val="000000"/>
              </w:rPr>
            </w:pPr>
            <w:r>
              <w:rPr>
                <w:rFonts w:ascii="Aptos Narrow" w:hAnsi="Aptos Narrow"/>
                <w:b/>
                <w:bCs/>
                <w:color w:val="000000"/>
              </w:rPr>
              <w:t>2023</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048CC5" w14:textId="77777777" w:rsidR="00FB26BD" w:rsidRDefault="00FB26BD" w:rsidP="00FB26BD">
            <w:pPr>
              <w:jc w:val="center"/>
              <w:rPr>
                <w:rFonts w:ascii="Aptos Narrow" w:hAnsi="Aptos Narrow"/>
                <w:b/>
                <w:bCs/>
                <w:color w:val="000000"/>
              </w:rPr>
            </w:pPr>
            <w:r>
              <w:rPr>
                <w:rFonts w:ascii="Aptos Narrow" w:hAnsi="Aptos Narrow"/>
                <w:b/>
                <w:bCs/>
                <w:color w:val="000000"/>
              </w:rPr>
              <w:t>2024</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991E2F" w14:textId="77777777" w:rsidR="00FB26BD" w:rsidRDefault="00FB26BD" w:rsidP="00FB26BD">
            <w:pPr>
              <w:jc w:val="center"/>
              <w:rPr>
                <w:rFonts w:ascii="Aptos Narrow" w:hAnsi="Aptos Narrow"/>
                <w:b/>
                <w:bCs/>
                <w:color w:val="000000"/>
              </w:rPr>
            </w:pPr>
            <w:r>
              <w:rPr>
                <w:rFonts w:ascii="Aptos Narrow" w:hAnsi="Aptos Narrow"/>
                <w:b/>
                <w:bCs/>
                <w:color w:val="000000"/>
              </w:rPr>
              <w:t>2025</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27C8E5" w14:textId="77777777" w:rsidR="00FB26BD" w:rsidRDefault="00FB26BD" w:rsidP="00FB26BD">
            <w:pPr>
              <w:jc w:val="center"/>
              <w:rPr>
                <w:rFonts w:ascii="Aptos Narrow" w:hAnsi="Aptos Narrow"/>
                <w:b/>
                <w:bCs/>
                <w:color w:val="000000"/>
              </w:rPr>
            </w:pPr>
            <w:r>
              <w:rPr>
                <w:rFonts w:ascii="Aptos Narrow" w:hAnsi="Aptos Narrow"/>
                <w:b/>
                <w:bCs/>
                <w:color w:val="000000"/>
              </w:rPr>
              <w:t>Objem</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52A82D" w14:textId="77777777" w:rsidR="00FB26BD" w:rsidRDefault="00FB26BD" w:rsidP="00FB26BD">
            <w:pPr>
              <w:jc w:val="center"/>
              <w:rPr>
                <w:rFonts w:ascii="Aptos Narrow" w:hAnsi="Aptos Narrow"/>
                <w:b/>
                <w:bCs/>
                <w:color w:val="000000"/>
              </w:rPr>
            </w:pPr>
            <w:r>
              <w:rPr>
                <w:rFonts w:ascii="Aptos Narrow" w:hAnsi="Aptos Narrow"/>
                <w:b/>
                <w:bCs/>
                <w:color w:val="000000"/>
              </w:rPr>
              <w:t>Objem v %</w:t>
            </w:r>
          </w:p>
        </w:tc>
      </w:tr>
      <w:tr w:rsidR="00FB26BD" w14:paraId="00013E88"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5C4C8CB2" w14:textId="77777777" w:rsidR="00FB26BD" w:rsidRDefault="00FB26BD" w:rsidP="00FB26BD">
            <w:pPr>
              <w:rPr>
                <w:rFonts w:ascii="Aptos Narrow" w:hAnsi="Aptos Narrow"/>
                <w:color w:val="000000"/>
              </w:rPr>
            </w:pPr>
            <w:r>
              <w:rPr>
                <w:rFonts w:ascii="Aptos Narrow" w:hAnsi="Aptos Narrow"/>
                <w:color w:val="000000"/>
              </w:rPr>
              <w:t>FT</w:t>
            </w:r>
          </w:p>
        </w:tc>
        <w:tc>
          <w:tcPr>
            <w:tcW w:w="1020" w:type="dxa"/>
            <w:tcBorders>
              <w:top w:val="nil"/>
              <w:left w:val="nil"/>
              <w:bottom w:val="single" w:sz="4" w:space="0" w:color="auto"/>
              <w:right w:val="single" w:sz="4" w:space="0" w:color="auto"/>
            </w:tcBorders>
            <w:noWrap/>
            <w:vAlign w:val="center"/>
            <w:hideMark/>
          </w:tcPr>
          <w:p w14:paraId="7FBE66D8" w14:textId="77777777" w:rsidR="00FB26BD" w:rsidRDefault="00FB26BD" w:rsidP="00FB26BD">
            <w:pPr>
              <w:jc w:val="right"/>
              <w:rPr>
                <w:rFonts w:ascii="Aptos Narrow" w:hAnsi="Aptos Narrow"/>
                <w:color w:val="000000"/>
              </w:rPr>
            </w:pPr>
            <w:r>
              <w:rPr>
                <w:rFonts w:ascii="Aptos Narrow" w:hAnsi="Aptos Narrow"/>
                <w:color w:val="000000"/>
              </w:rPr>
              <w:t>126 582</w:t>
            </w:r>
          </w:p>
        </w:tc>
        <w:tc>
          <w:tcPr>
            <w:tcW w:w="1020" w:type="dxa"/>
            <w:tcBorders>
              <w:top w:val="nil"/>
              <w:left w:val="nil"/>
              <w:bottom w:val="single" w:sz="4" w:space="0" w:color="auto"/>
              <w:right w:val="single" w:sz="4" w:space="0" w:color="auto"/>
            </w:tcBorders>
            <w:noWrap/>
            <w:vAlign w:val="center"/>
            <w:hideMark/>
          </w:tcPr>
          <w:p w14:paraId="467C7909" w14:textId="77777777" w:rsidR="00FB26BD" w:rsidRDefault="00FB26BD" w:rsidP="00FB26BD">
            <w:pPr>
              <w:jc w:val="right"/>
              <w:rPr>
                <w:rFonts w:ascii="Aptos Narrow" w:hAnsi="Aptos Narrow"/>
                <w:color w:val="000000"/>
              </w:rPr>
            </w:pPr>
            <w:r>
              <w:rPr>
                <w:rFonts w:ascii="Aptos Narrow" w:hAnsi="Aptos Narrow"/>
                <w:color w:val="000000"/>
              </w:rPr>
              <w:t>138 069</w:t>
            </w:r>
          </w:p>
        </w:tc>
        <w:tc>
          <w:tcPr>
            <w:tcW w:w="1020" w:type="dxa"/>
            <w:tcBorders>
              <w:top w:val="nil"/>
              <w:left w:val="nil"/>
              <w:bottom w:val="single" w:sz="4" w:space="0" w:color="auto"/>
              <w:right w:val="single" w:sz="4" w:space="0" w:color="auto"/>
            </w:tcBorders>
            <w:noWrap/>
            <w:vAlign w:val="center"/>
            <w:hideMark/>
          </w:tcPr>
          <w:p w14:paraId="303C1ED2" w14:textId="77777777" w:rsidR="00FB26BD" w:rsidRDefault="00FB26BD" w:rsidP="00FB26BD">
            <w:pPr>
              <w:jc w:val="right"/>
              <w:rPr>
                <w:rFonts w:ascii="Aptos Narrow" w:hAnsi="Aptos Narrow"/>
                <w:color w:val="000000"/>
              </w:rPr>
            </w:pPr>
            <w:r>
              <w:rPr>
                <w:rFonts w:ascii="Aptos Narrow" w:hAnsi="Aptos Narrow"/>
                <w:color w:val="000000"/>
              </w:rPr>
              <w:t>138 401</w:t>
            </w:r>
          </w:p>
        </w:tc>
        <w:tc>
          <w:tcPr>
            <w:tcW w:w="1020" w:type="dxa"/>
            <w:tcBorders>
              <w:top w:val="nil"/>
              <w:left w:val="nil"/>
              <w:bottom w:val="single" w:sz="4" w:space="0" w:color="auto"/>
              <w:right w:val="single" w:sz="4" w:space="0" w:color="auto"/>
            </w:tcBorders>
            <w:noWrap/>
            <w:vAlign w:val="center"/>
            <w:hideMark/>
          </w:tcPr>
          <w:p w14:paraId="0D771BE2" w14:textId="77777777" w:rsidR="00FB26BD" w:rsidRDefault="00FB26BD" w:rsidP="00FB26BD">
            <w:pPr>
              <w:jc w:val="right"/>
              <w:rPr>
                <w:rFonts w:ascii="Aptos Narrow" w:hAnsi="Aptos Narrow"/>
                <w:color w:val="000000"/>
              </w:rPr>
            </w:pPr>
            <w:r>
              <w:rPr>
                <w:rFonts w:ascii="Aptos Narrow" w:hAnsi="Aptos Narrow"/>
                <w:color w:val="000000"/>
              </w:rPr>
              <w:t>144 355</w:t>
            </w:r>
          </w:p>
        </w:tc>
        <w:tc>
          <w:tcPr>
            <w:tcW w:w="1020" w:type="dxa"/>
            <w:tcBorders>
              <w:top w:val="nil"/>
              <w:left w:val="nil"/>
              <w:bottom w:val="single" w:sz="4" w:space="0" w:color="auto"/>
              <w:right w:val="single" w:sz="4" w:space="0" w:color="auto"/>
            </w:tcBorders>
            <w:noWrap/>
            <w:vAlign w:val="center"/>
            <w:hideMark/>
          </w:tcPr>
          <w:p w14:paraId="2D756C6B" w14:textId="77777777" w:rsidR="00FB26BD" w:rsidRDefault="00FB26BD" w:rsidP="00FB26BD">
            <w:pPr>
              <w:jc w:val="right"/>
              <w:rPr>
                <w:rFonts w:ascii="Aptos Narrow" w:hAnsi="Aptos Narrow"/>
                <w:color w:val="000000"/>
              </w:rPr>
            </w:pPr>
            <w:r>
              <w:rPr>
                <w:rFonts w:ascii="Aptos Narrow" w:hAnsi="Aptos Narrow"/>
                <w:color w:val="000000"/>
              </w:rPr>
              <w:t>155 791</w:t>
            </w:r>
          </w:p>
        </w:tc>
        <w:tc>
          <w:tcPr>
            <w:tcW w:w="1247" w:type="dxa"/>
            <w:tcBorders>
              <w:top w:val="nil"/>
              <w:left w:val="nil"/>
              <w:bottom w:val="single" w:sz="4" w:space="0" w:color="auto"/>
              <w:right w:val="single" w:sz="4" w:space="0" w:color="auto"/>
            </w:tcBorders>
            <w:noWrap/>
            <w:vAlign w:val="center"/>
            <w:hideMark/>
          </w:tcPr>
          <w:p w14:paraId="0CCD0B02" w14:textId="77777777" w:rsidR="00FB26BD" w:rsidRDefault="00FB26BD" w:rsidP="00FB26BD">
            <w:pPr>
              <w:jc w:val="right"/>
              <w:rPr>
                <w:rFonts w:ascii="Aptos Narrow" w:hAnsi="Aptos Narrow"/>
                <w:color w:val="000000"/>
              </w:rPr>
            </w:pPr>
            <w:r>
              <w:rPr>
                <w:rFonts w:ascii="Aptos Narrow" w:hAnsi="Aptos Narrow"/>
                <w:color w:val="000000"/>
              </w:rPr>
              <w:t>148 275</w:t>
            </w:r>
          </w:p>
        </w:tc>
        <w:tc>
          <w:tcPr>
            <w:tcW w:w="1247" w:type="dxa"/>
            <w:tcBorders>
              <w:top w:val="nil"/>
              <w:left w:val="nil"/>
              <w:bottom w:val="single" w:sz="4" w:space="0" w:color="auto"/>
              <w:right w:val="single" w:sz="4" w:space="0" w:color="auto"/>
            </w:tcBorders>
            <w:noWrap/>
            <w:vAlign w:val="center"/>
            <w:hideMark/>
          </w:tcPr>
          <w:p w14:paraId="312BFFCE" w14:textId="77777777" w:rsidR="00FB26BD" w:rsidRDefault="00FB26BD" w:rsidP="00FB26BD">
            <w:pPr>
              <w:jc w:val="right"/>
              <w:rPr>
                <w:rFonts w:ascii="Aptos Narrow" w:hAnsi="Aptos Narrow"/>
                <w:color w:val="000000"/>
              </w:rPr>
            </w:pPr>
            <w:r>
              <w:rPr>
                <w:rFonts w:ascii="Aptos Narrow" w:hAnsi="Aptos Narrow"/>
                <w:color w:val="000000"/>
              </w:rPr>
              <w:t>24,69</w:t>
            </w:r>
          </w:p>
        </w:tc>
      </w:tr>
      <w:tr w:rsidR="00FB26BD" w14:paraId="2966F7CA"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4AC89FD4" w14:textId="77777777" w:rsidR="00FB26BD" w:rsidRDefault="00FB26BD" w:rsidP="00FB26BD">
            <w:pPr>
              <w:rPr>
                <w:rFonts w:ascii="Aptos Narrow" w:hAnsi="Aptos Narrow"/>
                <w:color w:val="000000"/>
              </w:rPr>
            </w:pPr>
            <w:r>
              <w:rPr>
                <w:rFonts w:ascii="Aptos Narrow" w:hAnsi="Aptos Narrow"/>
                <w:color w:val="000000"/>
              </w:rPr>
              <w:t>FLKŘ</w:t>
            </w:r>
          </w:p>
        </w:tc>
        <w:tc>
          <w:tcPr>
            <w:tcW w:w="1020" w:type="dxa"/>
            <w:tcBorders>
              <w:top w:val="nil"/>
              <w:left w:val="nil"/>
              <w:bottom w:val="single" w:sz="4" w:space="0" w:color="auto"/>
              <w:right w:val="single" w:sz="4" w:space="0" w:color="auto"/>
            </w:tcBorders>
            <w:noWrap/>
            <w:vAlign w:val="center"/>
            <w:hideMark/>
          </w:tcPr>
          <w:p w14:paraId="0DA8593E" w14:textId="77777777" w:rsidR="00FB26BD" w:rsidRDefault="00FB26BD" w:rsidP="00FB26BD">
            <w:pPr>
              <w:jc w:val="right"/>
              <w:rPr>
                <w:rFonts w:ascii="Aptos Narrow" w:hAnsi="Aptos Narrow"/>
                <w:color w:val="000000"/>
              </w:rPr>
            </w:pPr>
            <w:r>
              <w:rPr>
                <w:rFonts w:ascii="Aptos Narrow" w:hAnsi="Aptos Narrow"/>
                <w:color w:val="000000"/>
              </w:rPr>
              <w:t>67 488</w:t>
            </w:r>
          </w:p>
        </w:tc>
        <w:tc>
          <w:tcPr>
            <w:tcW w:w="1020" w:type="dxa"/>
            <w:tcBorders>
              <w:top w:val="nil"/>
              <w:left w:val="nil"/>
              <w:bottom w:val="single" w:sz="4" w:space="0" w:color="auto"/>
              <w:right w:val="single" w:sz="4" w:space="0" w:color="auto"/>
            </w:tcBorders>
            <w:noWrap/>
            <w:vAlign w:val="center"/>
            <w:hideMark/>
          </w:tcPr>
          <w:p w14:paraId="0E745CF8" w14:textId="77777777" w:rsidR="00FB26BD" w:rsidRDefault="00FB26BD" w:rsidP="00FB26BD">
            <w:pPr>
              <w:jc w:val="right"/>
              <w:rPr>
                <w:rFonts w:ascii="Aptos Narrow" w:hAnsi="Aptos Narrow"/>
                <w:color w:val="000000"/>
              </w:rPr>
            </w:pPr>
            <w:r>
              <w:rPr>
                <w:rFonts w:ascii="Aptos Narrow" w:hAnsi="Aptos Narrow"/>
                <w:color w:val="000000"/>
              </w:rPr>
              <w:t>66 957</w:t>
            </w:r>
          </w:p>
        </w:tc>
        <w:tc>
          <w:tcPr>
            <w:tcW w:w="1020" w:type="dxa"/>
            <w:tcBorders>
              <w:top w:val="nil"/>
              <w:left w:val="nil"/>
              <w:bottom w:val="single" w:sz="4" w:space="0" w:color="auto"/>
              <w:right w:val="single" w:sz="4" w:space="0" w:color="auto"/>
            </w:tcBorders>
            <w:noWrap/>
            <w:vAlign w:val="center"/>
            <w:hideMark/>
          </w:tcPr>
          <w:p w14:paraId="211F4779" w14:textId="77777777" w:rsidR="00FB26BD" w:rsidRDefault="00FB26BD" w:rsidP="00FB26BD">
            <w:pPr>
              <w:jc w:val="right"/>
              <w:rPr>
                <w:rFonts w:ascii="Aptos Narrow" w:hAnsi="Aptos Narrow"/>
                <w:color w:val="000000"/>
              </w:rPr>
            </w:pPr>
            <w:r>
              <w:rPr>
                <w:rFonts w:ascii="Aptos Narrow" w:hAnsi="Aptos Narrow"/>
                <w:color w:val="000000"/>
              </w:rPr>
              <w:t>67 491</w:t>
            </w:r>
          </w:p>
        </w:tc>
        <w:tc>
          <w:tcPr>
            <w:tcW w:w="1020" w:type="dxa"/>
            <w:tcBorders>
              <w:top w:val="nil"/>
              <w:left w:val="nil"/>
              <w:bottom w:val="single" w:sz="4" w:space="0" w:color="auto"/>
              <w:right w:val="single" w:sz="4" w:space="0" w:color="auto"/>
            </w:tcBorders>
            <w:noWrap/>
            <w:vAlign w:val="center"/>
            <w:hideMark/>
          </w:tcPr>
          <w:p w14:paraId="4805BB55" w14:textId="77777777" w:rsidR="00FB26BD" w:rsidRDefault="00FB26BD" w:rsidP="00FB26BD">
            <w:pPr>
              <w:jc w:val="right"/>
              <w:rPr>
                <w:rFonts w:ascii="Aptos Narrow" w:hAnsi="Aptos Narrow"/>
                <w:color w:val="000000"/>
              </w:rPr>
            </w:pPr>
            <w:r>
              <w:rPr>
                <w:rFonts w:ascii="Aptos Narrow" w:hAnsi="Aptos Narrow"/>
                <w:color w:val="000000"/>
              </w:rPr>
              <w:t>70 124</w:t>
            </w:r>
          </w:p>
        </w:tc>
        <w:tc>
          <w:tcPr>
            <w:tcW w:w="1020" w:type="dxa"/>
            <w:tcBorders>
              <w:top w:val="nil"/>
              <w:left w:val="nil"/>
              <w:bottom w:val="single" w:sz="4" w:space="0" w:color="auto"/>
              <w:right w:val="single" w:sz="4" w:space="0" w:color="auto"/>
            </w:tcBorders>
            <w:noWrap/>
            <w:vAlign w:val="center"/>
            <w:hideMark/>
          </w:tcPr>
          <w:p w14:paraId="1EF08592" w14:textId="77777777" w:rsidR="00FB26BD" w:rsidRDefault="00FB26BD" w:rsidP="00FB26BD">
            <w:pPr>
              <w:jc w:val="right"/>
              <w:rPr>
                <w:rFonts w:ascii="Aptos Narrow" w:hAnsi="Aptos Narrow"/>
                <w:color w:val="000000"/>
              </w:rPr>
            </w:pPr>
            <w:r>
              <w:rPr>
                <w:rFonts w:ascii="Aptos Narrow" w:hAnsi="Aptos Narrow"/>
                <w:color w:val="000000"/>
              </w:rPr>
              <w:t>76 092</w:t>
            </w:r>
          </w:p>
        </w:tc>
        <w:tc>
          <w:tcPr>
            <w:tcW w:w="1247" w:type="dxa"/>
            <w:tcBorders>
              <w:top w:val="nil"/>
              <w:left w:val="nil"/>
              <w:bottom w:val="single" w:sz="4" w:space="0" w:color="auto"/>
              <w:right w:val="single" w:sz="4" w:space="0" w:color="auto"/>
            </w:tcBorders>
            <w:noWrap/>
            <w:vAlign w:val="center"/>
            <w:hideMark/>
          </w:tcPr>
          <w:p w14:paraId="0C40F5C7" w14:textId="77777777" w:rsidR="00FB26BD" w:rsidRDefault="00FB26BD" w:rsidP="00FB26BD">
            <w:pPr>
              <w:jc w:val="right"/>
              <w:rPr>
                <w:rFonts w:ascii="Aptos Narrow" w:hAnsi="Aptos Narrow"/>
                <w:color w:val="000000"/>
              </w:rPr>
            </w:pPr>
            <w:r>
              <w:rPr>
                <w:rFonts w:ascii="Aptos Narrow" w:hAnsi="Aptos Narrow"/>
                <w:color w:val="000000"/>
              </w:rPr>
              <w:t>72 555</w:t>
            </w:r>
          </w:p>
        </w:tc>
        <w:tc>
          <w:tcPr>
            <w:tcW w:w="1247" w:type="dxa"/>
            <w:tcBorders>
              <w:top w:val="nil"/>
              <w:left w:val="nil"/>
              <w:bottom w:val="single" w:sz="4" w:space="0" w:color="auto"/>
              <w:right w:val="single" w:sz="4" w:space="0" w:color="auto"/>
            </w:tcBorders>
            <w:noWrap/>
            <w:vAlign w:val="center"/>
            <w:hideMark/>
          </w:tcPr>
          <w:p w14:paraId="33218E90" w14:textId="77777777" w:rsidR="00FB26BD" w:rsidRDefault="00FB26BD" w:rsidP="00FB26BD">
            <w:pPr>
              <w:jc w:val="right"/>
              <w:rPr>
                <w:rFonts w:ascii="Aptos Narrow" w:hAnsi="Aptos Narrow"/>
                <w:color w:val="000000"/>
              </w:rPr>
            </w:pPr>
            <w:r>
              <w:rPr>
                <w:rFonts w:ascii="Aptos Narrow" w:hAnsi="Aptos Narrow"/>
                <w:color w:val="000000"/>
              </w:rPr>
              <w:t>12,08</w:t>
            </w:r>
          </w:p>
        </w:tc>
      </w:tr>
      <w:tr w:rsidR="00FB26BD" w14:paraId="6D24B946"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6E3CD32D" w14:textId="77777777" w:rsidR="00FB26BD" w:rsidRDefault="00FB26BD" w:rsidP="00FB26BD">
            <w:pPr>
              <w:rPr>
                <w:rFonts w:ascii="Aptos Narrow" w:hAnsi="Aptos Narrow"/>
                <w:color w:val="000000"/>
              </w:rPr>
            </w:pPr>
            <w:r>
              <w:rPr>
                <w:rFonts w:ascii="Aptos Narrow" w:hAnsi="Aptos Narrow"/>
                <w:color w:val="000000"/>
              </w:rPr>
              <w:t>FAI</w:t>
            </w:r>
          </w:p>
        </w:tc>
        <w:tc>
          <w:tcPr>
            <w:tcW w:w="1020" w:type="dxa"/>
            <w:tcBorders>
              <w:top w:val="nil"/>
              <w:left w:val="nil"/>
              <w:bottom w:val="single" w:sz="4" w:space="0" w:color="auto"/>
              <w:right w:val="single" w:sz="4" w:space="0" w:color="auto"/>
            </w:tcBorders>
            <w:noWrap/>
            <w:vAlign w:val="center"/>
            <w:hideMark/>
          </w:tcPr>
          <w:p w14:paraId="2E7E5A89" w14:textId="77777777" w:rsidR="00FB26BD" w:rsidRDefault="00FB26BD" w:rsidP="00FB26BD">
            <w:pPr>
              <w:jc w:val="right"/>
              <w:rPr>
                <w:rFonts w:ascii="Aptos Narrow" w:hAnsi="Aptos Narrow"/>
                <w:color w:val="000000"/>
              </w:rPr>
            </w:pPr>
            <w:r>
              <w:rPr>
                <w:rFonts w:ascii="Aptos Narrow" w:hAnsi="Aptos Narrow"/>
                <w:color w:val="000000"/>
              </w:rPr>
              <w:t>75 335</w:t>
            </w:r>
          </w:p>
        </w:tc>
        <w:tc>
          <w:tcPr>
            <w:tcW w:w="1020" w:type="dxa"/>
            <w:tcBorders>
              <w:top w:val="nil"/>
              <w:left w:val="nil"/>
              <w:bottom w:val="single" w:sz="4" w:space="0" w:color="auto"/>
              <w:right w:val="single" w:sz="4" w:space="0" w:color="auto"/>
            </w:tcBorders>
            <w:noWrap/>
            <w:vAlign w:val="center"/>
            <w:hideMark/>
          </w:tcPr>
          <w:p w14:paraId="406416E8" w14:textId="77777777" w:rsidR="00FB26BD" w:rsidRDefault="00FB26BD" w:rsidP="00FB26BD">
            <w:pPr>
              <w:jc w:val="right"/>
              <w:rPr>
                <w:rFonts w:ascii="Aptos Narrow" w:hAnsi="Aptos Narrow"/>
                <w:color w:val="000000"/>
              </w:rPr>
            </w:pPr>
            <w:r>
              <w:rPr>
                <w:rFonts w:ascii="Aptos Narrow" w:hAnsi="Aptos Narrow"/>
                <w:color w:val="000000"/>
              </w:rPr>
              <w:t>76 513</w:t>
            </w:r>
          </w:p>
        </w:tc>
        <w:tc>
          <w:tcPr>
            <w:tcW w:w="1020" w:type="dxa"/>
            <w:tcBorders>
              <w:top w:val="nil"/>
              <w:left w:val="nil"/>
              <w:bottom w:val="single" w:sz="4" w:space="0" w:color="auto"/>
              <w:right w:val="single" w:sz="4" w:space="0" w:color="auto"/>
            </w:tcBorders>
            <w:noWrap/>
            <w:vAlign w:val="center"/>
            <w:hideMark/>
          </w:tcPr>
          <w:p w14:paraId="5ACF93A7" w14:textId="77777777" w:rsidR="00FB26BD" w:rsidRDefault="00FB26BD" w:rsidP="00FB26BD">
            <w:pPr>
              <w:jc w:val="right"/>
              <w:rPr>
                <w:rFonts w:ascii="Aptos Narrow" w:hAnsi="Aptos Narrow"/>
                <w:color w:val="000000"/>
              </w:rPr>
            </w:pPr>
            <w:r>
              <w:rPr>
                <w:rFonts w:ascii="Aptos Narrow" w:hAnsi="Aptos Narrow"/>
                <w:color w:val="000000"/>
              </w:rPr>
              <w:t>77 058</w:t>
            </w:r>
          </w:p>
        </w:tc>
        <w:tc>
          <w:tcPr>
            <w:tcW w:w="1020" w:type="dxa"/>
            <w:tcBorders>
              <w:top w:val="nil"/>
              <w:left w:val="nil"/>
              <w:bottom w:val="single" w:sz="4" w:space="0" w:color="auto"/>
              <w:right w:val="single" w:sz="4" w:space="0" w:color="auto"/>
            </w:tcBorders>
            <w:noWrap/>
            <w:vAlign w:val="center"/>
            <w:hideMark/>
          </w:tcPr>
          <w:p w14:paraId="6860518C" w14:textId="77777777" w:rsidR="00FB26BD" w:rsidRDefault="00FB26BD" w:rsidP="00FB26BD">
            <w:pPr>
              <w:jc w:val="right"/>
              <w:rPr>
                <w:rFonts w:ascii="Aptos Narrow" w:hAnsi="Aptos Narrow"/>
                <w:color w:val="000000"/>
              </w:rPr>
            </w:pPr>
            <w:r>
              <w:rPr>
                <w:rFonts w:ascii="Aptos Narrow" w:hAnsi="Aptos Narrow"/>
                <w:color w:val="000000"/>
              </w:rPr>
              <w:t>79 997</w:t>
            </w:r>
          </w:p>
        </w:tc>
        <w:tc>
          <w:tcPr>
            <w:tcW w:w="1020" w:type="dxa"/>
            <w:tcBorders>
              <w:top w:val="nil"/>
              <w:left w:val="nil"/>
              <w:bottom w:val="single" w:sz="4" w:space="0" w:color="auto"/>
              <w:right w:val="single" w:sz="4" w:space="0" w:color="auto"/>
            </w:tcBorders>
            <w:noWrap/>
            <w:vAlign w:val="center"/>
            <w:hideMark/>
          </w:tcPr>
          <w:p w14:paraId="52254691" w14:textId="77777777" w:rsidR="00FB26BD" w:rsidRDefault="00FB26BD" w:rsidP="00FB26BD">
            <w:pPr>
              <w:jc w:val="right"/>
              <w:rPr>
                <w:rFonts w:ascii="Aptos Narrow" w:hAnsi="Aptos Narrow"/>
                <w:color w:val="000000"/>
              </w:rPr>
            </w:pPr>
            <w:r>
              <w:rPr>
                <w:rFonts w:ascii="Aptos Narrow" w:hAnsi="Aptos Narrow"/>
                <w:color w:val="000000"/>
              </w:rPr>
              <w:t>86 625</w:t>
            </w:r>
          </w:p>
        </w:tc>
        <w:tc>
          <w:tcPr>
            <w:tcW w:w="1247" w:type="dxa"/>
            <w:tcBorders>
              <w:top w:val="nil"/>
              <w:left w:val="nil"/>
              <w:bottom w:val="single" w:sz="4" w:space="0" w:color="auto"/>
              <w:right w:val="single" w:sz="4" w:space="0" w:color="auto"/>
            </w:tcBorders>
            <w:noWrap/>
            <w:vAlign w:val="center"/>
            <w:hideMark/>
          </w:tcPr>
          <w:p w14:paraId="7B11194A" w14:textId="77777777" w:rsidR="00FB26BD" w:rsidRDefault="00FB26BD" w:rsidP="00FB26BD">
            <w:pPr>
              <w:jc w:val="right"/>
              <w:rPr>
                <w:rFonts w:ascii="Aptos Narrow" w:hAnsi="Aptos Narrow"/>
                <w:color w:val="000000"/>
              </w:rPr>
            </w:pPr>
            <w:r>
              <w:rPr>
                <w:rFonts w:ascii="Aptos Narrow" w:hAnsi="Aptos Narrow"/>
                <w:color w:val="000000"/>
              </w:rPr>
              <w:t>82 610</w:t>
            </w:r>
          </w:p>
        </w:tc>
        <w:tc>
          <w:tcPr>
            <w:tcW w:w="1247" w:type="dxa"/>
            <w:tcBorders>
              <w:top w:val="nil"/>
              <w:left w:val="nil"/>
              <w:bottom w:val="single" w:sz="4" w:space="0" w:color="auto"/>
              <w:right w:val="single" w:sz="4" w:space="0" w:color="auto"/>
            </w:tcBorders>
            <w:noWrap/>
            <w:vAlign w:val="center"/>
            <w:hideMark/>
          </w:tcPr>
          <w:p w14:paraId="5A042C4F" w14:textId="77777777" w:rsidR="00FB26BD" w:rsidRDefault="00FB26BD" w:rsidP="00FB26BD">
            <w:pPr>
              <w:jc w:val="right"/>
              <w:rPr>
                <w:rFonts w:ascii="Aptos Narrow" w:hAnsi="Aptos Narrow"/>
                <w:color w:val="000000"/>
              </w:rPr>
            </w:pPr>
            <w:r>
              <w:rPr>
                <w:rFonts w:ascii="Aptos Narrow" w:hAnsi="Aptos Narrow"/>
                <w:color w:val="000000"/>
              </w:rPr>
              <w:t>13,75</w:t>
            </w:r>
          </w:p>
        </w:tc>
      </w:tr>
      <w:tr w:rsidR="00FB26BD" w14:paraId="2180041F"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34E4A5D2" w14:textId="77777777" w:rsidR="00FB26BD" w:rsidRDefault="00FB26BD" w:rsidP="00FB26BD">
            <w:pPr>
              <w:rPr>
                <w:rFonts w:ascii="Aptos Narrow" w:hAnsi="Aptos Narrow"/>
                <w:color w:val="000000"/>
              </w:rPr>
            </w:pPr>
            <w:r>
              <w:rPr>
                <w:rFonts w:ascii="Aptos Narrow" w:hAnsi="Aptos Narrow"/>
                <w:color w:val="000000"/>
              </w:rPr>
              <w:t>FMK</w:t>
            </w:r>
          </w:p>
        </w:tc>
        <w:tc>
          <w:tcPr>
            <w:tcW w:w="1020" w:type="dxa"/>
            <w:tcBorders>
              <w:top w:val="nil"/>
              <w:left w:val="nil"/>
              <w:bottom w:val="single" w:sz="4" w:space="0" w:color="auto"/>
              <w:right w:val="single" w:sz="4" w:space="0" w:color="auto"/>
            </w:tcBorders>
            <w:noWrap/>
            <w:vAlign w:val="center"/>
            <w:hideMark/>
          </w:tcPr>
          <w:p w14:paraId="42BA38A3" w14:textId="77777777" w:rsidR="00FB26BD" w:rsidRDefault="00FB26BD" w:rsidP="00FB26BD">
            <w:pPr>
              <w:jc w:val="right"/>
              <w:rPr>
                <w:rFonts w:ascii="Aptos Narrow" w:hAnsi="Aptos Narrow"/>
                <w:color w:val="000000"/>
              </w:rPr>
            </w:pPr>
            <w:r>
              <w:rPr>
                <w:rFonts w:ascii="Aptos Narrow" w:hAnsi="Aptos Narrow"/>
                <w:color w:val="000000"/>
              </w:rPr>
              <w:t>99 176</w:t>
            </w:r>
          </w:p>
        </w:tc>
        <w:tc>
          <w:tcPr>
            <w:tcW w:w="1020" w:type="dxa"/>
            <w:tcBorders>
              <w:top w:val="nil"/>
              <w:left w:val="nil"/>
              <w:bottom w:val="single" w:sz="4" w:space="0" w:color="auto"/>
              <w:right w:val="single" w:sz="4" w:space="0" w:color="auto"/>
            </w:tcBorders>
            <w:noWrap/>
            <w:vAlign w:val="center"/>
            <w:hideMark/>
          </w:tcPr>
          <w:p w14:paraId="7D1BACC3" w14:textId="77777777" w:rsidR="00FB26BD" w:rsidRDefault="00FB26BD" w:rsidP="00FB26BD">
            <w:pPr>
              <w:jc w:val="right"/>
              <w:rPr>
                <w:rFonts w:ascii="Aptos Narrow" w:hAnsi="Aptos Narrow"/>
                <w:color w:val="000000"/>
              </w:rPr>
            </w:pPr>
            <w:r>
              <w:rPr>
                <w:rFonts w:ascii="Aptos Narrow" w:hAnsi="Aptos Narrow"/>
                <w:color w:val="000000"/>
              </w:rPr>
              <w:t>101 914</w:t>
            </w:r>
          </w:p>
        </w:tc>
        <w:tc>
          <w:tcPr>
            <w:tcW w:w="1020" w:type="dxa"/>
            <w:tcBorders>
              <w:top w:val="nil"/>
              <w:left w:val="nil"/>
              <w:bottom w:val="single" w:sz="4" w:space="0" w:color="auto"/>
              <w:right w:val="single" w:sz="4" w:space="0" w:color="auto"/>
            </w:tcBorders>
            <w:noWrap/>
            <w:vAlign w:val="center"/>
            <w:hideMark/>
          </w:tcPr>
          <w:p w14:paraId="29BFB618" w14:textId="77777777" w:rsidR="00FB26BD" w:rsidRDefault="00FB26BD" w:rsidP="00FB26BD">
            <w:pPr>
              <w:jc w:val="right"/>
              <w:rPr>
                <w:rFonts w:ascii="Aptos Narrow" w:hAnsi="Aptos Narrow"/>
                <w:color w:val="000000"/>
              </w:rPr>
            </w:pPr>
            <w:r>
              <w:rPr>
                <w:rFonts w:ascii="Aptos Narrow" w:hAnsi="Aptos Narrow"/>
                <w:color w:val="000000"/>
              </w:rPr>
              <w:t>102 897</w:t>
            </w:r>
          </w:p>
        </w:tc>
        <w:tc>
          <w:tcPr>
            <w:tcW w:w="1020" w:type="dxa"/>
            <w:tcBorders>
              <w:top w:val="nil"/>
              <w:left w:val="nil"/>
              <w:bottom w:val="single" w:sz="4" w:space="0" w:color="auto"/>
              <w:right w:val="single" w:sz="4" w:space="0" w:color="auto"/>
            </w:tcBorders>
            <w:noWrap/>
            <w:vAlign w:val="center"/>
            <w:hideMark/>
          </w:tcPr>
          <w:p w14:paraId="3AB976EF" w14:textId="77777777" w:rsidR="00FB26BD" w:rsidRDefault="00FB26BD" w:rsidP="00FB26BD">
            <w:pPr>
              <w:jc w:val="right"/>
              <w:rPr>
                <w:rFonts w:ascii="Aptos Narrow" w:hAnsi="Aptos Narrow"/>
                <w:color w:val="000000"/>
              </w:rPr>
            </w:pPr>
            <w:r>
              <w:rPr>
                <w:rFonts w:ascii="Aptos Narrow" w:hAnsi="Aptos Narrow"/>
                <w:color w:val="000000"/>
              </w:rPr>
              <w:t>106 923</w:t>
            </w:r>
          </w:p>
        </w:tc>
        <w:tc>
          <w:tcPr>
            <w:tcW w:w="1020" w:type="dxa"/>
            <w:tcBorders>
              <w:top w:val="nil"/>
              <w:left w:val="nil"/>
              <w:bottom w:val="single" w:sz="4" w:space="0" w:color="auto"/>
              <w:right w:val="single" w:sz="4" w:space="0" w:color="auto"/>
            </w:tcBorders>
            <w:noWrap/>
            <w:vAlign w:val="center"/>
            <w:hideMark/>
          </w:tcPr>
          <w:p w14:paraId="78147BD9" w14:textId="77777777" w:rsidR="00FB26BD" w:rsidRDefault="00FB26BD" w:rsidP="00FB26BD">
            <w:pPr>
              <w:jc w:val="right"/>
              <w:rPr>
                <w:rFonts w:ascii="Aptos Narrow" w:hAnsi="Aptos Narrow"/>
                <w:color w:val="000000"/>
              </w:rPr>
            </w:pPr>
            <w:r>
              <w:rPr>
                <w:rFonts w:ascii="Aptos Narrow" w:hAnsi="Aptos Narrow"/>
                <w:color w:val="000000"/>
              </w:rPr>
              <w:t>115 665</w:t>
            </w:r>
          </w:p>
        </w:tc>
        <w:tc>
          <w:tcPr>
            <w:tcW w:w="1247" w:type="dxa"/>
            <w:tcBorders>
              <w:top w:val="nil"/>
              <w:left w:val="nil"/>
              <w:bottom w:val="single" w:sz="4" w:space="0" w:color="auto"/>
              <w:right w:val="single" w:sz="4" w:space="0" w:color="auto"/>
            </w:tcBorders>
            <w:noWrap/>
            <w:vAlign w:val="center"/>
            <w:hideMark/>
          </w:tcPr>
          <w:p w14:paraId="44E0298B" w14:textId="77777777" w:rsidR="00FB26BD" w:rsidRDefault="00FB26BD" w:rsidP="00FB26BD">
            <w:pPr>
              <w:jc w:val="right"/>
              <w:rPr>
                <w:rFonts w:ascii="Aptos Narrow" w:hAnsi="Aptos Narrow"/>
                <w:color w:val="000000"/>
              </w:rPr>
            </w:pPr>
            <w:r>
              <w:rPr>
                <w:rFonts w:ascii="Aptos Narrow" w:hAnsi="Aptos Narrow"/>
                <w:color w:val="000000"/>
              </w:rPr>
              <w:t>110 254</w:t>
            </w:r>
          </w:p>
        </w:tc>
        <w:tc>
          <w:tcPr>
            <w:tcW w:w="1247" w:type="dxa"/>
            <w:tcBorders>
              <w:top w:val="nil"/>
              <w:left w:val="nil"/>
              <w:bottom w:val="single" w:sz="4" w:space="0" w:color="auto"/>
              <w:right w:val="single" w:sz="4" w:space="0" w:color="auto"/>
            </w:tcBorders>
            <w:noWrap/>
            <w:vAlign w:val="center"/>
            <w:hideMark/>
          </w:tcPr>
          <w:p w14:paraId="66A6A11F" w14:textId="77777777" w:rsidR="00FB26BD" w:rsidRDefault="00FB26BD" w:rsidP="00FB26BD">
            <w:pPr>
              <w:jc w:val="right"/>
              <w:rPr>
                <w:rFonts w:ascii="Aptos Narrow" w:hAnsi="Aptos Narrow"/>
                <w:color w:val="000000"/>
              </w:rPr>
            </w:pPr>
            <w:r>
              <w:rPr>
                <w:rFonts w:ascii="Aptos Narrow" w:hAnsi="Aptos Narrow"/>
                <w:color w:val="000000"/>
              </w:rPr>
              <w:t>18,36</w:t>
            </w:r>
          </w:p>
        </w:tc>
      </w:tr>
      <w:tr w:rsidR="00FB26BD" w14:paraId="36C8543E"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472AD547" w14:textId="77777777" w:rsidR="00FB26BD" w:rsidRDefault="00FB26BD" w:rsidP="00FB26BD">
            <w:pPr>
              <w:rPr>
                <w:rFonts w:ascii="Aptos Narrow" w:hAnsi="Aptos Narrow"/>
                <w:color w:val="000000"/>
              </w:rPr>
            </w:pPr>
            <w:r>
              <w:rPr>
                <w:rFonts w:ascii="Aptos Narrow" w:hAnsi="Aptos Narrow"/>
                <w:color w:val="000000"/>
              </w:rPr>
              <w:t>FaME</w:t>
            </w:r>
          </w:p>
        </w:tc>
        <w:tc>
          <w:tcPr>
            <w:tcW w:w="1020" w:type="dxa"/>
            <w:tcBorders>
              <w:top w:val="nil"/>
              <w:left w:val="nil"/>
              <w:bottom w:val="single" w:sz="4" w:space="0" w:color="auto"/>
              <w:right w:val="single" w:sz="4" w:space="0" w:color="auto"/>
            </w:tcBorders>
            <w:noWrap/>
            <w:vAlign w:val="center"/>
            <w:hideMark/>
          </w:tcPr>
          <w:p w14:paraId="5144F197" w14:textId="77777777" w:rsidR="00FB26BD" w:rsidRDefault="00FB26BD" w:rsidP="00FB26BD">
            <w:pPr>
              <w:jc w:val="right"/>
              <w:rPr>
                <w:rFonts w:ascii="Aptos Narrow" w:hAnsi="Aptos Narrow"/>
                <w:color w:val="000000"/>
              </w:rPr>
            </w:pPr>
            <w:r>
              <w:rPr>
                <w:rFonts w:ascii="Aptos Narrow" w:hAnsi="Aptos Narrow"/>
                <w:color w:val="000000"/>
              </w:rPr>
              <w:t>71 726</w:t>
            </w:r>
          </w:p>
        </w:tc>
        <w:tc>
          <w:tcPr>
            <w:tcW w:w="1020" w:type="dxa"/>
            <w:tcBorders>
              <w:top w:val="nil"/>
              <w:left w:val="nil"/>
              <w:bottom w:val="single" w:sz="4" w:space="0" w:color="auto"/>
              <w:right w:val="single" w:sz="4" w:space="0" w:color="auto"/>
            </w:tcBorders>
            <w:noWrap/>
            <w:vAlign w:val="center"/>
            <w:hideMark/>
          </w:tcPr>
          <w:p w14:paraId="5CF4FDCD" w14:textId="77777777" w:rsidR="00FB26BD" w:rsidRDefault="00FB26BD" w:rsidP="00FB26BD">
            <w:pPr>
              <w:jc w:val="right"/>
              <w:rPr>
                <w:rFonts w:ascii="Aptos Narrow" w:hAnsi="Aptos Narrow"/>
                <w:color w:val="000000"/>
              </w:rPr>
            </w:pPr>
            <w:r>
              <w:rPr>
                <w:rFonts w:ascii="Aptos Narrow" w:hAnsi="Aptos Narrow"/>
                <w:color w:val="000000"/>
              </w:rPr>
              <w:t>75 176</w:t>
            </w:r>
          </w:p>
        </w:tc>
        <w:tc>
          <w:tcPr>
            <w:tcW w:w="1020" w:type="dxa"/>
            <w:tcBorders>
              <w:top w:val="nil"/>
              <w:left w:val="nil"/>
              <w:bottom w:val="single" w:sz="4" w:space="0" w:color="auto"/>
              <w:right w:val="single" w:sz="4" w:space="0" w:color="auto"/>
            </w:tcBorders>
            <w:noWrap/>
            <w:vAlign w:val="center"/>
            <w:hideMark/>
          </w:tcPr>
          <w:p w14:paraId="3DB99A68" w14:textId="77777777" w:rsidR="00FB26BD" w:rsidRDefault="00FB26BD" w:rsidP="00FB26BD">
            <w:pPr>
              <w:jc w:val="right"/>
              <w:rPr>
                <w:rFonts w:ascii="Aptos Narrow" w:hAnsi="Aptos Narrow"/>
                <w:color w:val="000000"/>
              </w:rPr>
            </w:pPr>
            <w:r>
              <w:rPr>
                <w:rFonts w:ascii="Aptos Narrow" w:hAnsi="Aptos Narrow"/>
                <w:color w:val="000000"/>
              </w:rPr>
              <w:t>75 817</w:t>
            </w:r>
          </w:p>
        </w:tc>
        <w:tc>
          <w:tcPr>
            <w:tcW w:w="1020" w:type="dxa"/>
            <w:tcBorders>
              <w:top w:val="nil"/>
              <w:left w:val="nil"/>
              <w:bottom w:val="single" w:sz="4" w:space="0" w:color="auto"/>
              <w:right w:val="single" w:sz="4" w:space="0" w:color="auto"/>
            </w:tcBorders>
            <w:noWrap/>
            <w:vAlign w:val="center"/>
            <w:hideMark/>
          </w:tcPr>
          <w:p w14:paraId="14656811" w14:textId="77777777" w:rsidR="00FB26BD" w:rsidRDefault="00FB26BD" w:rsidP="00FB26BD">
            <w:pPr>
              <w:jc w:val="right"/>
              <w:rPr>
                <w:rFonts w:ascii="Aptos Narrow" w:hAnsi="Aptos Narrow"/>
                <w:color w:val="000000"/>
              </w:rPr>
            </w:pPr>
            <w:r>
              <w:rPr>
                <w:rFonts w:ascii="Aptos Narrow" w:hAnsi="Aptos Narrow"/>
                <w:color w:val="000000"/>
              </w:rPr>
              <w:t>78 782</w:t>
            </w:r>
          </w:p>
        </w:tc>
        <w:tc>
          <w:tcPr>
            <w:tcW w:w="1020" w:type="dxa"/>
            <w:tcBorders>
              <w:top w:val="nil"/>
              <w:left w:val="nil"/>
              <w:bottom w:val="single" w:sz="4" w:space="0" w:color="auto"/>
              <w:right w:val="single" w:sz="4" w:space="0" w:color="auto"/>
            </w:tcBorders>
            <w:noWrap/>
            <w:vAlign w:val="center"/>
            <w:hideMark/>
          </w:tcPr>
          <w:p w14:paraId="11561751" w14:textId="77777777" w:rsidR="00FB26BD" w:rsidRDefault="00FB26BD" w:rsidP="00FB26BD">
            <w:pPr>
              <w:jc w:val="right"/>
              <w:rPr>
                <w:rFonts w:ascii="Aptos Narrow" w:hAnsi="Aptos Narrow"/>
                <w:color w:val="000000"/>
              </w:rPr>
            </w:pPr>
            <w:r>
              <w:rPr>
                <w:rFonts w:ascii="Aptos Narrow" w:hAnsi="Aptos Narrow"/>
                <w:color w:val="000000"/>
              </w:rPr>
              <w:t>85 157</w:t>
            </w:r>
          </w:p>
        </w:tc>
        <w:tc>
          <w:tcPr>
            <w:tcW w:w="1247" w:type="dxa"/>
            <w:tcBorders>
              <w:top w:val="nil"/>
              <w:left w:val="nil"/>
              <w:bottom w:val="single" w:sz="4" w:space="0" w:color="auto"/>
              <w:right w:val="single" w:sz="4" w:space="0" w:color="auto"/>
            </w:tcBorders>
            <w:noWrap/>
            <w:vAlign w:val="center"/>
            <w:hideMark/>
          </w:tcPr>
          <w:p w14:paraId="2EC92850" w14:textId="77777777" w:rsidR="00FB26BD" w:rsidRDefault="00FB26BD" w:rsidP="00FB26BD">
            <w:pPr>
              <w:jc w:val="right"/>
              <w:rPr>
                <w:rFonts w:ascii="Aptos Narrow" w:hAnsi="Aptos Narrow"/>
                <w:color w:val="000000"/>
              </w:rPr>
            </w:pPr>
            <w:r>
              <w:rPr>
                <w:rFonts w:ascii="Aptos Narrow" w:hAnsi="Aptos Narrow"/>
                <w:color w:val="000000"/>
              </w:rPr>
              <w:t>81 140</w:t>
            </w:r>
          </w:p>
        </w:tc>
        <w:tc>
          <w:tcPr>
            <w:tcW w:w="1247" w:type="dxa"/>
            <w:tcBorders>
              <w:top w:val="nil"/>
              <w:left w:val="nil"/>
              <w:bottom w:val="single" w:sz="4" w:space="0" w:color="auto"/>
              <w:right w:val="single" w:sz="4" w:space="0" w:color="auto"/>
            </w:tcBorders>
            <w:noWrap/>
            <w:vAlign w:val="center"/>
            <w:hideMark/>
          </w:tcPr>
          <w:p w14:paraId="761C4D24" w14:textId="77777777" w:rsidR="00FB26BD" w:rsidRDefault="00FB26BD" w:rsidP="00FB26BD">
            <w:pPr>
              <w:jc w:val="right"/>
              <w:rPr>
                <w:rFonts w:ascii="Aptos Narrow" w:hAnsi="Aptos Narrow"/>
                <w:color w:val="000000"/>
              </w:rPr>
            </w:pPr>
            <w:r>
              <w:rPr>
                <w:rFonts w:ascii="Aptos Narrow" w:hAnsi="Aptos Narrow"/>
                <w:color w:val="000000"/>
              </w:rPr>
              <w:t>13,51</w:t>
            </w:r>
          </w:p>
        </w:tc>
      </w:tr>
      <w:tr w:rsidR="00FB26BD" w14:paraId="0456FBEE"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3E54933C" w14:textId="77777777" w:rsidR="00FB26BD" w:rsidRDefault="00FB26BD" w:rsidP="00FB26BD">
            <w:pPr>
              <w:rPr>
                <w:rFonts w:ascii="Aptos Narrow" w:hAnsi="Aptos Narrow"/>
                <w:color w:val="000000"/>
              </w:rPr>
            </w:pPr>
            <w:r>
              <w:rPr>
                <w:rFonts w:ascii="Aptos Narrow" w:hAnsi="Aptos Narrow"/>
                <w:color w:val="000000"/>
              </w:rPr>
              <w:t>FHS</w:t>
            </w:r>
          </w:p>
        </w:tc>
        <w:tc>
          <w:tcPr>
            <w:tcW w:w="1020" w:type="dxa"/>
            <w:tcBorders>
              <w:top w:val="nil"/>
              <w:left w:val="nil"/>
              <w:bottom w:val="single" w:sz="4" w:space="0" w:color="auto"/>
              <w:right w:val="single" w:sz="4" w:space="0" w:color="auto"/>
            </w:tcBorders>
            <w:noWrap/>
            <w:vAlign w:val="center"/>
            <w:hideMark/>
          </w:tcPr>
          <w:p w14:paraId="4DA12DED" w14:textId="77777777" w:rsidR="00FB26BD" w:rsidRDefault="00FB26BD" w:rsidP="00FB26BD">
            <w:pPr>
              <w:jc w:val="right"/>
              <w:rPr>
                <w:rFonts w:ascii="Aptos Narrow" w:hAnsi="Aptos Narrow"/>
                <w:color w:val="000000"/>
              </w:rPr>
            </w:pPr>
            <w:r>
              <w:rPr>
                <w:rFonts w:ascii="Aptos Narrow" w:hAnsi="Aptos Narrow"/>
                <w:color w:val="000000"/>
              </w:rPr>
              <w:t>90 572</w:t>
            </w:r>
          </w:p>
        </w:tc>
        <w:tc>
          <w:tcPr>
            <w:tcW w:w="1020" w:type="dxa"/>
            <w:tcBorders>
              <w:top w:val="nil"/>
              <w:left w:val="nil"/>
              <w:bottom w:val="single" w:sz="4" w:space="0" w:color="auto"/>
              <w:right w:val="single" w:sz="4" w:space="0" w:color="auto"/>
            </w:tcBorders>
            <w:noWrap/>
            <w:vAlign w:val="center"/>
            <w:hideMark/>
          </w:tcPr>
          <w:p w14:paraId="3B6BC1BA" w14:textId="77777777" w:rsidR="00FB26BD" w:rsidRDefault="00FB26BD" w:rsidP="00FB26BD">
            <w:pPr>
              <w:jc w:val="right"/>
              <w:rPr>
                <w:rFonts w:ascii="Aptos Narrow" w:hAnsi="Aptos Narrow"/>
                <w:color w:val="000000"/>
              </w:rPr>
            </w:pPr>
            <w:r>
              <w:rPr>
                <w:rFonts w:ascii="Aptos Narrow" w:hAnsi="Aptos Narrow"/>
                <w:color w:val="000000"/>
              </w:rPr>
              <w:t>94 206</w:t>
            </w:r>
          </w:p>
        </w:tc>
        <w:tc>
          <w:tcPr>
            <w:tcW w:w="1020" w:type="dxa"/>
            <w:tcBorders>
              <w:top w:val="nil"/>
              <w:left w:val="nil"/>
              <w:bottom w:val="single" w:sz="4" w:space="0" w:color="auto"/>
              <w:right w:val="single" w:sz="4" w:space="0" w:color="auto"/>
            </w:tcBorders>
            <w:noWrap/>
            <w:vAlign w:val="center"/>
            <w:hideMark/>
          </w:tcPr>
          <w:p w14:paraId="2FF3D43D" w14:textId="77777777" w:rsidR="00FB26BD" w:rsidRDefault="00FB26BD" w:rsidP="00FB26BD">
            <w:pPr>
              <w:jc w:val="right"/>
              <w:rPr>
                <w:rFonts w:ascii="Aptos Narrow" w:hAnsi="Aptos Narrow"/>
                <w:color w:val="000000"/>
              </w:rPr>
            </w:pPr>
            <w:r>
              <w:rPr>
                <w:rFonts w:ascii="Aptos Narrow" w:hAnsi="Aptos Narrow"/>
                <w:color w:val="000000"/>
              </w:rPr>
              <w:t>94 694</w:t>
            </w:r>
          </w:p>
        </w:tc>
        <w:tc>
          <w:tcPr>
            <w:tcW w:w="1020" w:type="dxa"/>
            <w:tcBorders>
              <w:top w:val="nil"/>
              <w:left w:val="nil"/>
              <w:bottom w:val="single" w:sz="4" w:space="0" w:color="auto"/>
              <w:right w:val="single" w:sz="4" w:space="0" w:color="auto"/>
            </w:tcBorders>
            <w:noWrap/>
            <w:vAlign w:val="center"/>
            <w:hideMark/>
          </w:tcPr>
          <w:p w14:paraId="3821EF91" w14:textId="77777777" w:rsidR="00FB26BD" w:rsidRDefault="00FB26BD" w:rsidP="00FB26BD">
            <w:pPr>
              <w:jc w:val="right"/>
              <w:rPr>
                <w:rFonts w:ascii="Aptos Narrow" w:hAnsi="Aptos Narrow"/>
                <w:color w:val="000000"/>
              </w:rPr>
            </w:pPr>
            <w:r>
              <w:rPr>
                <w:rFonts w:ascii="Aptos Narrow" w:hAnsi="Aptos Narrow"/>
                <w:color w:val="000000"/>
              </w:rPr>
              <w:t>98 633</w:t>
            </w:r>
          </w:p>
        </w:tc>
        <w:tc>
          <w:tcPr>
            <w:tcW w:w="1020" w:type="dxa"/>
            <w:tcBorders>
              <w:top w:val="nil"/>
              <w:left w:val="nil"/>
              <w:bottom w:val="single" w:sz="4" w:space="0" w:color="auto"/>
              <w:right w:val="single" w:sz="4" w:space="0" w:color="auto"/>
            </w:tcBorders>
            <w:noWrap/>
            <w:vAlign w:val="center"/>
            <w:hideMark/>
          </w:tcPr>
          <w:p w14:paraId="08F06B7D" w14:textId="77777777" w:rsidR="00FB26BD" w:rsidRDefault="00FB26BD" w:rsidP="00FB26BD">
            <w:pPr>
              <w:jc w:val="right"/>
              <w:rPr>
                <w:rFonts w:ascii="Aptos Narrow" w:hAnsi="Aptos Narrow"/>
                <w:color w:val="000000"/>
              </w:rPr>
            </w:pPr>
            <w:r>
              <w:rPr>
                <w:rFonts w:ascii="Aptos Narrow" w:hAnsi="Aptos Narrow"/>
                <w:color w:val="000000"/>
              </w:rPr>
              <w:t>106 624</w:t>
            </w:r>
          </w:p>
        </w:tc>
        <w:tc>
          <w:tcPr>
            <w:tcW w:w="1247" w:type="dxa"/>
            <w:tcBorders>
              <w:top w:val="nil"/>
              <w:left w:val="nil"/>
              <w:bottom w:val="single" w:sz="4" w:space="0" w:color="auto"/>
              <w:right w:val="single" w:sz="4" w:space="0" w:color="auto"/>
            </w:tcBorders>
            <w:noWrap/>
            <w:vAlign w:val="center"/>
            <w:hideMark/>
          </w:tcPr>
          <w:p w14:paraId="0A585DC6" w14:textId="77777777" w:rsidR="00FB26BD" w:rsidRDefault="00FB26BD" w:rsidP="00FB26BD">
            <w:pPr>
              <w:jc w:val="right"/>
              <w:rPr>
                <w:rFonts w:ascii="Aptos Narrow" w:hAnsi="Aptos Narrow"/>
                <w:color w:val="000000"/>
              </w:rPr>
            </w:pPr>
            <w:r>
              <w:rPr>
                <w:rFonts w:ascii="Aptos Narrow" w:hAnsi="Aptos Narrow"/>
                <w:color w:val="000000"/>
              </w:rPr>
              <w:t>101 610</w:t>
            </w:r>
          </w:p>
        </w:tc>
        <w:tc>
          <w:tcPr>
            <w:tcW w:w="1247" w:type="dxa"/>
            <w:tcBorders>
              <w:top w:val="nil"/>
              <w:left w:val="nil"/>
              <w:bottom w:val="single" w:sz="4" w:space="0" w:color="auto"/>
              <w:right w:val="single" w:sz="4" w:space="0" w:color="auto"/>
            </w:tcBorders>
            <w:noWrap/>
            <w:vAlign w:val="center"/>
            <w:hideMark/>
          </w:tcPr>
          <w:p w14:paraId="7B1233B7" w14:textId="77777777" w:rsidR="00FB26BD" w:rsidRDefault="00FB26BD" w:rsidP="00FB26BD">
            <w:pPr>
              <w:jc w:val="right"/>
              <w:rPr>
                <w:rFonts w:ascii="Aptos Narrow" w:hAnsi="Aptos Narrow"/>
                <w:color w:val="000000"/>
              </w:rPr>
            </w:pPr>
            <w:r>
              <w:rPr>
                <w:rFonts w:ascii="Aptos Narrow" w:hAnsi="Aptos Narrow"/>
                <w:color w:val="000000"/>
              </w:rPr>
              <w:t>16,92</w:t>
            </w:r>
          </w:p>
        </w:tc>
      </w:tr>
      <w:tr w:rsidR="00FB26BD" w14:paraId="20D9DB17"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180B8419" w14:textId="77777777" w:rsidR="00FB26BD" w:rsidRDefault="00FB26BD" w:rsidP="00FB26BD">
            <w:pPr>
              <w:rPr>
                <w:rFonts w:ascii="Aptos Narrow" w:hAnsi="Aptos Narrow"/>
                <w:color w:val="000000"/>
              </w:rPr>
            </w:pPr>
            <w:r>
              <w:rPr>
                <w:rFonts w:ascii="Aptos Narrow" w:hAnsi="Aptos Narrow"/>
                <w:color w:val="000000"/>
              </w:rPr>
              <w:t>UNI</w:t>
            </w:r>
          </w:p>
        </w:tc>
        <w:tc>
          <w:tcPr>
            <w:tcW w:w="1020" w:type="dxa"/>
            <w:tcBorders>
              <w:top w:val="nil"/>
              <w:left w:val="nil"/>
              <w:bottom w:val="single" w:sz="4" w:space="0" w:color="auto"/>
              <w:right w:val="single" w:sz="4" w:space="0" w:color="auto"/>
            </w:tcBorders>
            <w:noWrap/>
            <w:vAlign w:val="center"/>
            <w:hideMark/>
          </w:tcPr>
          <w:p w14:paraId="0CD77420" w14:textId="77777777" w:rsidR="00FB26BD" w:rsidRDefault="00FB26BD" w:rsidP="00FB26BD">
            <w:pPr>
              <w:jc w:val="right"/>
              <w:rPr>
                <w:rFonts w:ascii="Aptos Narrow" w:hAnsi="Aptos Narrow"/>
                <w:color w:val="000000"/>
              </w:rPr>
            </w:pPr>
            <w:r>
              <w:rPr>
                <w:rFonts w:ascii="Aptos Narrow" w:hAnsi="Aptos Narrow"/>
                <w:color w:val="000000"/>
              </w:rPr>
              <w:t>3 722</w:t>
            </w:r>
          </w:p>
        </w:tc>
        <w:tc>
          <w:tcPr>
            <w:tcW w:w="1020" w:type="dxa"/>
            <w:tcBorders>
              <w:top w:val="nil"/>
              <w:left w:val="nil"/>
              <w:bottom w:val="single" w:sz="4" w:space="0" w:color="auto"/>
              <w:right w:val="single" w:sz="4" w:space="0" w:color="auto"/>
            </w:tcBorders>
            <w:noWrap/>
            <w:vAlign w:val="center"/>
            <w:hideMark/>
          </w:tcPr>
          <w:p w14:paraId="408E9637" w14:textId="77777777" w:rsidR="00FB26BD" w:rsidRDefault="00FB26BD" w:rsidP="00FB26BD">
            <w:pPr>
              <w:jc w:val="right"/>
              <w:rPr>
                <w:rFonts w:ascii="Aptos Narrow" w:hAnsi="Aptos Narrow"/>
                <w:color w:val="000000"/>
              </w:rPr>
            </w:pPr>
            <w:r>
              <w:rPr>
                <w:rFonts w:ascii="Aptos Narrow" w:hAnsi="Aptos Narrow"/>
                <w:color w:val="000000"/>
              </w:rPr>
              <w:t>3 825</w:t>
            </w:r>
          </w:p>
        </w:tc>
        <w:tc>
          <w:tcPr>
            <w:tcW w:w="1020" w:type="dxa"/>
            <w:tcBorders>
              <w:top w:val="nil"/>
              <w:left w:val="nil"/>
              <w:bottom w:val="single" w:sz="4" w:space="0" w:color="auto"/>
              <w:right w:val="single" w:sz="4" w:space="0" w:color="auto"/>
            </w:tcBorders>
            <w:noWrap/>
            <w:vAlign w:val="center"/>
            <w:hideMark/>
          </w:tcPr>
          <w:p w14:paraId="3925845D" w14:textId="77777777" w:rsidR="00FB26BD" w:rsidRDefault="00FB26BD" w:rsidP="00FB26BD">
            <w:pPr>
              <w:jc w:val="right"/>
              <w:rPr>
                <w:rFonts w:ascii="Aptos Narrow" w:hAnsi="Aptos Narrow"/>
                <w:color w:val="000000"/>
              </w:rPr>
            </w:pPr>
            <w:r>
              <w:rPr>
                <w:rFonts w:ascii="Aptos Narrow" w:hAnsi="Aptos Narrow"/>
                <w:color w:val="000000"/>
              </w:rPr>
              <w:t>3 908</w:t>
            </w:r>
          </w:p>
        </w:tc>
        <w:tc>
          <w:tcPr>
            <w:tcW w:w="1020" w:type="dxa"/>
            <w:tcBorders>
              <w:top w:val="nil"/>
              <w:left w:val="nil"/>
              <w:bottom w:val="single" w:sz="4" w:space="0" w:color="auto"/>
              <w:right w:val="single" w:sz="4" w:space="0" w:color="auto"/>
            </w:tcBorders>
            <w:noWrap/>
            <w:vAlign w:val="center"/>
            <w:hideMark/>
          </w:tcPr>
          <w:p w14:paraId="6F53A917" w14:textId="77777777" w:rsidR="00FB26BD" w:rsidRDefault="00FB26BD" w:rsidP="00FB26BD">
            <w:pPr>
              <w:jc w:val="right"/>
              <w:rPr>
                <w:rFonts w:ascii="Aptos Narrow" w:hAnsi="Aptos Narrow"/>
                <w:color w:val="000000"/>
              </w:rPr>
            </w:pPr>
            <w:r>
              <w:rPr>
                <w:rFonts w:ascii="Aptos Narrow" w:hAnsi="Aptos Narrow"/>
                <w:color w:val="000000"/>
              </w:rPr>
              <w:t>4 043</w:t>
            </w:r>
          </w:p>
        </w:tc>
        <w:tc>
          <w:tcPr>
            <w:tcW w:w="1020" w:type="dxa"/>
            <w:tcBorders>
              <w:top w:val="nil"/>
              <w:left w:val="nil"/>
              <w:bottom w:val="single" w:sz="4" w:space="0" w:color="auto"/>
              <w:right w:val="single" w:sz="4" w:space="0" w:color="auto"/>
            </w:tcBorders>
            <w:noWrap/>
            <w:vAlign w:val="center"/>
            <w:hideMark/>
          </w:tcPr>
          <w:p w14:paraId="778AD83B" w14:textId="77777777" w:rsidR="00FB26BD" w:rsidRDefault="00FB26BD" w:rsidP="00FB26BD">
            <w:pPr>
              <w:jc w:val="right"/>
              <w:rPr>
                <w:rFonts w:ascii="Aptos Narrow" w:hAnsi="Aptos Narrow"/>
                <w:color w:val="000000"/>
              </w:rPr>
            </w:pPr>
            <w:r>
              <w:rPr>
                <w:rFonts w:ascii="Aptos Narrow" w:hAnsi="Aptos Narrow"/>
                <w:color w:val="000000"/>
              </w:rPr>
              <w:t>4 340</w:t>
            </w:r>
          </w:p>
        </w:tc>
        <w:tc>
          <w:tcPr>
            <w:tcW w:w="1247" w:type="dxa"/>
            <w:tcBorders>
              <w:top w:val="nil"/>
              <w:left w:val="nil"/>
              <w:bottom w:val="single" w:sz="4" w:space="0" w:color="auto"/>
              <w:right w:val="single" w:sz="4" w:space="0" w:color="auto"/>
            </w:tcBorders>
            <w:noWrap/>
            <w:vAlign w:val="center"/>
            <w:hideMark/>
          </w:tcPr>
          <w:p w14:paraId="24963976" w14:textId="77777777" w:rsidR="00FB26BD" w:rsidRDefault="00FB26BD" w:rsidP="00FB26BD">
            <w:pPr>
              <w:jc w:val="right"/>
              <w:rPr>
                <w:rFonts w:ascii="Aptos Narrow" w:hAnsi="Aptos Narrow"/>
                <w:color w:val="000000"/>
              </w:rPr>
            </w:pPr>
            <w:r>
              <w:rPr>
                <w:rFonts w:ascii="Aptos Narrow" w:hAnsi="Aptos Narrow"/>
                <w:color w:val="000000"/>
              </w:rPr>
              <w:t>4 151</w:t>
            </w:r>
          </w:p>
        </w:tc>
        <w:tc>
          <w:tcPr>
            <w:tcW w:w="1247" w:type="dxa"/>
            <w:tcBorders>
              <w:top w:val="nil"/>
              <w:left w:val="nil"/>
              <w:bottom w:val="single" w:sz="4" w:space="0" w:color="auto"/>
              <w:right w:val="single" w:sz="4" w:space="0" w:color="auto"/>
            </w:tcBorders>
            <w:noWrap/>
            <w:vAlign w:val="center"/>
            <w:hideMark/>
          </w:tcPr>
          <w:p w14:paraId="3227183E" w14:textId="77777777" w:rsidR="00FB26BD" w:rsidRDefault="00FB26BD" w:rsidP="00FB26BD">
            <w:pPr>
              <w:jc w:val="right"/>
              <w:rPr>
                <w:rFonts w:ascii="Aptos Narrow" w:hAnsi="Aptos Narrow"/>
                <w:color w:val="000000"/>
              </w:rPr>
            </w:pPr>
            <w:r>
              <w:rPr>
                <w:rFonts w:ascii="Aptos Narrow" w:hAnsi="Aptos Narrow"/>
                <w:color w:val="000000"/>
              </w:rPr>
              <w:t>0,69</w:t>
            </w:r>
          </w:p>
        </w:tc>
      </w:tr>
      <w:tr w:rsidR="00FB26BD" w14:paraId="46E8508E"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013A6059" w14:textId="77777777" w:rsidR="00FB26BD" w:rsidRDefault="00FB26BD" w:rsidP="00FB26BD">
            <w:pPr>
              <w:rPr>
                <w:rFonts w:ascii="Aptos Narrow" w:hAnsi="Aptos Narrow"/>
                <w:color w:val="000000"/>
              </w:rPr>
            </w:pPr>
            <w:r>
              <w:rPr>
                <w:rFonts w:ascii="Aptos Narrow" w:hAnsi="Aptos Narrow"/>
                <w:color w:val="000000"/>
              </w:rPr>
              <w:t>Knihovna</w:t>
            </w:r>
          </w:p>
        </w:tc>
        <w:tc>
          <w:tcPr>
            <w:tcW w:w="1020" w:type="dxa"/>
            <w:tcBorders>
              <w:top w:val="nil"/>
              <w:left w:val="nil"/>
              <w:bottom w:val="single" w:sz="4" w:space="0" w:color="auto"/>
              <w:right w:val="single" w:sz="4" w:space="0" w:color="auto"/>
            </w:tcBorders>
            <w:noWrap/>
            <w:vAlign w:val="center"/>
            <w:hideMark/>
          </w:tcPr>
          <w:p w14:paraId="378EF739"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02AF04BA"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0F55094C"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4C526527"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0FFF7106"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559F9D37"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675F1CFF" w14:textId="77777777" w:rsidR="00FB26BD" w:rsidRDefault="00FB26BD" w:rsidP="00FB26BD">
            <w:pPr>
              <w:jc w:val="right"/>
              <w:rPr>
                <w:rFonts w:ascii="Aptos Narrow" w:hAnsi="Aptos Narrow"/>
                <w:color w:val="000000"/>
              </w:rPr>
            </w:pPr>
            <w:r>
              <w:rPr>
                <w:rFonts w:ascii="Aptos Narrow" w:hAnsi="Aptos Narrow"/>
                <w:color w:val="000000"/>
              </w:rPr>
              <w:t>0,00</w:t>
            </w:r>
          </w:p>
        </w:tc>
      </w:tr>
      <w:tr w:rsidR="00FB26BD" w14:paraId="488AC58C"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59674355" w14:textId="77777777" w:rsidR="00FB26BD" w:rsidRDefault="00FB26BD" w:rsidP="00FB26BD">
            <w:pPr>
              <w:rPr>
                <w:rFonts w:ascii="Aptos Narrow" w:hAnsi="Aptos Narrow"/>
                <w:color w:val="000000"/>
              </w:rPr>
            </w:pPr>
            <w:r>
              <w:rPr>
                <w:rFonts w:ascii="Aptos Narrow" w:hAnsi="Aptos Narrow"/>
                <w:color w:val="000000"/>
              </w:rPr>
              <w:t>KMZ</w:t>
            </w:r>
          </w:p>
        </w:tc>
        <w:tc>
          <w:tcPr>
            <w:tcW w:w="1020" w:type="dxa"/>
            <w:tcBorders>
              <w:top w:val="nil"/>
              <w:left w:val="nil"/>
              <w:bottom w:val="single" w:sz="4" w:space="0" w:color="auto"/>
              <w:right w:val="single" w:sz="4" w:space="0" w:color="auto"/>
            </w:tcBorders>
            <w:noWrap/>
            <w:vAlign w:val="center"/>
            <w:hideMark/>
          </w:tcPr>
          <w:p w14:paraId="698EF55C"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2C67B053"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20E43B31"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6EBF94E0"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46BF398E"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310FD0E2" w14:textId="77777777" w:rsidR="00FB26BD" w:rsidRDefault="00FB26BD" w:rsidP="00FB26BD">
            <w:pPr>
              <w:jc w:val="right"/>
              <w:rPr>
                <w:rFonts w:ascii="Aptos Narrow" w:hAnsi="Aptos Narrow"/>
                <w:color w:val="000000"/>
              </w:rPr>
            </w:pPr>
            <w:r>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46CD2ED7" w14:textId="77777777" w:rsidR="00FB26BD" w:rsidRDefault="00FB26BD" w:rsidP="00FB26BD">
            <w:pPr>
              <w:jc w:val="right"/>
              <w:rPr>
                <w:rFonts w:ascii="Aptos Narrow" w:hAnsi="Aptos Narrow"/>
                <w:color w:val="000000"/>
              </w:rPr>
            </w:pPr>
            <w:r>
              <w:rPr>
                <w:rFonts w:ascii="Aptos Narrow" w:hAnsi="Aptos Narrow"/>
                <w:color w:val="000000"/>
              </w:rPr>
              <w:t>0,00</w:t>
            </w:r>
          </w:p>
        </w:tc>
      </w:tr>
      <w:tr w:rsidR="00FB26BD" w14:paraId="32771310" w14:textId="77777777" w:rsidTr="00BD6D0B">
        <w:trPr>
          <w:trHeight w:val="320"/>
        </w:trPr>
        <w:tc>
          <w:tcPr>
            <w:tcW w:w="1474" w:type="dxa"/>
            <w:tcBorders>
              <w:top w:val="nil"/>
              <w:left w:val="single" w:sz="4" w:space="0" w:color="auto"/>
              <w:bottom w:val="single" w:sz="4" w:space="0" w:color="auto"/>
              <w:right w:val="single" w:sz="4" w:space="0" w:color="auto"/>
            </w:tcBorders>
            <w:noWrap/>
            <w:vAlign w:val="center"/>
            <w:hideMark/>
          </w:tcPr>
          <w:p w14:paraId="0EC964BA" w14:textId="77777777" w:rsidR="00FB26BD" w:rsidRDefault="00FB26BD" w:rsidP="00FB26BD">
            <w:pPr>
              <w:rPr>
                <w:rFonts w:ascii="Aptos Narrow" w:hAnsi="Aptos Narrow"/>
                <w:b/>
                <w:bCs/>
                <w:color w:val="000000"/>
              </w:rPr>
            </w:pPr>
            <w:r>
              <w:rPr>
                <w:rFonts w:ascii="Aptos Narrow" w:hAnsi="Aptos Narrow"/>
                <w:b/>
                <w:bCs/>
                <w:color w:val="000000"/>
              </w:rPr>
              <w:t>Celkem</w:t>
            </w:r>
          </w:p>
        </w:tc>
        <w:tc>
          <w:tcPr>
            <w:tcW w:w="1020" w:type="dxa"/>
            <w:tcBorders>
              <w:top w:val="nil"/>
              <w:left w:val="nil"/>
              <w:bottom w:val="single" w:sz="4" w:space="0" w:color="auto"/>
              <w:right w:val="single" w:sz="4" w:space="0" w:color="auto"/>
            </w:tcBorders>
            <w:noWrap/>
            <w:vAlign w:val="center"/>
            <w:hideMark/>
          </w:tcPr>
          <w:p w14:paraId="5F29F761" w14:textId="77777777" w:rsidR="00FB26BD" w:rsidRDefault="00FB26BD" w:rsidP="00FB26BD">
            <w:pPr>
              <w:jc w:val="right"/>
              <w:rPr>
                <w:rFonts w:ascii="Aptos Narrow" w:hAnsi="Aptos Narrow"/>
                <w:b/>
                <w:bCs/>
                <w:color w:val="000000"/>
              </w:rPr>
            </w:pPr>
            <w:r>
              <w:rPr>
                <w:rFonts w:ascii="Aptos Narrow" w:hAnsi="Aptos Narrow"/>
                <w:b/>
                <w:bCs/>
                <w:color w:val="000000"/>
              </w:rPr>
              <w:t>534 601</w:t>
            </w:r>
          </w:p>
        </w:tc>
        <w:tc>
          <w:tcPr>
            <w:tcW w:w="1020" w:type="dxa"/>
            <w:tcBorders>
              <w:top w:val="nil"/>
              <w:left w:val="nil"/>
              <w:bottom w:val="single" w:sz="4" w:space="0" w:color="auto"/>
              <w:right w:val="single" w:sz="4" w:space="0" w:color="auto"/>
            </w:tcBorders>
            <w:noWrap/>
            <w:vAlign w:val="center"/>
            <w:hideMark/>
          </w:tcPr>
          <w:p w14:paraId="68042CD6" w14:textId="77777777" w:rsidR="00FB26BD" w:rsidRDefault="00FB26BD" w:rsidP="00FB26BD">
            <w:pPr>
              <w:jc w:val="right"/>
              <w:rPr>
                <w:rFonts w:ascii="Aptos Narrow" w:hAnsi="Aptos Narrow"/>
                <w:b/>
                <w:bCs/>
                <w:color w:val="000000"/>
              </w:rPr>
            </w:pPr>
            <w:r>
              <w:rPr>
                <w:rFonts w:ascii="Aptos Narrow" w:hAnsi="Aptos Narrow"/>
                <w:b/>
                <w:bCs/>
                <w:color w:val="000000"/>
              </w:rPr>
              <w:t>556 660</w:t>
            </w:r>
          </w:p>
        </w:tc>
        <w:tc>
          <w:tcPr>
            <w:tcW w:w="1020" w:type="dxa"/>
            <w:tcBorders>
              <w:top w:val="nil"/>
              <w:left w:val="nil"/>
              <w:bottom w:val="single" w:sz="4" w:space="0" w:color="auto"/>
              <w:right w:val="single" w:sz="4" w:space="0" w:color="auto"/>
            </w:tcBorders>
            <w:noWrap/>
            <w:vAlign w:val="center"/>
            <w:hideMark/>
          </w:tcPr>
          <w:p w14:paraId="0338FD77" w14:textId="77777777" w:rsidR="00FB26BD" w:rsidRDefault="00FB26BD" w:rsidP="00FB26BD">
            <w:pPr>
              <w:jc w:val="right"/>
              <w:rPr>
                <w:rFonts w:ascii="Aptos Narrow" w:hAnsi="Aptos Narrow"/>
                <w:b/>
                <w:bCs/>
                <w:color w:val="000000"/>
              </w:rPr>
            </w:pPr>
            <w:r>
              <w:rPr>
                <w:rFonts w:ascii="Aptos Narrow" w:hAnsi="Aptos Narrow"/>
                <w:b/>
                <w:bCs/>
                <w:color w:val="000000"/>
              </w:rPr>
              <w:t>560 266</w:t>
            </w:r>
          </w:p>
        </w:tc>
        <w:tc>
          <w:tcPr>
            <w:tcW w:w="1020" w:type="dxa"/>
            <w:tcBorders>
              <w:top w:val="nil"/>
              <w:left w:val="nil"/>
              <w:bottom w:val="single" w:sz="4" w:space="0" w:color="auto"/>
              <w:right w:val="single" w:sz="4" w:space="0" w:color="auto"/>
            </w:tcBorders>
            <w:noWrap/>
            <w:vAlign w:val="center"/>
            <w:hideMark/>
          </w:tcPr>
          <w:p w14:paraId="3C606B0A" w14:textId="77777777" w:rsidR="00FB26BD" w:rsidRDefault="00FB26BD" w:rsidP="00FB26BD">
            <w:pPr>
              <w:jc w:val="right"/>
              <w:rPr>
                <w:rFonts w:ascii="Aptos Narrow" w:hAnsi="Aptos Narrow"/>
                <w:b/>
                <w:bCs/>
                <w:color w:val="000000"/>
              </w:rPr>
            </w:pPr>
            <w:r>
              <w:rPr>
                <w:rFonts w:ascii="Aptos Narrow" w:hAnsi="Aptos Narrow"/>
                <w:b/>
                <w:bCs/>
                <w:color w:val="000000"/>
              </w:rPr>
              <w:t>582 857</w:t>
            </w:r>
          </w:p>
        </w:tc>
        <w:tc>
          <w:tcPr>
            <w:tcW w:w="1020" w:type="dxa"/>
            <w:tcBorders>
              <w:top w:val="nil"/>
              <w:left w:val="nil"/>
              <w:bottom w:val="single" w:sz="4" w:space="0" w:color="auto"/>
              <w:right w:val="single" w:sz="4" w:space="0" w:color="auto"/>
            </w:tcBorders>
            <w:noWrap/>
            <w:vAlign w:val="center"/>
            <w:hideMark/>
          </w:tcPr>
          <w:p w14:paraId="59F729F0" w14:textId="77777777" w:rsidR="00FB26BD" w:rsidRDefault="00FB26BD" w:rsidP="00FB26BD">
            <w:pPr>
              <w:jc w:val="right"/>
              <w:rPr>
                <w:rFonts w:ascii="Aptos Narrow" w:hAnsi="Aptos Narrow"/>
                <w:b/>
                <w:bCs/>
                <w:color w:val="000000"/>
              </w:rPr>
            </w:pPr>
            <w:r>
              <w:rPr>
                <w:rFonts w:ascii="Aptos Narrow" w:hAnsi="Aptos Narrow"/>
                <w:b/>
                <w:bCs/>
                <w:color w:val="000000"/>
              </w:rPr>
              <w:t>630 294</w:t>
            </w:r>
          </w:p>
        </w:tc>
        <w:tc>
          <w:tcPr>
            <w:tcW w:w="1247" w:type="dxa"/>
            <w:tcBorders>
              <w:top w:val="nil"/>
              <w:left w:val="nil"/>
              <w:bottom w:val="single" w:sz="4" w:space="0" w:color="auto"/>
              <w:right w:val="single" w:sz="4" w:space="0" w:color="auto"/>
            </w:tcBorders>
            <w:noWrap/>
            <w:vAlign w:val="center"/>
            <w:hideMark/>
          </w:tcPr>
          <w:p w14:paraId="7A10BBB8" w14:textId="77777777" w:rsidR="00FB26BD" w:rsidRDefault="00FB26BD" w:rsidP="00FB26BD">
            <w:pPr>
              <w:jc w:val="right"/>
              <w:rPr>
                <w:rFonts w:ascii="Aptos Narrow" w:hAnsi="Aptos Narrow"/>
                <w:b/>
                <w:bCs/>
                <w:color w:val="000000"/>
              </w:rPr>
            </w:pPr>
            <w:r>
              <w:rPr>
                <w:rFonts w:ascii="Aptos Narrow" w:hAnsi="Aptos Narrow"/>
                <w:b/>
                <w:bCs/>
                <w:color w:val="000000"/>
              </w:rPr>
              <w:t>600 594</w:t>
            </w:r>
          </w:p>
        </w:tc>
        <w:tc>
          <w:tcPr>
            <w:tcW w:w="1247" w:type="dxa"/>
            <w:tcBorders>
              <w:top w:val="nil"/>
              <w:left w:val="nil"/>
              <w:bottom w:val="single" w:sz="4" w:space="0" w:color="auto"/>
              <w:right w:val="single" w:sz="4" w:space="0" w:color="auto"/>
            </w:tcBorders>
            <w:noWrap/>
            <w:vAlign w:val="center"/>
            <w:hideMark/>
          </w:tcPr>
          <w:p w14:paraId="6EFE7262" w14:textId="77777777" w:rsidR="00FB26BD" w:rsidRDefault="00FB26BD" w:rsidP="00FB26BD">
            <w:pPr>
              <w:jc w:val="right"/>
              <w:rPr>
                <w:rFonts w:ascii="Aptos Narrow" w:hAnsi="Aptos Narrow"/>
                <w:b/>
                <w:bCs/>
                <w:color w:val="000000"/>
              </w:rPr>
            </w:pPr>
            <w:r>
              <w:rPr>
                <w:rFonts w:ascii="Aptos Narrow" w:hAnsi="Aptos Narrow"/>
                <w:b/>
                <w:bCs/>
                <w:color w:val="000000"/>
              </w:rPr>
              <w:t>100,00</w:t>
            </w:r>
          </w:p>
        </w:tc>
      </w:tr>
    </w:tbl>
    <w:p w14:paraId="39AB6CA5" w14:textId="77777777" w:rsidR="00566C55" w:rsidRDefault="00566C55" w:rsidP="0012257E">
      <w:pPr>
        <w:pStyle w:val="RozpocetOdstavec"/>
      </w:pPr>
    </w:p>
    <w:p w14:paraId="0073B975" w14:textId="77777777" w:rsidR="00DA3ED5" w:rsidRDefault="006B684F" w:rsidP="00DA3ED5">
      <w:pPr>
        <w:pStyle w:val="RozpoetNadpis3"/>
      </w:pPr>
      <w:bookmarkStart w:id="11" w:name="_Toc228824323"/>
      <w:r>
        <w:t>Indikátor g</w:t>
      </w:r>
      <w:r w:rsidR="00DA3ED5">
        <w:t>raduation rate</w:t>
      </w:r>
      <w:bookmarkEnd w:id="11"/>
    </w:p>
    <w:p w14:paraId="54B7C06B" w14:textId="40D4E32E" w:rsidR="00B60053" w:rsidRPr="000A20AA" w:rsidRDefault="00B60053" w:rsidP="000A20AA">
      <w:pPr>
        <w:pStyle w:val="RozpocetOdstavec"/>
        <w:jc w:val="left"/>
      </w:pPr>
      <w:r w:rsidRPr="000A20AA">
        <w:t>J</w:t>
      </w:r>
      <w:r w:rsidR="006B684F" w:rsidRPr="000A20AA">
        <w:t>e míra úspěšnosti studentů při studiu</w:t>
      </w:r>
      <w:r w:rsidR="00D03E81" w:rsidRPr="000A20AA">
        <w:t xml:space="preserve"> zjišťována prostřednictvím parametru </w:t>
      </w:r>
      <w:r w:rsidR="00D03E81" w:rsidRPr="000A20AA">
        <w:rPr>
          <w:i/>
        </w:rPr>
        <w:t>GR455</w:t>
      </w:r>
      <w:r w:rsidR="006B684F" w:rsidRPr="000A20AA">
        <w:t xml:space="preserve">. </w:t>
      </w:r>
    </w:p>
    <w:p w14:paraId="3EE9F469" w14:textId="220F3C62" w:rsidR="00D03E81" w:rsidRPr="000A20AA" w:rsidRDefault="006B684F" w:rsidP="000A20AA">
      <w:pPr>
        <w:pStyle w:val="RozpocetOdstavec"/>
        <w:jc w:val="left"/>
      </w:pPr>
      <w:r w:rsidRPr="000A20AA">
        <w:t xml:space="preserve">Představuje podíl </w:t>
      </w:r>
      <w:r w:rsidR="00DC696C" w:rsidRPr="000A20AA">
        <w:t>součásti</w:t>
      </w:r>
      <w:r w:rsidRPr="000A20AA">
        <w:t xml:space="preserve"> na celkové hodnotě výsledků UTB, vycházejících z míry úspěšnosti absolvování studia</w:t>
      </w:r>
      <w:r w:rsidR="00D03E81" w:rsidRPr="000A20AA">
        <w:t xml:space="preserve"> ve </w:t>
      </w:r>
      <w:r w:rsidR="000A20AA">
        <w:t xml:space="preserve">standardní době studia </w:t>
      </w:r>
      <w:r w:rsidR="00D03E81" w:rsidRPr="000A20AA">
        <w:t>+1 rok.</w:t>
      </w:r>
    </w:p>
    <w:p w14:paraId="70649A82" w14:textId="3EB609C1" w:rsidR="00EC7673" w:rsidRDefault="006B684F" w:rsidP="006B684F">
      <w:pPr>
        <w:pStyle w:val="RozpocetOdstavec"/>
      </w:pPr>
      <w:r w:rsidRPr="006B684F">
        <w:t xml:space="preserve"> </w:t>
      </w:r>
    </w:p>
    <w:tbl>
      <w:tblPr>
        <w:tblW w:w="9071" w:type="dxa"/>
        <w:tblLook w:val="04A0" w:firstRow="1" w:lastRow="0" w:firstColumn="1" w:lastColumn="0" w:noHBand="0" w:noVBand="1"/>
      </w:tblPr>
      <w:tblGrid>
        <w:gridCol w:w="1587"/>
        <w:gridCol w:w="794"/>
        <w:gridCol w:w="907"/>
        <w:gridCol w:w="794"/>
        <w:gridCol w:w="1134"/>
        <w:gridCol w:w="907"/>
        <w:gridCol w:w="1474"/>
        <w:gridCol w:w="1474"/>
      </w:tblGrid>
      <w:tr w:rsidR="00EC7673" w:rsidRPr="00EC7673" w14:paraId="3015C4A1" w14:textId="77777777" w:rsidTr="00EC7673">
        <w:trPr>
          <w:trHeight w:val="320"/>
        </w:trPr>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389F2C" w14:textId="4EAF1EA8" w:rsidR="00EC7673" w:rsidRPr="00EC7673" w:rsidRDefault="00EC7673" w:rsidP="00EC7673">
            <w:pPr>
              <w:jc w:val="center"/>
              <w:rPr>
                <w:rFonts w:ascii="Aptos Narrow" w:hAnsi="Aptos Narrow"/>
                <w:b/>
                <w:bCs/>
                <w:color w:val="000000"/>
              </w:rPr>
            </w:pPr>
            <w:r>
              <w:rPr>
                <w:rFonts w:ascii="Aptos Narrow" w:hAnsi="Aptos Narrow"/>
                <w:b/>
                <w:bCs/>
                <w:color w:val="000000"/>
              </w:rPr>
              <w:t>Součást</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3F1C8B"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A</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36FE39"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Z</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C3C8F7"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P</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019A07"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Počet studentů</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7EC068"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A/(Z-P)</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EA822A9"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Graduation rate</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466ECF" w14:textId="77777777" w:rsidR="00EC7673" w:rsidRPr="00EC7673" w:rsidRDefault="00EC7673" w:rsidP="00EC7673">
            <w:pPr>
              <w:jc w:val="center"/>
              <w:rPr>
                <w:rFonts w:ascii="Aptos Narrow" w:hAnsi="Aptos Narrow"/>
                <w:b/>
                <w:bCs/>
                <w:color w:val="000000"/>
              </w:rPr>
            </w:pPr>
            <w:r w:rsidRPr="00EC7673">
              <w:rPr>
                <w:rFonts w:ascii="Aptos Narrow" w:hAnsi="Aptos Narrow"/>
                <w:b/>
                <w:bCs/>
                <w:color w:val="000000"/>
              </w:rPr>
              <w:t>Graduation rate v %</w:t>
            </w:r>
          </w:p>
        </w:tc>
      </w:tr>
      <w:tr w:rsidR="00EC7673" w:rsidRPr="00EC7673" w14:paraId="1B2E3E64"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4E252EA0" w14:textId="77777777" w:rsidR="00EC7673" w:rsidRPr="00EC7673" w:rsidRDefault="00EC7673" w:rsidP="00EC7673">
            <w:pPr>
              <w:rPr>
                <w:rFonts w:ascii="Aptos Narrow" w:hAnsi="Aptos Narrow"/>
                <w:color w:val="000000"/>
              </w:rPr>
            </w:pPr>
            <w:r w:rsidRPr="00EC7673">
              <w:rPr>
                <w:rFonts w:ascii="Aptos Narrow" w:hAnsi="Aptos Narrow"/>
                <w:color w:val="000000"/>
              </w:rPr>
              <w:t>FT</w:t>
            </w:r>
          </w:p>
        </w:tc>
        <w:tc>
          <w:tcPr>
            <w:tcW w:w="794" w:type="dxa"/>
            <w:tcBorders>
              <w:top w:val="nil"/>
              <w:left w:val="nil"/>
              <w:bottom w:val="single" w:sz="4" w:space="0" w:color="auto"/>
              <w:right w:val="single" w:sz="4" w:space="0" w:color="auto"/>
            </w:tcBorders>
            <w:noWrap/>
            <w:vAlign w:val="center"/>
            <w:hideMark/>
          </w:tcPr>
          <w:p w14:paraId="037A9DA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694</w:t>
            </w:r>
          </w:p>
        </w:tc>
        <w:tc>
          <w:tcPr>
            <w:tcW w:w="907" w:type="dxa"/>
            <w:tcBorders>
              <w:top w:val="nil"/>
              <w:left w:val="nil"/>
              <w:bottom w:val="single" w:sz="4" w:space="0" w:color="auto"/>
              <w:right w:val="single" w:sz="4" w:space="0" w:color="auto"/>
            </w:tcBorders>
            <w:noWrap/>
            <w:vAlign w:val="center"/>
            <w:hideMark/>
          </w:tcPr>
          <w:p w14:paraId="11FF986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1 726</w:t>
            </w:r>
          </w:p>
        </w:tc>
        <w:tc>
          <w:tcPr>
            <w:tcW w:w="794" w:type="dxa"/>
            <w:tcBorders>
              <w:top w:val="nil"/>
              <w:left w:val="nil"/>
              <w:bottom w:val="single" w:sz="4" w:space="0" w:color="auto"/>
              <w:right w:val="single" w:sz="4" w:space="0" w:color="auto"/>
            </w:tcBorders>
            <w:noWrap/>
            <w:vAlign w:val="center"/>
            <w:hideMark/>
          </w:tcPr>
          <w:p w14:paraId="1586040E"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w:t>
            </w:r>
          </w:p>
        </w:tc>
        <w:tc>
          <w:tcPr>
            <w:tcW w:w="1134" w:type="dxa"/>
            <w:tcBorders>
              <w:top w:val="nil"/>
              <w:left w:val="nil"/>
              <w:bottom w:val="single" w:sz="4" w:space="0" w:color="auto"/>
              <w:right w:val="single" w:sz="4" w:space="0" w:color="auto"/>
            </w:tcBorders>
            <w:noWrap/>
            <w:vAlign w:val="center"/>
            <w:hideMark/>
          </w:tcPr>
          <w:p w14:paraId="51564AC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1 333,50</w:t>
            </w:r>
          </w:p>
        </w:tc>
        <w:tc>
          <w:tcPr>
            <w:tcW w:w="907" w:type="dxa"/>
            <w:tcBorders>
              <w:top w:val="nil"/>
              <w:left w:val="nil"/>
              <w:bottom w:val="single" w:sz="4" w:space="0" w:color="auto"/>
              <w:right w:val="single" w:sz="4" w:space="0" w:color="auto"/>
            </w:tcBorders>
            <w:noWrap/>
            <w:vAlign w:val="center"/>
            <w:hideMark/>
          </w:tcPr>
          <w:p w14:paraId="767E946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0,404</w:t>
            </w:r>
          </w:p>
        </w:tc>
        <w:tc>
          <w:tcPr>
            <w:tcW w:w="1474" w:type="dxa"/>
            <w:tcBorders>
              <w:top w:val="nil"/>
              <w:left w:val="nil"/>
              <w:bottom w:val="single" w:sz="4" w:space="0" w:color="auto"/>
              <w:right w:val="single" w:sz="4" w:space="0" w:color="auto"/>
            </w:tcBorders>
            <w:noWrap/>
            <w:vAlign w:val="center"/>
            <w:hideMark/>
          </w:tcPr>
          <w:p w14:paraId="710FCF1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538,36</w:t>
            </w:r>
          </w:p>
        </w:tc>
        <w:tc>
          <w:tcPr>
            <w:tcW w:w="1474" w:type="dxa"/>
            <w:tcBorders>
              <w:top w:val="nil"/>
              <w:left w:val="nil"/>
              <w:bottom w:val="single" w:sz="4" w:space="0" w:color="auto"/>
              <w:right w:val="single" w:sz="4" w:space="0" w:color="auto"/>
            </w:tcBorders>
            <w:noWrap/>
            <w:vAlign w:val="center"/>
            <w:hideMark/>
          </w:tcPr>
          <w:p w14:paraId="06879A1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11,21</w:t>
            </w:r>
          </w:p>
        </w:tc>
      </w:tr>
      <w:tr w:rsidR="00EC7673" w:rsidRPr="00EC7673" w14:paraId="3F8A840A"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581C4F5A" w14:textId="77777777" w:rsidR="00EC7673" w:rsidRPr="00EC7673" w:rsidRDefault="00EC7673" w:rsidP="00EC7673">
            <w:pPr>
              <w:rPr>
                <w:rFonts w:ascii="Aptos Narrow" w:hAnsi="Aptos Narrow"/>
                <w:color w:val="000000"/>
              </w:rPr>
            </w:pPr>
            <w:r w:rsidRPr="00EC7673">
              <w:rPr>
                <w:rFonts w:ascii="Aptos Narrow" w:hAnsi="Aptos Narrow"/>
                <w:color w:val="000000"/>
              </w:rPr>
              <w:t>FLKŘ</w:t>
            </w:r>
          </w:p>
        </w:tc>
        <w:tc>
          <w:tcPr>
            <w:tcW w:w="794" w:type="dxa"/>
            <w:tcBorders>
              <w:top w:val="nil"/>
              <w:left w:val="nil"/>
              <w:bottom w:val="single" w:sz="4" w:space="0" w:color="auto"/>
              <w:right w:val="single" w:sz="4" w:space="0" w:color="auto"/>
            </w:tcBorders>
            <w:noWrap/>
            <w:vAlign w:val="center"/>
            <w:hideMark/>
          </w:tcPr>
          <w:p w14:paraId="511D256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796</w:t>
            </w:r>
          </w:p>
        </w:tc>
        <w:tc>
          <w:tcPr>
            <w:tcW w:w="907" w:type="dxa"/>
            <w:tcBorders>
              <w:top w:val="nil"/>
              <w:left w:val="nil"/>
              <w:bottom w:val="single" w:sz="4" w:space="0" w:color="auto"/>
              <w:right w:val="single" w:sz="4" w:space="0" w:color="auto"/>
            </w:tcBorders>
            <w:noWrap/>
            <w:vAlign w:val="center"/>
            <w:hideMark/>
          </w:tcPr>
          <w:p w14:paraId="6630EE5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1 376</w:t>
            </w:r>
          </w:p>
        </w:tc>
        <w:tc>
          <w:tcPr>
            <w:tcW w:w="794" w:type="dxa"/>
            <w:tcBorders>
              <w:top w:val="nil"/>
              <w:left w:val="nil"/>
              <w:bottom w:val="single" w:sz="4" w:space="0" w:color="auto"/>
              <w:right w:val="single" w:sz="4" w:space="0" w:color="auto"/>
            </w:tcBorders>
            <w:noWrap/>
            <w:vAlign w:val="center"/>
            <w:hideMark/>
          </w:tcPr>
          <w:p w14:paraId="7E340DC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11</w:t>
            </w:r>
          </w:p>
        </w:tc>
        <w:tc>
          <w:tcPr>
            <w:tcW w:w="1134" w:type="dxa"/>
            <w:tcBorders>
              <w:top w:val="nil"/>
              <w:left w:val="nil"/>
              <w:bottom w:val="single" w:sz="4" w:space="0" w:color="auto"/>
              <w:right w:val="single" w:sz="4" w:space="0" w:color="auto"/>
            </w:tcBorders>
            <w:noWrap/>
            <w:vAlign w:val="center"/>
            <w:hideMark/>
          </w:tcPr>
          <w:p w14:paraId="2E00FEB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1 490,50</w:t>
            </w:r>
          </w:p>
        </w:tc>
        <w:tc>
          <w:tcPr>
            <w:tcW w:w="907" w:type="dxa"/>
            <w:tcBorders>
              <w:top w:val="nil"/>
              <w:left w:val="nil"/>
              <w:bottom w:val="single" w:sz="4" w:space="0" w:color="auto"/>
              <w:right w:val="single" w:sz="4" w:space="0" w:color="auto"/>
            </w:tcBorders>
            <w:noWrap/>
            <w:vAlign w:val="center"/>
            <w:hideMark/>
          </w:tcPr>
          <w:p w14:paraId="77382BC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0,583</w:t>
            </w:r>
          </w:p>
        </w:tc>
        <w:tc>
          <w:tcPr>
            <w:tcW w:w="1474" w:type="dxa"/>
            <w:tcBorders>
              <w:top w:val="nil"/>
              <w:left w:val="nil"/>
              <w:bottom w:val="single" w:sz="4" w:space="0" w:color="auto"/>
              <w:right w:val="single" w:sz="4" w:space="0" w:color="auto"/>
            </w:tcBorders>
            <w:noWrap/>
            <w:vAlign w:val="center"/>
            <w:hideMark/>
          </w:tcPr>
          <w:p w14:paraId="40F59E0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869,19</w:t>
            </w:r>
          </w:p>
        </w:tc>
        <w:tc>
          <w:tcPr>
            <w:tcW w:w="1474" w:type="dxa"/>
            <w:tcBorders>
              <w:top w:val="nil"/>
              <w:left w:val="nil"/>
              <w:bottom w:val="single" w:sz="4" w:space="0" w:color="auto"/>
              <w:right w:val="single" w:sz="4" w:space="0" w:color="auto"/>
            </w:tcBorders>
            <w:noWrap/>
            <w:vAlign w:val="center"/>
            <w:hideMark/>
          </w:tcPr>
          <w:p w14:paraId="29BC8016"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18,09</w:t>
            </w:r>
          </w:p>
        </w:tc>
      </w:tr>
      <w:tr w:rsidR="00EC7673" w:rsidRPr="00EC7673" w14:paraId="47F58B45"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3FF84861" w14:textId="77777777" w:rsidR="00EC7673" w:rsidRPr="00EC7673" w:rsidRDefault="00EC7673" w:rsidP="00EC7673">
            <w:pPr>
              <w:rPr>
                <w:rFonts w:ascii="Aptos Narrow" w:hAnsi="Aptos Narrow"/>
                <w:color w:val="000000"/>
              </w:rPr>
            </w:pPr>
            <w:r w:rsidRPr="00EC7673">
              <w:rPr>
                <w:rFonts w:ascii="Aptos Narrow" w:hAnsi="Aptos Narrow"/>
                <w:color w:val="000000"/>
              </w:rPr>
              <w:t>FAI</w:t>
            </w:r>
          </w:p>
        </w:tc>
        <w:tc>
          <w:tcPr>
            <w:tcW w:w="794" w:type="dxa"/>
            <w:tcBorders>
              <w:top w:val="nil"/>
              <w:left w:val="nil"/>
              <w:bottom w:val="single" w:sz="4" w:space="0" w:color="auto"/>
              <w:right w:val="single" w:sz="4" w:space="0" w:color="auto"/>
            </w:tcBorders>
            <w:noWrap/>
            <w:vAlign w:val="center"/>
            <w:hideMark/>
          </w:tcPr>
          <w:p w14:paraId="32FD756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577</w:t>
            </w:r>
          </w:p>
        </w:tc>
        <w:tc>
          <w:tcPr>
            <w:tcW w:w="907" w:type="dxa"/>
            <w:tcBorders>
              <w:top w:val="nil"/>
              <w:left w:val="nil"/>
              <w:bottom w:val="single" w:sz="4" w:space="0" w:color="auto"/>
              <w:right w:val="single" w:sz="4" w:space="0" w:color="auto"/>
            </w:tcBorders>
            <w:noWrap/>
            <w:vAlign w:val="center"/>
            <w:hideMark/>
          </w:tcPr>
          <w:p w14:paraId="408E955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1 472</w:t>
            </w:r>
          </w:p>
        </w:tc>
        <w:tc>
          <w:tcPr>
            <w:tcW w:w="794" w:type="dxa"/>
            <w:tcBorders>
              <w:top w:val="nil"/>
              <w:left w:val="nil"/>
              <w:bottom w:val="single" w:sz="4" w:space="0" w:color="auto"/>
              <w:right w:val="single" w:sz="4" w:space="0" w:color="auto"/>
            </w:tcBorders>
            <w:noWrap/>
            <w:vAlign w:val="center"/>
            <w:hideMark/>
          </w:tcPr>
          <w:p w14:paraId="3902F92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12</w:t>
            </w:r>
          </w:p>
        </w:tc>
        <w:tc>
          <w:tcPr>
            <w:tcW w:w="1134" w:type="dxa"/>
            <w:tcBorders>
              <w:top w:val="nil"/>
              <w:left w:val="nil"/>
              <w:bottom w:val="single" w:sz="4" w:space="0" w:color="auto"/>
              <w:right w:val="single" w:sz="4" w:space="0" w:color="auto"/>
            </w:tcBorders>
            <w:noWrap/>
            <w:vAlign w:val="center"/>
            <w:hideMark/>
          </w:tcPr>
          <w:p w14:paraId="421E086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1 428,50</w:t>
            </w:r>
          </w:p>
        </w:tc>
        <w:tc>
          <w:tcPr>
            <w:tcW w:w="907" w:type="dxa"/>
            <w:tcBorders>
              <w:top w:val="nil"/>
              <w:left w:val="nil"/>
              <w:bottom w:val="single" w:sz="4" w:space="0" w:color="auto"/>
              <w:right w:val="single" w:sz="4" w:space="0" w:color="auto"/>
            </w:tcBorders>
            <w:noWrap/>
            <w:vAlign w:val="center"/>
            <w:hideMark/>
          </w:tcPr>
          <w:p w14:paraId="1534C46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0,395</w:t>
            </w:r>
          </w:p>
        </w:tc>
        <w:tc>
          <w:tcPr>
            <w:tcW w:w="1474" w:type="dxa"/>
            <w:tcBorders>
              <w:top w:val="nil"/>
              <w:left w:val="nil"/>
              <w:bottom w:val="single" w:sz="4" w:space="0" w:color="auto"/>
              <w:right w:val="single" w:sz="4" w:space="0" w:color="auto"/>
            </w:tcBorders>
            <w:noWrap/>
            <w:vAlign w:val="center"/>
            <w:hideMark/>
          </w:tcPr>
          <w:p w14:paraId="245EDE9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564,55</w:t>
            </w:r>
          </w:p>
        </w:tc>
        <w:tc>
          <w:tcPr>
            <w:tcW w:w="1474" w:type="dxa"/>
            <w:tcBorders>
              <w:top w:val="nil"/>
              <w:left w:val="nil"/>
              <w:bottom w:val="single" w:sz="4" w:space="0" w:color="auto"/>
              <w:right w:val="single" w:sz="4" w:space="0" w:color="auto"/>
            </w:tcBorders>
            <w:noWrap/>
            <w:vAlign w:val="center"/>
            <w:hideMark/>
          </w:tcPr>
          <w:p w14:paraId="668CF08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11,75</w:t>
            </w:r>
          </w:p>
        </w:tc>
      </w:tr>
      <w:tr w:rsidR="00EC7673" w:rsidRPr="00EC7673" w14:paraId="60C9D7CE"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31ECB06E" w14:textId="77777777" w:rsidR="00EC7673" w:rsidRPr="00EC7673" w:rsidRDefault="00EC7673" w:rsidP="00EC7673">
            <w:pPr>
              <w:rPr>
                <w:rFonts w:ascii="Aptos Narrow" w:hAnsi="Aptos Narrow"/>
                <w:color w:val="000000"/>
              </w:rPr>
            </w:pPr>
            <w:r w:rsidRPr="00EC7673">
              <w:rPr>
                <w:rFonts w:ascii="Aptos Narrow" w:hAnsi="Aptos Narrow"/>
                <w:color w:val="000000"/>
              </w:rPr>
              <w:t>FMK</w:t>
            </w:r>
          </w:p>
        </w:tc>
        <w:tc>
          <w:tcPr>
            <w:tcW w:w="794" w:type="dxa"/>
            <w:tcBorders>
              <w:top w:val="nil"/>
              <w:left w:val="nil"/>
              <w:bottom w:val="single" w:sz="4" w:space="0" w:color="auto"/>
              <w:right w:val="single" w:sz="4" w:space="0" w:color="auto"/>
            </w:tcBorders>
            <w:noWrap/>
            <w:vAlign w:val="center"/>
            <w:hideMark/>
          </w:tcPr>
          <w:p w14:paraId="6039480C"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906</w:t>
            </w:r>
          </w:p>
        </w:tc>
        <w:tc>
          <w:tcPr>
            <w:tcW w:w="907" w:type="dxa"/>
            <w:tcBorders>
              <w:top w:val="nil"/>
              <w:left w:val="nil"/>
              <w:bottom w:val="single" w:sz="4" w:space="0" w:color="auto"/>
              <w:right w:val="single" w:sz="4" w:space="0" w:color="auto"/>
            </w:tcBorders>
            <w:noWrap/>
            <w:vAlign w:val="center"/>
            <w:hideMark/>
          </w:tcPr>
          <w:p w14:paraId="108DD74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1 248</w:t>
            </w:r>
          </w:p>
        </w:tc>
        <w:tc>
          <w:tcPr>
            <w:tcW w:w="794" w:type="dxa"/>
            <w:tcBorders>
              <w:top w:val="nil"/>
              <w:left w:val="nil"/>
              <w:bottom w:val="single" w:sz="4" w:space="0" w:color="auto"/>
              <w:right w:val="single" w:sz="4" w:space="0" w:color="auto"/>
            </w:tcBorders>
            <w:noWrap/>
            <w:vAlign w:val="center"/>
            <w:hideMark/>
          </w:tcPr>
          <w:p w14:paraId="2C881C8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3</w:t>
            </w:r>
          </w:p>
        </w:tc>
        <w:tc>
          <w:tcPr>
            <w:tcW w:w="1134" w:type="dxa"/>
            <w:tcBorders>
              <w:top w:val="nil"/>
              <w:left w:val="nil"/>
              <w:bottom w:val="single" w:sz="4" w:space="0" w:color="auto"/>
              <w:right w:val="single" w:sz="4" w:space="0" w:color="auto"/>
            </w:tcBorders>
            <w:noWrap/>
            <w:vAlign w:val="center"/>
            <w:hideMark/>
          </w:tcPr>
          <w:p w14:paraId="7CBC26A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1 082,50</w:t>
            </w:r>
          </w:p>
        </w:tc>
        <w:tc>
          <w:tcPr>
            <w:tcW w:w="907" w:type="dxa"/>
            <w:tcBorders>
              <w:top w:val="nil"/>
              <w:left w:val="nil"/>
              <w:bottom w:val="single" w:sz="4" w:space="0" w:color="auto"/>
              <w:right w:val="single" w:sz="4" w:space="0" w:color="auto"/>
            </w:tcBorders>
            <w:noWrap/>
            <w:vAlign w:val="center"/>
            <w:hideMark/>
          </w:tcPr>
          <w:p w14:paraId="5925032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0,728</w:t>
            </w:r>
          </w:p>
        </w:tc>
        <w:tc>
          <w:tcPr>
            <w:tcW w:w="1474" w:type="dxa"/>
            <w:tcBorders>
              <w:top w:val="nil"/>
              <w:left w:val="nil"/>
              <w:bottom w:val="single" w:sz="4" w:space="0" w:color="auto"/>
              <w:right w:val="single" w:sz="4" w:space="0" w:color="auto"/>
            </w:tcBorders>
            <w:noWrap/>
            <w:vAlign w:val="center"/>
            <w:hideMark/>
          </w:tcPr>
          <w:p w14:paraId="7BF5F70E"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787,75</w:t>
            </w:r>
          </w:p>
        </w:tc>
        <w:tc>
          <w:tcPr>
            <w:tcW w:w="1474" w:type="dxa"/>
            <w:tcBorders>
              <w:top w:val="nil"/>
              <w:left w:val="nil"/>
              <w:bottom w:val="single" w:sz="4" w:space="0" w:color="auto"/>
              <w:right w:val="single" w:sz="4" w:space="0" w:color="auto"/>
            </w:tcBorders>
            <w:noWrap/>
            <w:vAlign w:val="center"/>
            <w:hideMark/>
          </w:tcPr>
          <w:p w14:paraId="2613CDC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16,40</w:t>
            </w:r>
          </w:p>
        </w:tc>
      </w:tr>
      <w:tr w:rsidR="00EC7673" w:rsidRPr="00EC7673" w14:paraId="5B0AC58B"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3A68E07D" w14:textId="77777777" w:rsidR="00EC7673" w:rsidRPr="00EC7673" w:rsidRDefault="00EC7673" w:rsidP="00EC7673">
            <w:pPr>
              <w:rPr>
                <w:rFonts w:ascii="Aptos Narrow" w:hAnsi="Aptos Narrow"/>
                <w:color w:val="000000"/>
              </w:rPr>
            </w:pPr>
            <w:r w:rsidRPr="00EC7673">
              <w:rPr>
                <w:rFonts w:ascii="Aptos Narrow" w:hAnsi="Aptos Narrow"/>
                <w:color w:val="000000"/>
              </w:rPr>
              <w:t>FaME</w:t>
            </w:r>
          </w:p>
        </w:tc>
        <w:tc>
          <w:tcPr>
            <w:tcW w:w="794" w:type="dxa"/>
            <w:tcBorders>
              <w:top w:val="nil"/>
              <w:left w:val="nil"/>
              <w:bottom w:val="single" w:sz="4" w:space="0" w:color="auto"/>
              <w:right w:val="single" w:sz="4" w:space="0" w:color="auto"/>
            </w:tcBorders>
            <w:noWrap/>
            <w:vAlign w:val="center"/>
            <w:hideMark/>
          </w:tcPr>
          <w:p w14:paraId="6478EF67"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1 108</w:t>
            </w:r>
          </w:p>
        </w:tc>
        <w:tc>
          <w:tcPr>
            <w:tcW w:w="907" w:type="dxa"/>
            <w:tcBorders>
              <w:top w:val="nil"/>
              <w:left w:val="nil"/>
              <w:bottom w:val="single" w:sz="4" w:space="0" w:color="auto"/>
              <w:right w:val="single" w:sz="4" w:space="0" w:color="auto"/>
            </w:tcBorders>
            <w:noWrap/>
            <w:vAlign w:val="center"/>
            <w:hideMark/>
          </w:tcPr>
          <w:p w14:paraId="0E85340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2 619</w:t>
            </w:r>
          </w:p>
        </w:tc>
        <w:tc>
          <w:tcPr>
            <w:tcW w:w="794" w:type="dxa"/>
            <w:tcBorders>
              <w:top w:val="nil"/>
              <w:left w:val="nil"/>
              <w:bottom w:val="single" w:sz="4" w:space="0" w:color="auto"/>
              <w:right w:val="single" w:sz="4" w:space="0" w:color="auto"/>
            </w:tcBorders>
            <w:noWrap/>
            <w:vAlign w:val="center"/>
            <w:hideMark/>
          </w:tcPr>
          <w:p w14:paraId="272918A7"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12</w:t>
            </w:r>
          </w:p>
        </w:tc>
        <w:tc>
          <w:tcPr>
            <w:tcW w:w="1134" w:type="dxa"/>
            <w:tcBorders>
              <w:top w:val="nil"/>
              <w:left w:val="nil"/>
              <w:bottom w:val="single" w:sz="4" w:space="0" w:color="auto"/>
              <w:right w:val="single" w:sz="4" w:space="0" w:color="auto"/>
            </w:tcBorders>
            <w:noWrap/>
            <w:vAlign w:val="center"/>
            <w:hideMark/>
          </w:tcPr>
          <w:p w14:paraId="6EA3960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1 795,50</w:t>
            </w:r>
          </w:p>
        </w:tc>
        <w:tc>
          <w:tcPr>
            <w:tcW w:w="907" w:type="dxa"/>
            <w:tcBorders>
              <w:top w:val="nil"/>
              <w:left w:val="nil"/>
              <w:bottom w:val="single" w:sz="4" w:space="0" w:color="auto"/>
              <w:right w:val="single" w:sz="4" w:space="0" w:color="auto"/>
            </w:tcBorders>
            <w:noWrap/>
            <w:vAlign w:val="center"/>
            <w:hideMark/>
          </w:tcPr>
          <w:p w14:paraId="14BFA92B"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0,425</w:t>
            </w:r>
          </w:p>
        </w:tc>
        <w:tc>
          <w:tcPr>
            <w:tcW w:w="1474" w:type="dxa"/>
            <w:tcBorders>
              <w:top w:val="nil"/>
              <w:left w:val="nil"/>
              <w:bottom w:val="single" w:sz="4" w:space="0" w:color="auto"/>
              <w:right w:val="single" w:sz="4" w:space="0" w:color="auto"/>
            </w:tcBorders>
            <w:noWrap/>
            <w:vAlign w:val="center"/>
            <w:hideMark/>
          </w:tcPr>
          <w:p w14:paraId="17C99EA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763,10</w:t>
            </w:r>
          </w:p>
        </w:tc>
        <w:tc>
          <w:tcPr>
            <w:tcW w:w="1474" w:type="dxa"/>
            <w:tcBorders>
              <w:top w:val="nil"/>
              <w:left w:val="nil"/>
              <w:bottom w:val="single" w:sz="4" w:space="0" w:color="auto"/>
              <w:right w:val="single" w:sz="4" w:space="0" w:color="auto"/>
            </w:tcBorders>
            <w:noWrap/>
            <w:vAlign w:val="center"/>
            <w:hideMark/>
          </w:tcPr>
          <w:p w14:paraId="2CD74F52"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15,89</w:t>
            </w:r>
          </w:p>
        </w:tc>
      </w:tr>
      <w:tr w:rsidR="00EC7673" w:rsidRPr="00EC7673" w14:paraId="2CC19CE6"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47494DA5" w14:textId="77777777" w:rsidR="00EC7673" w:rsidRPr="00EC7673" w:rsidRDefault="00EC7673" w:rsidP="00EC7673">
            <w:pPr>
              <w:rPr>
                <w:rFonts w:ascii="Aptos Narrow" w:hAnsi="Aptos Narrow"/>
                <w:color w:val="000000"/>
              </w:rPr>
            </w:pPr>
            <w:r w:rsidRPr="00EC7673">
              <w:rPr>
                <w:rFonts w:ascii="Aptos Narrow" w:hAnsi="Aptos Narrow"/>
                <w:color w:val="000000"/>
              </w:rPr>
              <w:t>FHS</w:t>
            </w:r>
          </w:p>
        </w:tc>
        <w:tc>
          <w:tcPr>
            <w:tcW w:w="794" w:type="dxa"/>
            <w:tcBorders>
              <w:top w:val="nil"/>
              <w:left w:val="nil"/>
              <w:bottom w:val="single" w:sz="4" w:space="0" w:color="auto"/>
              <w:right w:val="single" w:sz="4" w:space="0" w:color="auto"/>
            </w:tcBorders>
            <w:noWrap/>
            <w:vAlign w:val="center"/>
            <w:hideMark/>
          </w:tcPr>
          <w:p w14:paraId="62349F36"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1 195</w:t>
            </w:r>
          </w:p>
        </w:tc>
        <w:tc>
          <w:tcPr>
            <w:tcW w:w="907" w:type="dxa"/>
            <w:tcBorders>
              <w:top w:val="nil"/>
              <w:left w:val="nil"/>
              <w:bottom w:val="single" w:sz="4" w:space="0" w:color="auto"/>
              <w:right w:val="single" w:sz="4" w:space="0" w:color="auto"/>
            </w:tcBorders>
            <w:noWrap/>
            <w:vAlign w:val="center"/>
            <w:hideMark/>
          </w:tcPr>
          <w:p w14:paraId="17CCC68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1 844</w:t>
            </w:r>
          </w:p>
        </w:tc>
        <w:tc>
          <w:tcPr>
            <w:tcW w:w="794" w:type="dxa"/>
            <w:tcBorders>
              <w:top w:val="nil"/>
              <w:left w:val="nil"/>
              <w:bottom w:val="single" w:sz="4" w:space="0" w:color="auto"/>
              <w:right w:val="single" w:sz="4" w:space="0" w:color="auto"/>
            </w:tcBorders>
            <w:noWrap/>
            <w:vAlign w:val="center"/>
            <w:hideMark/>
          </w:tcPr>
          <w:p w14:paraId="25E87F0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17</w:t>
            </w:r>
          </w:p>
        </w:tc>
        <w:tc>
          <w:tcPr>
            <w:tcW w:w="1134" w:type="dxa"/>
            <w:tcBorders>
              <w:top w:val="nil"/>
              <w:left w:val="nil"/>
              <w:bottom w:val="single" w:sz="4" w:space="0" w:color="auto"/>
              <w:right w:val="single" w:sz="4" w:space="0" w:color="auto"/>
            </w:tcBorders>
            <w:noWrap/>
            <w:vAlign w:val="center"/>
            <w:hideMark/>
          </w:tcPr>
          <w:p w14:paraId="635D4D6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1 942,50</w:t>
            </w:r>
          </w:p>
        </w:tc>
        <w:tc>
          <w:tcPr>
            <w:tcW w:w="907" w:type="dxa"/>
            <w:tcBorders>
              <w:top w:val="nil"/>
              <w:left w:val="nil"/>
              <w:bottom w:val="single" w:sz="4" w:space="0" w:color="auto"/>
              <w:right w:val="single" w:sz="4" w:space="0" w:color="auto"/>
            </w:tcBorders>
            <w:noWrap/>
            <w:vAlign w:val="center"/>
            <w:hideMark/>
          </w:tcPr>
          <w:p w14:paraId="0D6EAAC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0,654</w:t>
            </w:r>
          </w:p>
        </w:tc>
        <w:tc>
          <w:tcPr>
            <w:tcW w:w="1474" w:type="dxa"/>
            <w:tcBorders>
              <w:top w:val="nil"/>
              <w:left w:val="nil"/>
              <w:bottom w:val="single" w:sz="4" w:space="0" w:color="auto"/>
              <w:right w:val="single" w:sz="4" w:space="0" w:color="auto"/>
            </w:tcBorders>
            <w:noWrap/>
            <w:vAlign w:val="center"/>
            <w:hideMark/>
          </w:tcPr>
          <w:p w14:paraId="69997525"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1270,55</w:t>
            </w:r>
          </w:p>
        </w:tc>
        <w:tc>
          <w:tcPr>
            <w:tcW w:w="1474" w:type="dxa"/>
            <w:tcBorders>
              <w:top w:val="nil"/>
              <w:left w:val="nil"/>
              <w:bottom w:val="single" w:sz="4" w:space="0" w:color="auto"/>
              <w:right w:val="single" w:sz="4" w:space="0" w:color="auto"/>
            </w:tcBorders>
            <w:noWrap/>
            <w:vAlign w:val="center"/>
            <w:hideMark/>
          </w:tcPr>
          <w:p w14:paraId="3F2FEDC6"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26,45</w:t>
            </w:r>
          </w:p>
        </w:tc>
      </w:tr>
      <w:tr w:rsidR="00EC7673" w:rsidRPr="00EC7673" w14:paraId="0A141DE4"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1AACE079" w14:textId="77777777" w:rsidR="00EC7673" w:rsidRPr="00EC7673" w:rsidRDefault="00EC7673" w:rsidP="00EC7673">
            <w:pPr>
              <w:rPr>
                <w:rFonts w:ascii="Aptos Narrow" w:hAnsi="Aptos Narrow"/>
                <w:color w:val="000000"/>
              </w:rPr>
            </w:pPr>
            <w:r w:rsidRPr="00EC7673">
              <w:rPr>
                <w:rFonts w:ascii="Aptos Narrow" w:hAnsi="Aptos Narrow"/>
                <w:color w:val="000000"/>
              </w:rPr>
              <w:t>UNI</w:t>
            </w:r>
          </w:p>
        </w:tc>
        <w:tc>
          <w:tcPr>
            <w:tcW w:w="794" w:type="dxa"/>
            <w:tcBorders>
              <w:top w:val="nil"/>
              <w:left w:val="nil"/>
              <w:bottom w:val="single" w:sz="4" w:space="0" w:color="auto"/>
              <w:right w:val="single" w:sz="4" w:space="0" w:color="auto"/>
            </w:tcBorders>
            <w:noWrap/>
            <w:vAlign w:val="center"/>
            <w:hideMark/>
          </w:tcPr>
          <w:p w14:paraId="752C4F4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18</w:t>
            </w:r>
          </w:p>
        </w:tc>
        <w:tc>
          <w:tcPr>
            <w:tcW w:w="907" w:type="dxa"/>
            <w:tcBorders>
              <w:top w:val="nil"/>
              <w:left w:val="nil"/>
              <w:bottom w:val="single" w:sz="4" w:space="0" w:color="auto"/>
              <w:right w:val="single" w:sz="4" w:space="0" w:color="auto"/>
            </w:tcBorders>
            <w:noWrap/>
            <w:vAlign w:val="center"/>
            <w:hideMark/>
          </w:tcPr>
          <w:p w14:paraId="3FEA6861"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34</w:t>
            </w:r>
          </w:p>
        </w:tc>
        <w:tc>
          <w:tcPr>
            <w:tcW w:w="794" w:type="dxa"/>
            <w:tcBorders>
              <w:top w:val="nil"/>
              <w:left w:val="nil"/>
              <w:bottom w:val="single" w:sz="4" w:space="0" w:color="auto"/>
              <w:right w:val="single" w:sz="4" w:space="0" w:color="auto"/>
            </w:tcBorders>
            <w:noWrap/>
            <w:vAlign w:val="center"/>
            <w:hideMark/>
          </w:tcPr>
          <w:p w14:paraId="1EB32862"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w:t>
            </w:r>
          </w:p>
        </w:tc>
        <w:tc>
          <w:tcPr>
            <w:tcW w:w="1134" w:type="dxa"/>
            <w:tcBorders>
              <w:top w:val="nil"/>
              <w:left w:val="nil"/>
              <w:bottom w:val="single" w:sz="4" w:space="0" w:color="auto"/>
              <w:right w:val="single" w:sz="4" w:space="0" w:color="auto"/>
            </w:tcBorders>
            <w:noWrap/>
            <w:vAlign w:val="center"/>
            <w:hideMark/>
          </w:tcPr>
          <w:p w14:paraId="5A20F498"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19</w:t>
            </w:r>
          </w:p>
        </w:tc>
        <w:tc>
          <w:tcPr>
            <w:tcW w:w="907" w:type="dxa"/>
            <w:tcBorders>
              <w:top w:val="nil"/>
              <w:left w:val="nil"/>
              <w:bottom w:val="single" w:sz="4" w:space="0" w:color="auto"/>
              <w:right w:val="single" w:sz="4" w:space="0" w:color="auto"/>
            </w:tcBorders>
            <w:noWrap/>
            <w:vAlign w:val="center"/>
            <w:hideMark/>
          </w:tcPr>
          <w:p w14:paraId="3D543F83"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0,545</w:t>
            </w:r>
          </w:p>
        </w:tc>
        <w:tc>
          <w:tcPr>
            <w:tcW w:w="1474" w:type="dxa"/>
            <w:tcBorders>
              <w:top w:val="nil"/>
              <w:left w:val="nil"/>
              <w:bottom w:val="single" w:sz="4" w:space="0" w:color="auto"/>
              <w:right w:val="single" w:sz="4" w:space="0" w:color="auto"/>
            </w:tcBorders>
            <w:noWrap/>
            <w:vAlign w:val="center"/>
            <w:hideMark/>
          </w:tcPr>
          <w:p w14:paraId="64156BB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10,36</w:t>
            </w:r>
          </w:p>
        </w:tc>
        <w:tc>
          <w:tcPr>
            <w:tcW w:w="1474" w:type="dxa"/>
            <w:tcBorders>
              <w:top w:val="nil"/>
              <w:left w:val="nil"/>
              <w:bottom w:val="single" w:sz="4" w:space="0" w:color="auto"/>
              <w:right w:val="single" w:sz="4" w:space="0" w:color="auto"/>
            </w:tcBorders>
            <w:noWrap/>
            <w:vAlign w:val="center"/>
            <w:hideMark/>
          </w:tcPr>
          <w:p w14:paraId="24D13CBE"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0,22</w:t>
            </w:r>
          </w:p>
        </w:tc>
      </w:tr>
      <w:tr w:rsidR="00EC7673" w:rsidRPr="00EC7673" w14:paraId="48335697"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4BB956AB" w14:textId="77777777" w:rsidR="00EC7673" w:rsidRPr="00EC7673" w:rsidRDefault="00EC7673" w:rsidP="00EC7673">
            <w:pPr>
              <w:rPr>
                <w:rFonts w:ascii="Aptos Narrow" w:hAnsi="Aptos Narrow"/>
                <w:color w:val="000000"/>
              </w:rPr>
            </w:pPr>
            <w:r w:rsidRPr="00EC7673">
              <w:rPr>
                <w:rFonts w:ascii="Aptos Narrow" w:hAnsi="Aptos Narrow"/>
                <w:color w:val="000000"/>
              </w:rPr>
              <w:t>Knihovna</w:t>
            </w:r>
          </w:p>
        </w:tc>
        <w:tc>
          <w:tcPr>
            <w:tcW w:w="794" w:type="dxa"/>
            <w:tcBorders>
              <w:top w:val="nil"/>
              <w:left w:val="nil"/>
              <w:bottom w:val="single" w:sz="4" w:space="0" w:color="auto"/>
              <w:right w:val="single" w:sz="4" w:space="0" w:color="auto"/>
            </w:tcBorders>
            <w:noWrap/>
            <w:vAlign w:val="center"/>
            <w:hideMark/>
          </w:tcPr>
          <w:p w14:paraId="203EC4A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309F42F"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4FE9828B"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134" w:type="dxa"/>
            <w:tcBorders>
              <w:top w:val="nil"/>
              <w:left w:val="nil"/>
              <w:bottom w:val="single" w:sz="4" w:space="0" w:color="auto"/>
              <w:right w:val="single" w:sz="4" w:space="0" w:color="auto"/>
            </w:tcBorders>
            <w:noWrap/>
            <w:vAlign w:val="center"/>
            <w:hideMark/>
          </w:tcPr>
          <w:p w14:paraId="4C41F5AC"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97AA5E6"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113B16F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22EBB960"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r>
      <w:tr w:rsidR="00EC7673" w:rsidRPr="00EC7673" w14:paraId="748A61FE"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748DB9F7" w14:textId="77777777" w:rsidR="00EC7673" w:rsidRPr="00EC7673" w:rsidRDefault="00EC7673" w:rsidP="00EC7673">
            <w:pPr>
              <w:rPr>
                <w:rFonts w:ascii="Aptos Narrow" w:hAnsi="Aptos Narrow"/>
                <w:color w:val="000000"/>
              </w:rPr>
            </w:pPr>
            <w:r w:rsidRPr="00EC7673">
              <w:rPr>
                <w:rFonts w:ascii="Aptos Narrow" w:hAnsi="Aptos Narrow"/>
                <w:color w:val="000000"/>
              </w:rPr>
              <w:lastRenderedPageBreak/>
              <w:t>KMZ</w:t>
            </w:r>
          </w:p>
        </w:tc>
        <w:tc>
          <w:tcPr>
            <w:tcW w:w="794" w:type="dxa"/>
            <w:tcBorders>
              <w:top w:val="nil"/>
              <w:left w:val="nil"/>
              <w:bottom w:val="single" w:sz="4" w:space="0" w:color="auto"/>
              <w:right w:val="single" w:sz="4" w:space="0" w:color="auto"/>
            </w:tcBorders>
            <w:noWrap/>
            <w:vAlign w:val="center"/>
            <w:hideMark/>
          </w:tcPr>
          <w:p w14:paraId="7C243422"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3F102DA"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20071A79"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134" w:type="dxa"/>
            <w:tcBorders>
              <w:top w:val="nil"/>
              <w:left w:val="nil"/>
              <w:bottom w:val="single" w:sz="4" w:space="0" w:color="auto"/>
              <w:right w:val="single" w:sz="4" w:space="0" w:color="auto"/>
            </w:tcBorders>
            <w:noWrap/>
            <w:vAlign w:val="center"/>
            <w:hideMark/>
          </w:tcPr>
          <w:p w14:paraId="4B8F4D0D"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38BD54C"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36829BD4"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4BA0D7FA" w14:textId="77777777" w:rsidR="00EC7673" w:rsidRPr="00EC7673" w:rsidRDefault="00EC7673" w:rsidP="00EC7673">
            <w:pPr>
              <w:jc w:val="right"/>
              <w:rPr>
                <w:rFonts w:ascii="Aptos Narrow" w:hAnsi="Aptos Narrow"/>
                <w:color w:val="000000"/>
              </w:rPr>
            </w:pPr>
            <w:r w:rsidRPr="00EC7673">
              <w:rPr>
                <w:rFonts w:ascii="Aptos Narrow" w:hAnsi="Aptos Narrow"/>
                <w:color w:val="000000"/>
              </w:rPr>
              <w:t>0</w:t>
            </w:r>
          </w:p>
        </w:tc>
      </w:tr>
      <w:tr w:rsidR="00EC7673" w:rsidRPr="00EC7673" w14:paraId="7A06A1F2" w14:textId="77777777" w:rsidTr="00EC7673">
        <w:trPr>
          <w:trHeight w:val="320"/>
        </w:trPr>
        <w:tc>
          <w:tcPr>
            <w:tcW w:w="1587" w:type="dxa"/>
            <w:tcBorders>
              <w:top w:val="nil"/>
              <w:left w:val="single" w:sz="4" w:space="0" w:color="auto"/>
              <w:bottom w:val="single" w:sz="4" w:space="0" w:color="auto"/>
              <w:right w:val="single" w:sz="4" w:space="0" w:color="auto"/>
            </w:tcBorders>
            <w:noWrap/>
            <w:vAlign w:val="center"/>
            <w:hideMark/>
          </w:tcPr>
          <w:p w14:paraId="7BDE34BF" w14:textId="77777777" w:rsidR="00EC7673" w:rsidRPr="00EC7673" w:rsidRDefault="00EC7673" w:rsidP="00EC7673">
            <w:pPr>
              <w:rPr>
                <w:rFonts w:ascii="Aptos Narrow" w:hAnsi="Aptos Narrow"/>
                <w:b/>
                <w:bCs/>
                <w:color w:val="000000"/>
              </w:rPr>
            </w:pPr>
            <w:r w:rsidRPr="00EC7673">
              <w:rPr>
                <w:rFonts w:ascii="Aptos Narrow" w:hAnsi="Aptos Narrow"/>
                <w:b/>
                <w:bCs/>
                <w:color w:val="000000"/>
              </w:rPr>
              <w:t>Celkem</w:t>
            </w:r>
          </w:p>
        </w:tc>
        <w:tc>
          <w:tcPr>
            <w:tcW w:w="794" w:type="dxa"/>
            <w:tcBorders>
              <w:top w:val="nil"/>
              <w:left w:val="nil"/>
              <w:bottom w:val="single" w:sz="4" w:space="0" w:color="auto"/>
              <w:right w:val="single" w:sz="4" w:space="0" w:color="auto"/>
            </w:tcBorders>
            <w:noWrap/>
            <w:vAlign w:val="center"/>
            <w:hideMark/>
          </w:tcPr>
          <w:p w14:paraId="169A7DBF" w14:textId="77777777" w:rsidR="00EC7673" w:rsidRPr="00EC7673" w:rsidRDefault="00EC7673" w:rsidP="00EC7673">
            <w:pPr>
              <w:jc w:val="right"/>
              <w:rPr>
                <w:rFonts w:ascii="Aptos Narrow" w:hAnsi="Aptos Narrow"/>
                <w:b/>
                <w:bCs/>
                <w:color w:val="000000"/>
              </w:rPr>
            </w:pPr>
            <w:r w:rsidRPr="00EC7673">
              <w:rPr>
                <w:rFonts w:ascii="Aptos Narrow" w:hAnsi="Aptos Narrow"/>
                <w:b/>
                <w:bCs/>
                <w:color w:val="000000"/>
              </w:rPr>
              <w:t>5 399</w:t>
            </w:r>
          </w:p>
        </w:tc>
        <w:tc>
          <w:tcPr>
            <w:tcW w:w="907" w:type="dxa"/>
            <w:tcBorders>
              <w:top w:val="nil"/>
              <w:left w:val="nil"/>
              <w:bottom w:val="single" w:sz="4" w:space="0" w:color="auto"/>
              <w:right w:val="single" w:sz="4" w:space="0" w:color="auto"/>
            </w:tcBorders>
            <w:noWrap/>
            <w:vAlign w:val="center"/>
            <w:hideMark/>
          </w:tcPr>
          <w:p w14:paraId="3FD6D3B1" w14:textId="77777777" w:rsidR="00EC7673" w:rsidRPr="00EC7673" w:rsidRDefault="00EC7673" w:rsidP="00EC7673">
            <w:pPr>
              <w:jc w:val="right"/>
              <w:rPr>
                <w:rFonts w:ascii="Aptos Narrow" w:hAnsi="Aptos Narrow"/>
                <w:b/>
                <w:bCs/>
                <w:color w:val="000000"/>
              </w:rPr>
            </w:pPr>
            <w:r w:rsidRPr="00EC7673">
              <w:rPr>
                <w:rFonts w:ascii="Aptos Narrow" w:hAnsi="Aptos Narrow"/>
                <w:b/>
                <w:bCs/>
                <w:color w:val="000000"/>
              </w:rPr>
              <w:t>10 310</w:t>
            </w:r>
          </w:p>
        </w:tc>
        <w:tc>
          <w:tcPr>
            <w:tcW w:w="794" w:type="dxa"/>
            <w:tcBorders>
              <w:top w:val="nil"/>
              <w:left w:val="nil"/>
              <w:bottom w:val="single" w:sz="4" w:space="0" w:color="auto"/>
              <w:right w:val="single" w:sz="4" w:space="0" w:color="auto"/>
            </w:tcBorders>
            <w:noWrap/>
            <w:vAlign w:val="center"/>
            <w:hideMark/>
          </w:tcPr>
          <w:p w14:paraId="2F83F5D5" w14:textId="77777777" w:rsidR="00EC7673" w:rsidRPr="00EC7673" w:rsidRDefault="00EC7673" w:rsidP="00EC7673">
            <w:pPr>
              <w:jc w:val="right"/>
              <w:rPr>
                <w:rFonts w:ascii="Aptos Narrow" w:hAnsi="Aptos Narrow"/>
                <w:b/>
                <w:bCs/>
                <w:color w:val="000000"/>
              </w:rPr>
            </w:pPr>
            <w:r w:rsidRPr="00EC7673">
              <w:rPr>
                <w:rFonts w:ascii="Aptos Narrow" w:hAnsi="Aptos Narrow"/>
                <w:b/>
                <w:bCs/>
                <w:color w:val="000000"/>
              </w:rPr>
              <w:t>70</w:t>
            </w:r>
          </w:p>
        </w:tc>
        <w:tc>
          <w:tcPr>
            <w:tcW w:w="1134" w:type="dxa"/>
            <w:tcBorders>
              <w:top w:val="nil"/>
              <w:left w:val="nil"/>
              <w:bottom w:val="single" w:sz="4" w:space="0" w:color="auto"/>
              <w:right w:val="single" w:sz="4" w:space="0" w:color="auto"/>
            </w:tcBorders>
            <w:noWrap/>
            <w:vAlign w:val="center"/>
            <w:hideMark/>
          </w:tcPr>
          <w:p w14:paraId="747ABF9F" w14:textId="77777777" w:rsidR="00EC7673" w:rsidRPr="00EC7673" w:rsidRDefault="00EC7673" w:rsidP="00EC7673">
            <w:pPr>
              <w:jc w:val="right"/>
              <w:rPr>
                <w:rFonts w:ascii="Aptos Narrow" w:hAnsi="Aptos Narrow"/>
                <w:b/>
                <w:bCs/>
                <w:color w:val="000000"/>
              </w:rPr>
            </w:pPr>
            <w:r w:rsidRPr="00EC7673">
              <w:rPr>
                <w:rFonts w:ascii="Aptos Narrow" w:hAnsi="Aptos Narrow"/>
                <w:b/>
                <w:bCs/>
                <w:color w:val="000000"/>
              </w:rPr>
              <w:t>9 092,00</w:t>
            </w:r>
          </w:p>
        </w:tc>
        <w:tc>
          <w:tcPr>
            <w:tcW w:w="907" w:type="dxa"/>
            <w:tcBorders>
              <w:top w:val="nil"/>
              <w:left w:val="nil"/>
              <w:bottom w:val="single" w:sz="4" w:space="0" w:color="auto"/>
              <w:right w:val="single" w:sz="4" w:space="0" w:color="auto"/>
            </w:tcBorders>
            <w:noWrap/>
            <w:vAlign w:val="center"/>
            <w:hideMark/>
          </w:tcPr>
          <w:p w14:paraId="24162F66" w14:textId="77777777" w:rsidR="00EC7673" w:rsidRPr="00EC7673" w:rsidRDefault="00EC7673" w:rsidP="00EC7673">
            <w:pPr>
              <w:jc w:val="right"/>
              <w:rPr>
                <w:rFonts w:ascii="Aptos Narrow" w:hAnsi="Aptos Narrow"/>
                <w:b/>
                <w:bCs/>
                <w:color w:val="000000"/>
              </w:rPr>
            </w:pPr>
            <w:r w:rsidRPr="00EC7673">
              <w:rPr>
                <w:rFonts w:ascii="Aptos Narrow" w:hAnsi="Aptos Narrow"/>
                <w:b/>
                <w:bCs/>
                <w:color w:val="000000"/>
              </w:rPr>
              <w:t>3,3382</w:t>
            </w:r>
          </w:p>
        </w:tc>
        <w:tc>
          <w:tcPr>
            <w:tcW w:w="1474" w:type="dxa"/>
            <w:tcBorders>
              <w:top w:val="nil"/>
              <w:left w:val="nil"/>
              <w:bottom w:val="single" w:sz="4" w:space="0" w:color="auto"/>
              <w:right w:val="single" w:sz="4" w:space="0" w:color="auto"/>
            </w:tcBorders>
            <w:noWrap/>
            <w:vAlign w:val="center"/>
            <w:hideMark/>
          </w:tcPr>
          <w:p w14:paraId="02252078" w14:textId="5E886C74" w:rsidR="00EC7673" w:rsidRPr="00EC7673" w:rsidRDefault="00EC7673" w:rsidP="00EC7673">
            <w:pPr>
              <w:jc w:val="right"/>
              <w:rPr>
                <w:rFonts w:ascii="Aptos Narrow" w:hAnsi="Aptos Narrow"/>
                <w:b/>
                <w:bCs/>
                <w:color w:val="000000"/>
              </w:rPr>
            </w:pPr>
            <w:r w:rsidRPr="00EC7673">
              <w:rPr>
                <w:rFonts w:ascii="Aptos Narrow" w:hAnsi="Aptos Narrow"/>
                <w:b/>
                <w:bCs/>
                <w:color w:val="000000"/>
              </w:rPr>
              <w:t>4803,86</w:t>
            </w:r>
          </w:p>
        </w:tc>
        <w:tc>
          <w:tcPr>
            <w:tcW w:w="1474" w:type="dxa"/>
            <w:tcBorders>
              <w:top w:val="nil"/>
              <w:left w:val="nil"/>
              <w:bottom w:val="single" w:sz="4" w:space="0" w:color="auto"/>
              <w:right w:val="single" w:sz="4" w:space="0" w:color="auto"/>
            </w:tcBorders>
            <w:noWrap/>
            <w:vAlign w:val="center"/>
            <w:hideMark/>
          </w:tcPr>
          <w:p w14:paraId="655B48D9" w14:textId="77777777" w:rsidR="00EC7673" w:rsidRPr="00EC7673" w:rsidRDefault="00EC7673" w:rsidP="00EC7673">
            <w:pPr>
              <w:jc w:val="right"/>
              <w:rPr>
                <w:rFonts w:ascii="Aptos Narrow" w:hAnsi="Aptos Narrow"/>
                <w:b/>
                <w:bCs/>
                <w:color w:val="000000"/>
              </w:rPr>
            </w:pPr>
            <w:r w:rsidRPr="00EC7673">
              <w:rPr>
                <w:rFonts w:ascii="Aptos Narrow" w:hAnsi="Aptos Narrow"/>
                <w:b/>
                <w:bCs/>
                <w:color w:val="000000"/>
              </w:rPr>
              <w:t>100,00</w:t>
            </w:r>
          </w:p>
        </w:tc>
      </w:tr>
    </w:tbl>
    <w:p w14:paraId="69E54C6E" w14:textId="77777777" w:rsidR="00DA3ED5" w:rsidRDefault="00DA3ED5" w:rsidP="0012257E">
      <w:pPr>
        <w:pStyle w:val="RozpocetOdstavec"/>
      </w:pPr>
    </w:p>
    <w:p w14:paraId="0D2E5B88" w14:textId="77777777" w:rsidR="001C5057" w:rsidRPr="001C5057" w:rsidRDefault="001C5057" w:rsidP="001C5057">
      <w:pPr>
        <w:pStyle w:val="RozpocetOdstavec"/>
      </w:pPr>
      <w:r w:rsidRPr="001C5057">
        <w:t xml:space="preserve">kde: </w:t>
      </w:r>
    </w:p>
    <w:p w14:paraId="546CB142" w14:textId="77777777" w:rsidR="00612E13" w:rsidRPr="000A20AA" w:rsidRDefault="00612E13" w:rsidP="00612E13">
      <w:pPr>
        <w:pStyle w:val="Odstavecseseznamem"/>
        <w:numPr>
          <w:ilvl w:val="0"/>
          <w:numId w:val="20"/>
        </w:numPr>
        <w:jc w:val="both"/>
      </w:pPr>
      <w:r w:rsidRPr="000A20AA">
        <w:rPr>
          <w:b/>
          <w:i/>
        </w:rPr>
        <w:t>A</w:t>
      </w:r>
      <w:r w:rsidRPr="000A20AA">
        <w:t xml:space="preserve"> je počet fyzických osob Z, kteří zároveň úspěšně absolvovali studium na dané VŠ </w:t>
      </w:r>
      <w:r w:rsidRPr="000A20AA">
        <w:br/>
        <w:t>v daném typu SP se započtenou odstudovanou dobou kratší nebo rovnou SDS+1,</w:t>
      </w:r>
    </w:p>
    <w:p w14:paraId="6C50BDB5" w14:textId="77777777" w:rsidR="00237216" w:rsidRPr="000A20AA" w:rsidRDefault="00237216" w:rsidP="00237216">
      <w:pPr>
        <w:pStyle w:val="Odstavecseseznamem"/>
        <w:numPr>
          <w:ilvl w:val="0"/>
          <w:numId w:val="20"/>
        </w:numPr>
        <w:jc w:val="both"/>
      </w:pPr>
      <w:r w:rsidRPr="000A20AA">
        <w:rPr>
          <w:b/>
          <w:i/>
        </w:rPr>
        <w:t>Z</w:t>
      </w:r>
      <w:r w:rsidRPr="000A20AA">
        <w:t xml:space="preserve"> je počet fyzických osob, které se zapsaly do daného typu studia s danou SDS ve specifikovaných intervalech, které zároveň nebyly v den zápisu studenty dané VŠ </w:t>
      </w:r>
      <w:r w:rsidRPr="000A20AA">
        <w:br/>
        <w:t>v daném typu SP a zároveň u nich (pouze u bakalářských a nenavazujících magisterských SP) existuje studium na dané VŠ v daném typu SP se započítanou dobou aspoň 455 dní, přičemž do výpočtu jsou zahrnuti všichni studenti kromě studentů přijíždějících na krátkodobé studijní pobyty,</w:t>
      </w:r>
    </w:p>
    <w:p w14:paraId="36B6B5F0" w14:textId="77777777" w:rsidR="00E6563B" w:rsidRPr="000A20AA" w:rsidRDefault="00E6563B" w:rsidP="00E6563B">
      <w:pPr>
        <w:pStyle w:val="Odstavecseseznamem"/>
        <w:numPr>
          <w:ilvl w:val="0"/>
          <w:numId w:val="20"/>
        </w:numPr>
        <w:jc w:val="both"/>
      </w:pPr>
      <w:r w:rsidRPr="000A20AA">
        <w:rPr>
          <w:b/>
          <w:i/>
        </w:rPr>
        <w:t>P</w:t>
      </w:r>
      <w:r w:rsidRPr="000A20AA">
        <w:t xml:space="preserve"> je počet fyzických osob, které se zapsaly do daného typu studia s danou SDS ve specifikovaných intervalech, které zároveň nebyly v den zápisu studenty dané VŠ </w:t>
      </w:r>
      <w:r w:rsidRPr="000A20AA">
        <w:br/>
        <w:t>v daném typu SP a které nemají mezi datem zápisu a 31. 10. 2025 absolvované studium na dané VŠ v daném typu SP a zároveň mají k 31. 10. 2025 aktivní studium daného typu na dané VŠ se započtenou dobou kratší nebo rovnou SDS+1.</w:t>
      </w:r>
    </w:p>
    <w:p w14:paraId="5B90E43E" w14:textId="77777777" w:rsidR="00C05D47" w:rsidRPr="000A20AA" w:rsidRDefault="00C05D47" w:rsidP="00C05D47">
      <w:pPr>
        <w:pStyle w:val="RozpocetOdstavec"/>
        <w:rPr>
          <w:highlight w:val="yellow"/>
        </w:rPr>
      </w:pPr>
    </w:p>
    <w:p w14:paraId="68A29A8A" w14:textId="1BA672DA" w:rsidR="00C05D47" w:rsidRPr="000A20AA" w:rsidRDefault="00C05D47" w:rsidP="00C05D47">
      <w:pPr>
        <w:pStyle w:val="RozpocetOdstavec"/>
      </w:pPr>
      <w:r w:rsidRPr="000A20AA">
        <w:t xml:space="preserve">Vypočtená relativní hodnota GR455 je pro účely možnosti stanovení podílu převedena na absolutní hodnotu vynásobením rozpočtovým počtem studentů UTB k 31. 10. 2025. </w:t>
      </w:r>
    </w:p>
    <w:p w14:paraId="4D163957" w14:textId="51FE1633" w:rsidR="00C05D47" w:rsidRPr="000A20AA" w:rsidRDefault="00C05D47" w:rsidP="00C05D47">
      <w:pPr>
        <w:pStyle w:val="RozpocetOdstavec"/>
      </w:pPr>
      <w:r w:rsidRPr="000A20AA">
        <w:t>Podle tohoto indikátoru bude mezi součásti rozdělena část ukazatele K přiděleného UTB podle graduation rate.</w:t>
      </w:r>
    </w:p>
    <w:p w14:paraId="1CB20489" w14:textId="4F9532E0" w:rsidR="00E8532A" w:rsidRDefault="001C5057" w:rsidP="0012257E">
      <w:pPr>
        <w:pStyle w:val="RozpocetOdstavec"/>
      </w:pPr>
      <w:r>
        <w:t xml:space="preserve"> </w:t>
      </w:r>
    </w:p>
    <w:p w14:paraId="7464B6CF" w14:textId="77777777" w:rsidR="00DA3ED5" w:rsidRDefault="006B684F" w:rsidP="00DA3ED5">
      <w:pPr>
        <w:pStyle w:val="RozpoetNadpis3"/>
      </w:pPr>
      <w:bookmarkStart w:id="12" w:name="_Toc228824324"/>
      <w:r>
        <w:t>Indikátor m</w:t>
      </w:r>
      <w:r w:rsidR="00DA3ED5">
        <w:t>ezinárodní mobility</w:t>
      </w:r>
      <w:bookmarkEnd w:id="12"/>
    </w:p>
    <w:p w14:paraId="4608C1A2" w14:textId="77777777" w:rsidR="00AF7236" w:rsidRDefault="00AF7236" w:rsidP="00AF7236">
      <w:pPr>
        <w:pStyle w:val="RozpocetOdstavec"/>
      </w:pPr>
      <w:r w:rsidRPr="000A20AA">
        <w:t xml:space="preserve">Indikátor mezinárodní mobility představuje podíl součásti na počtu pobytů studentů přijíždějících ze zahraničí a vyjíždějících do zahraničí v rámci programů mobilit UTB, z nichž každý trval alespoň 30 dní včetně dnů výjezdu a návratu (dle metodiky SIMS se první a poslední den započítává polovinou), měřených v počtu dnů, které spadaly do období od 1. 9. roku 2024 do 31. 8. roku 2025, od 1. 9. roku 2023 do 31. 8. roku 2024 a od 1. 9. roku 2022 do 31. 8. roku 2023. Jde o vážený průměr z údajů zjištěných v letech 2025, 2024 a 2023 </w:t>
      </w:r>
      <w:r w:rsidRPr="000A20AA">
        <w:br/>
        <w:t>s váhami 5:3:2. Zdrojem dat o mobilitě studentů je výstup SIMS k 31. 10. 2025. Podle tohoto indikátoru bude mezi součásti rozdělena část ukazatele K přiděleného UTB podle mezinárodních mobilit.</w:t>
      </w:r>
    </w:p>
    <w:p w14:paraId="6A9B24F2" w14:textId="77777777" w:rsidR="00BD6D0B" w:rsidRDefault="00BD6D0B" w:rsidP="00AF7236">
      <w:pPr>
        <w:pStyle w:val="RozpocetOdstavec"/>
      </w:pPr>
    </w:p>
    <w:tbl>
      <w:tblPr>
        <w:tblW w:w="9070" w:type="dxa"/>
        <w:tblLook w:val="04A0" w:firstRow="1" w:lastRow="0" w:firstColumn="1" w:lastColumn="0" w:noHBand="0" w:noVBand="1"/>
      </w:tblPr>
      <w:tblGrid>
        <w:gridCol w:w="1587"/>
        <w:gridCol w:w="907"/>
        <w:gridCol w:w="907"/>
        <w:gridCol w:w="907"/>
        <w:gridCol w:w="2324"/>
        <w:gridCol w:w="2438"/>
      </w:tblGrid>
      <w:tr w:rsidR="00BD6D0B" w14:paraId="484E2F6E" w14:textId="77777777" w:rsidTr="00BD6D0B">
        <w:trPr>
          <w:trHeight w:val="320"/>
        </w:trPr>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A36D17" w14:textId="7F317BAA" w:rsidR="00BD6D0B" w:rsidRDefault="00BD6D0B" w:rsidP="00BD6D0B">
            <w:pPr>
              <w:jc w:val="center"/>
              <w:rPr>
                <w:rFonts w:ascii="Aptos Narrow" w:hAnsi="Aptos Narrow"/>
                <w:b/>
                <w:bCs/>
                <w:color w:val="000000"/>
              </w:rPr>
            </w:pPr>
            <w:r>
              <w:rPr>
                <w:rFonts w:ascii="Aptos Narrow" w:hAnsi="Aptos Narrow"/>
                <w:b/>
                <w:bCs/>
                <w:color w:val="000000"/>
              </w:rPr>
              <w:t>Součást</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9D06EA" w14:textId="77777777" w:rsidR="00BD6D0B" w:rsidRDefault="00BD6D0B" w:rsidP="00BD6D0B">
            <w:pPr>
              <w:jc w:val="center"/>
              <w:rPr>
                <w:rFonts w:ascii="Aptos Narrow" w:hAnsi="Aptos Narrow"/>
                <w:b/>
                <w:bCs/>
                <w:color w:val="000000"/>
              </w:rPr>
            </w:pPr>
            <w:r>
              <w:rPr>
                <w:rFonts w:ascii="Aptos Narrow" w:hAnsi="Aptos Narrow"/>
                <w:b/>
                <w:bCs/>
                <w:color w:val="000000"/>
              </w:rPr>
              <w:t>2023</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1F06B6" w14:textId="77777777" w:rsidR="00BD6D0B" w:rsidRDefault="00BD6D0B" w:rsidP="00BD6D0B">
            <w:pPr>
              <w:jc w:val="center"/>
              <w:rPr>
                <w:rFonts w:ascii="Aptos Narrow" w:hAnsi="Aptos Narrow"/>
                <w:b/>
                <w:bCs/>
                <w:color w:val="000000"/>
              </w:rPr>
            </w:pPr>
            <w:r>
              <w:rPr>
                <w:rFonts w:ascii="Aptos Narrow" w:hAnsi="Aptos Narrow"/>
                <w:b/>
                <w:bCs/>
                <w:color w:val="000000"/>
              </w:rPr>
              <w:t>2024</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516DCC" w14:textId="77777777" w:rsidR="00BD6D0B" w:rsidRDefault="00BD6D0B" w:rsidP="00BD6D0B">
            <w:pPr>
              <w:jc w:val="center"/>
              <w:rPr>
                <w:rFonts w:ascii="Aptos Narrow" w:hAnsi="Aptos Narrow"/>
                <w:b/>
                <w:bCs/>
                <w:color w:val="000000"/>
              </w:rPr>
            </w:pPr>
            <w:r>
              <w:rPr>
                <w:rFonts w:ascii="Aptos Narrow" w:hAnsi="Aptos Narrow"/>
                <w:b/>
                <w:bCs/>
                <w:color w:val="000000"/>
              </w:rPr>
              <w:t>2025</w:t>
            </w:r>
          </w:p>
        </w:tc>
        <w:tc>
          <w:tcPr>
            <w:tcW w:w="23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EE2AB6" w14:textId="77777777" w:rsidR="00BD6D0B" w:rsidRDefault="00BD6D0B" w:rsidP="00BD6D0B">
            <w:pPr>
              <w:jc w:val="center"/>
              <w:rPr>
                <w:rFonts w:ascii="Aptos Narrow" w:hAnsi="Aptos Narrow"/>
                <w:b/>
                <w:bCs/>
                <w:color w:val="000000"/>
              </w:rPr>
            </w:pPr>
            <w:r>
              <w:rPr>
                <w:rFonts w:ascii="Aptos Narrow" w:hAnsi="Aptos Narrow"/>
                <w:b/>
                <w:bCs/>
                <w:color w:val="000000"/>
              </w:rPr>
              <w:t>Mezinárodní mobility</w:t>
            </w:r>
          </w:p>
        </w:tc>
        <w:tc>
          <w:tcPr>
            <w:tcW w:w="24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8F0525" w14:textId="77777777" w:rsidR="00BD6D0B" w:rsidRDefault="00BD6D0B" w:rsidP="00BD6D0B">
            <w:pPr>
              <w:jc w:val="center"/>
              <w:rPr>
                <w:rFonts w:ascii="Aptos Narrow" w:hAnsi="Aptos Narrow"/>
                <w:b/>
                <w:bCs/>
                <w:color w:val="000000"/>
              </w:rPr>
            </w:pPr>
            <w:r>
              <w:rPr>
                <w:rFonts w:ascii="Aptos Narrow" w:hAnsi="Aptos Narrow"/>
                <w:b/>
                <w:bCs/>
                <w:color w:val="000000"/>
              </w:rPr>
              <w:t>Mezinárodní mobility</w:t>
            </w:r>
          </w:p>
          <w:p w14:paraId="5AE96ED8" w14:textId="3D888CD1" w:rsidR="00BD6D0B" w:rsidRDefault="00BD6D0B" w:rsidP="00BD6D0B">
            <w:pPr>
              <w:jc w:val="center"/>
              <w:rPr>
                <w:rFonts w:ascii="Aptos Narrow" w:hAnsi="Aptos Narrow"/>
                <w:b/>
                <w:bCs/>
                <w:color w:val="000000"/>
              </w:rPr>
            </w:pPr>
            <w:r>
              <w:rPr>
                <w:rFonts w:ascii="Aptos Narrow" w:hAnsi="Aptos Narrow"/>
                <w:b/>
                <w:bCs/>
                <w:color w:val="000000"/>
              </w:rPr>
              <w:t>v %</w:t>
            </w:r>
          </w:p>
        </w:tc>
      </w:tr>
      <w:tr w:rsidR="00BD6D0B" w14:paraId="1D0F7CBC"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7A7E7C6E" w14:textId="77777777" w:rsidR="00BD6D0B" w:rsidRDefault="00BD6D0B" w:rsidP="00BD6D0B">
            <w:pPr>
              <w:rPr>
                <w:rFonts w:ascii="Aptos Narrow" w:hAnsi="Aptos Narrow"/>
                <w:color w:val="000000"/>
              </w:rPr>
            </w:pPr>
            <w:r>
              <w:rPr>
                <w:rFonts w:ascii="Aptos Narrow" w:hAnsi="Aptos Narrow"/>
                <w:color w:val="000000"/>
              </w:rPr>
              <w:t>FT</w:t>
            </w:r>
          </w:p>
        </w:tc>
        <w:tc>
          <w:tcPr>
            <w:tcW w:w="907" w:type="dxa"/>
            <w:tcBorders>
              <w:top w:val="nil"/>
              <w:left w:val="nil"/>
              <w:bottom w:val="single" w:sz="4" w:space="0" w:color="auto"/>
              <w:right w:val="single" w:sz="4" w:space="0" w:color="auto"/>
            </w:tcBorders>
            <w:noWrap/>
            <w:vAlign w:val="center"/>
            <w:hideMark/>
          </w:tcPr>
          <w:p w14:paraId="61787042" w14:textId="77777777" w:rsidR="00BD6D0B" w:rsidRDefault="00BD6D0B" w:rsidP="00BD6D0B">
            <w:pPr>
              <w:jc w:val="right"/>
              <w:rPr>
                <w:rFonts w:ascii="Aptos Narrow" w:hAnsi="Aptos Narrow"/>
              </w:rPr>
            </w:pPr>
            <w:r>
              <w:rPr>
                <w:rFonts w:ascii="Aptos Narrow" w:hAnsi="Aptos Narrow"/>
              </w:rPr>
              <w:t>8 824</w:t>
            </w:r>
          </w:p>
        </w:tc>
        <w:tc>
          <w:tcPr>
            <w:tcW w:w="907" w:type="dxa"/>
            <w:tcBorders>
              <w:top w:val="nil"/>
              <w:left w:val="nil"/>
              <w:bottom w:val="single" w:sz="4" w:space="0" w:color="auto"/>
              <w:right w:val="single" w:sz="4" w:space="0" w:color="auto"/>
            </w:tcBorders>
            <w:noWrap/>
            <w:vAlign w:val="center"/>
            <w:hideMark/>
          </w:tcPr>
          <w:p w14:paraId="64778E2F" w14:textId="77777777" w:rsidR="00BD6D0B" w:rsidRDefault="00BD6D0B" w:rsidP="00BD6D0B">
            <w:pPr>
              <w:jc w:val="right"/>
              <w:rPr>
                <w:rFonts w:ascii="Aptos Narrow" w:hAnsi="Aptos Narrow"/>
              </w:rPr>
            </w:pPr>
            <w:r>
              <w:rPr>
                <w:rFonts w:ascii="Aptos Narrow" w:hAnsi="Aptos Narrow"/>
              </w:rPr>
              <w:t>8 661</w:t>
            </w:r>
          </w:p>
        </w:tc>
        <w:tc>
          <w:tcPr>
            <w:tcW w:w="907" w:type="dxa"/>
            <w:tcBorders>
              <w:top w:val="nil"/>
              <w:left w:val="nil"/>
              <w:bottom w:val="single" w:sz="4" w:space="0" w:color="auto"/>
              <w:right w:val="single" w:sz="4" w:space="0" w:color="auto"/>
            </w:tcBorders>
            <w:noWrap/>
            <w:vAlign w:val="center"/>
            <w:hideMark/>
          </w:tcPr>
          <w:p w14:paraId="599684BA" w14:textId="77777777" w:rsidR="00BD6D0B" w:rsidRDefault="00BD6D0B" w:rsidP="00BD6D0B">
            <w:pPr>
              <w:jc w:val="right"/>
              <w:rPr>
                <w:rFonts w:ascii="Aptos Narrow" w:hAnsi="Aptos Narrow"/>
              </w:rPr>
            </w:pPr>
            <w:r>
              <w:rPr>
                <w:rFonts w:ascii="Aptos Narrow" w:hAnsi="Aptos Narrow"/>
              </w:rPr>
              <w:t>8 136</w:t>
            </w:r>
          </w:p>
        </w:tc>
        <w:tc>
          <w:tcPr>
            <w:tcW w:w="2324" w:type="dxa"/>
            <w:tcBorders>
              <w:top w:val="nil"/>
              <w:left w:val="nil"/>
              <w:bottom w:val="single" w:sz="4" w:space="0" w:color="auto"/>
              <w:right w:val="single" w:sz="4" w:space="0" w:color="auto"/>
            </w:tcBorders>
            <w:noWrap/>
            <w:vAlign w:val="center"/>
            <w:hideMark/>
          </w:tcPr>
          <w:p w14:paraId="7E6EC3BC" w14:textId="77777777" w:rsidR="00BD6D0B" w:rsidRDefault="00BD6D0B" w:rsidP="00BD6D0B">
            <w:pPr>
              <w:jc w:val="right"/>
              <w:rPr>
                <w:rFonts w:ascii="Aptos Narrow" w:hAnsi="Aptos Narrow"/>
                <w:color w:val="000000"/>
              </w:rPr>
            </w:pPr>
            <w:r>
              <w:rPr>
                <w:rFonts w:ascii="Aptos Narrow" w:hAnsi="Aptos Narrow"/>
                <w:color w:val="000000"/>
              </w:rPr>
              <w:t>8 431</w:t>
            </w:r>
          </w:p>
        </w:tc>
        <w:tc>
          <w:tcPr>
            <w:tcW w:w="2438" w:type="dxa"/>
            <w:tcBorders>
              <w:top w:val="nil"/>
              <w:left w:val="nil"/>
              <w:bottom w:val="single" w:sz="4" w:space="0" w:color="auto"/>
              <w:right w:val="single" w:sz="4" w:space="0" w:color="auto"/>
            </w:tcBorders>
            <w:noWrap/>
            <w:vAlign w:val="center"/>
            <w:hideMark/>
          </w:tcPr>
          <w:p w14:paraId="7A580046" w14:textId="77777777" w:rsidR="00BD6D0B" w:rsidRDefault="00BD6D0B" w:rsidP="00BD6D0B">
            <w:pPr>
              <w:jc w:val="right"/>
              <w:rPr>
                <w:rFonts w:ascii="Aptos Narrow" w:hAnsi="Aptos Narrow"/>
                <w:color w:val="000000"/>
              </w:rPr>
            </w:pPr>
            <w:r>
              <w:rPr>
                <w:rFonts w:ascii="Aptos Narrow" w:hAnsi="Aptos Narrow"/>
                <w:color w:val="000000"/>
              </w:rPr>
              <w:t>13,75</w:t>
            </w:r>
          </w:p>
        </w:tc>
      </w:tr>
      <w:tr w:rsidR="00BD6D0B" w14:paraId="3D55FEA5"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76310326" w14:textId="77777777" w:rsidR="00BD6D0B" w:rsidRDefault="00BD6D0B" w:rsidP="00BD6D0B">
            <w:pPr>
              <w:rPr>
                <w:rFonts w:ascii="Aptos Narrow" w:hAnsi="Aptos Narrow"/>
                <w:color w:val="000000"/>
              </w:rPr>
            </w:pPr>
            <w:r>
              <w:rPr>
                <w:rFonts w:ascii="Aptos Narrow" w:hAnsi="Aptos Narrow"/>
                <w:color w:val="000000"/>
              </w:rPr>
              <w:t>FLKŘ</w:t>
            </w:r>
          </w:p>
        </w:tc>
        <w:tc>
          <w:tcPr>
            <w:tcW w:w="907" w:type="dxa"/>
            <w:tcBorders>
              <w:top w:val="nil"/>
              <w:left w:val="nil"/>
              <w:bottom w:val="single" w:sz="4" w:space="0" w:color="auto"/>
              <w:right w:val="single" w:sz="4" w:space="0" w:color="auto"/>
            </w:tcBorders>
            <w:noWrap/>
            <w:vAlign w:val="center"/>
            <w:hideMark/>
          </w:tcPr>
          <w:p w14:paraId="5152B440" w14:textId="77777777" w:rsidR="00BD6D0B" w:rsidRDefault="00BD6D0B" w:rsidP="00BD6D0B">
            <w:pPr>
              <w:jc w:val="right"/>
              <w:rPr>
                <w:rFonts w:ascii="Aptos Narrow" w:hAnsi="Aptos Narrow"/>
              </w:rPr>
            </w:pPr>
            <w:r>
              <w:rPr>
                <w:rFonts w:ascii="Aptos Narrow" w:hAnsi="Aptos Narrow"/>
              </w:rPr>
              <w:t>200</w:t>
            </w:r>
          </w:p>
        </w:tc>
        <w:tc>
          <w:tcPr>
            <w:tcW w:w="907" w:type="dxa"/>
            <w:tcBorders>
              <w:top w:val="nil"/>
              <w:left w:val="nil"/>
              <w:bottom w:val="single" w:sz="4" w:space="0" w:color="auto"/>
              <w:right w:val="single" w:sz="4" w:space="0" w:color="auto"/>
            </w:tcBorders>
            <w:noWrap/>
            <w:vAlign w:val="center"/>
            <w:hideMark/>
          </w:tcPr>
          <w:p w14:paraId="6CD9E738"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7E8845BA" w14:textId="77777777" w:rsidR="00BD6D0B" w:rsidRDefault="00BD6D0B" w:rsidP="00BD6D0B">
            <w:pPr>
              <w:jc w:val="right"/>
              <w:rPr>
                <w:rFonts w:ascii="Aptos Narrow" w:hAnsi="Aptos Narrow"/>
              </w:rPr>
            </w:pPr>
            <w:r>
              <w:rPr>
                <w:rFonts w:ascii="Aptos Narrow" w:hAnsi="Aptos Narrow"/>
              </w:rPr>
              <w:t>0</w:t>
            </w:r>
          </w:p>
        </w:tc>
        <w:tc>
          <w:tcPr>
            <w:tcW w:w="2324" w:type="dxa"/>
            <w:tcBorders>
              <w:top w:val="nil"/>
              <w:left w:val="nil"/>
              <w:bottom w:val="single" w:sz="4" w:space="0" w:color="auto"/>
              <w:right w:val="single" w:sz="4" w:space="0" w:color="auto"/>
            </w:tcBorders>
            <w:noWrap/>
            <w:vAlign w:val="center"/>
            <w:hideMark/>
          </w:tcPr>
          <w:p w14:paraId="4CE7F079" w14:textId="77777777" w:rsidR="00BD6D0B" w:rsidRDefault="00BD6D0B" w:rsidP="00BD6D0B">
            <w:pPr>
              <w:jc w:val="right"/>
              <w:rPr>
                <w:rFonts w:ascii="Aptos Narrow" w:hAnsi="Aptos Narrow"/>
                <w:color w:val="000000"/>
              </w:rPr>
            </w:pPr>
            <w:r>
              <w:rPr>
                <w:rFonts w:ascii="Aptos Narrow" w:hAnsi="Aptos Narrow"/>
                <w:color w:val="000000"/>
              </w:rPr>
              <w:t>40</w:t>
            </w:r>
          </w:p>
        </w:tc>
        <w:tc>
          <w:tcPr>
            <w:tcW w:w="2438" w:type="dxa"/>
            <w:tcBorders>
              <w:top w:val="nil"/>
              <w:left w:val="nil"/>
              <w:bottom w:val="single" w:sz="4" w:space="0" w:color="auto"/>
              <w:right w:val="single" w:sz="4" w:space="0" w:color="auto"/>
            </w:tcBorders>
            <w:noWrap/>
            <w:vAlign w:val="center"/>
            <w:hideMark/>
          </w:tcPr>
          <w:p w14:paraId="79012E31" w14:textId="77777777" w:rsidR="00BD6D0B" w:rsidRDefault="00BD6D0B" w:rsidP="00BD6D0B">
            <w:pPr>
              <w:jc w:val="right"/>
              <w:rPr>
                <w:rFonts w:ascii="Aptos Narrow" w:hAnsi="Aptos Narrow"/>
                <w:color w:val="000000"/>
              </w:rPr>
            </w:pPr>
            <w:r>
              <w:rPr>
                <w:rFonts w:ascii="Aptos Narrow" w:hAnsi="Aptos Narrow"/>
                <w:color w:val="000000"/>
              </w:rPr>
              <w:t>0,07</w:t>
            </w:r>
          </w:p>
        </w:tc>
      </w:tr>
      <w:tr w:rsidR="00BD6D0B" w14:paraId="7E442940"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2716C88C" w14:textId="77777777" w:rsidR="00BD6D0B" w:rsidRDefault="00BD6D0B" w:rsidP="00BD6D0B">
            <w:pPr>
              <w:rPr>
                <w:rFonts w:ascii="Aptos Narrow" w:hAnsi="Aptos Narrow"/>
                <w:color w:val="000000"/>
              </w:rPr>
            </w:pPr>
            <w:r>
              <w:rPr>
                <w:rFonts w:ascii="Aptos Narrow" w:hAnsi="Aptos Narrow"/>
                <w:color w:val="000000"/>
              </w:rPr>
              <w:t>FAI</w:t>
            </w:r>
          </w:p>
        </w:tc>
        <w:tc>
          <w:tcPr>
            <w:tcW w:w="907" w:type="dxa"/>
            <w:tcBorders>
              <w:top w:val="nil"/>
              <w:left w:val="nil"/>
              <w:bottom w:val="single" w:sz="4" w:space="0" w:color="auto"/>
              <w:right w:val="single" w:sz="4" w:space="0" w:color="auto"/>
            </w:tcBorders>
            <w:noWrap/>
            <w:vAlign w:val="center"/>
            <w:hideMark/>
          </w:tcPr>
          <w:p w14:paraId="30187D13" w14:textId="77777777" w:rsidR="00BD6D0B" w:rsidRDefault="00BD6D0B" w:rsidP="00BD6D0B">
            <w:pPr>
              <w:jc w:val="right"/>
              <w:rPr>
                <w:rFonts w:ascii="Aptos Narrow" w:hAnsi="Aptos Narrow"/>
              </w:rPr>
            </w:pPr>
            <w:r>
              <w:rPr>
                <w:rFonts w:ascii="Aptos Narrow" w:hAnsi="Aptos Narrow"/>
              </w:rPr>
              <w:t>9 466</w:t>
            </w:r>
          </w:p>
        </w:tc>
        <w:tc>
          <w:tcPr>
            <w:tcW w:w="907" w:type="dxa"/>
            <w:tcBorders>
              <w:top w:val="nil"/>
              <w:left w:val="nil"/>
              <w:bottom w:val="single" w:sz="4" w:space="0" w:color="auto"/>
              <w:right w:val="single" w:sz="4" w:space="0" w:color="auto"/>
            </w:tcBorders>
            <w:noWrap/>
            <w:vAlign w:val="center"/>
            <w:hideMark/>
          </w:tcPr>
          <w:p w14:paraId="3683100E" w14:textId="77777777" w:rsidR="00BD6D0B" w:rsidRDefault="00BD6D0B" w:rsidP="00BD6D0B">
            <w:pPr>
              <w:jc w:val="right"/>
              <w:rPr>
                <w:rFonts w:ascii="Aptos Narrow" w:hAnsi="Aptos Narrow"/>
              </w:rPr>
            </w:pPr>
            <w:r>
              <w:rPr>
                <w:rFonts w:ascii="Aptos Narrow" w:hAnsi="Aptos Narrow"/>
              </w:rPr>
              <w:t>7 104</w:t>
            </w:r>
          </w:p>
        </w:tc>
        <w:tc>
          <w:tcPr>
            <w:tcW w:w="907" w:type="dxa"/>
            <w:tcBorders>
              <w:top w:val="nil"/>
              <w:left w:val="nil"/>
              <w:bottom w:val="single" w:sz="4" w:space="0" w:color="auto"/>
              <w:right w:val="single" w:sz="4" w:space="0" w:color="auto"/>
            </w:tcBorders>
            <w:noWrap/>
            <w:vAlign w:val="center"/>
            <w:hideMark/>
          </w:tcPr>
          <w:p w14:paraId="5D0BADDE" w14:textId="77777777" w:rsidR="00BD6D0B" w:rsidRDefault="00BD6D0B" w:rsidP="00BD6D0B">
            <w:pPr>
              <w:jc w:val="right"/>
              <w:rPr>
                <w:rFonts w:ascii="Aptos Narrow" w:hAnsi="Aptos Narrow"/>
              </w:rPr>
            </w:pPr>
            <w:r>
              <w:rPr>
                <w:rFonts w:ascii="Aptos Narrow" w:hAnsi="Aptos Narrow"/>
              </w:rPr>
              <w:t>8 774</w:t>
            </w:r>
          </w:p>
        </w:tc>
        <w:tc>
          <w:tcPr>
            <w:tcW w:w="2324" w:type="dxa"/>
            <w:tcBorders>
              <w:top w:val="nil"/>
              <w:left w:val="nil"/>
              <w:bottom w:val="single" w:sz="4" w:space="0" w:color="auto"/>
              <w:right w:val="single" w:sz="4" w:space="0" w:color="auto"/>
            </w:tcBorders>
            <w:noWrap/>
            <w:vAlign w:val="center"/>
            <w:hideMark/>
          </w:tcPr>
          <w:p w14:paraId="241A141D" w14:textId="77777777" w:rsidR="00BD6D0B" w:rsidRDefault="00BD6D0B" w:rsidP="00BD6D0B">
            <w:pPr>
              <w:jc w:val="right"/>
              <w:rPr>
                <w:rFonts w:ascii="Aptos Narrow" w:hAnsi="Aptos Narrow"/>
                <w:color w:val="000000"/>
              </w:rPr>
            </w:pPr>
            <w:r>
              <w:rPr>
                <w:rFonts w:ascii="Aptos Narrow" w:hAnsi="Aptos Narrow"/>
                <w:color w:val="000000"/>
              </w:rPr>
              <w:t>8 411</w:t>
            </w:r>
          </w:p>
        </w:tc>
        <w:tc>
          <w:tcPr>
            <w:tcW w:w="2438" w:type="dxa"/>
            <w:tcBorders>
              <w:top w:val="nil"/>
              <w:left w:val="nil"/>
              <w:bottom w:val="single" w:sz="4" w:space="0" w:color="auto"/>
              <w:right w:val="single" w:sz="4" w:space="0" w:color="auto"/>
            </w:tcBorders>
            <w:noWrap/>
            <w:vAlign w:val="center"/>
            <w:hideMark/>
          </w:tcPr>
          <w:p w14:paraId="178256AF" w14:textId="77777777" w:rsidR="00BD6D0B" w:rsidRDefault="00BD6D0B" w:rsidP="00BD6D0B">
            <w:pPr>
              <w:jc w:val="right"/>
              <w:rPr>
                <w:rFonts w:ascii="Aptos Narrow" w:hAnsi="Aptos Narrow"/>
                <w:color w:val="000000"/>
              </w:rPr>
            </w:pPr>
            <w:r>
              <w:rPr>
                <w:rFonts w:ascii="Aptos Narrow" w:hAnsi="Aptos Narrow"/>
                <w:color w:val="000000"/>
              </w:rPr>
              <w:t>13,72</w:t>
            </w:r>
          </w:p>
        </w:tc>
      </w:tr>
      <w:tr w:rsidR="00BD6D0B" w14:paraId="50D88251"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7EF6680" w14:textId="77777777" w:rsidR="00BD6D0B" w:rsidRDefault="00BD6D0B" w:rsidP="00BD6D0B">
            <w:pPr>
              <w:rPr>
                <w:rFonts w:ascii="Aptos Narrow" w:hAnsi="Aptos Narrow"/>
                <w:color w:val="000000"/>
              </w:rPr>
            </w:pPr>
            <w:r>
              <w:rPr>
                <w:rFonts w:ascii="Aptos Narrow" w:hAnsi="Aptos Narrow"/>
                <w:color w:val="000000"/>
              </w:rPr>
              <w:t>FMK</w:t>
            </w:r>
          </w:p>
        </w:tc>
        <w:tc>
          <w:tcPr>
            <w:tcW w:w="907" w:type="dxa"/>
            <w:tcBorders>
              <w:top w:val="nil"/>
              <w:left w:val="nil"/>
              <w:bottom w:val="single" w:sz="4" w:space="0" w:color="auto"/>
              <w:right w:val="single" w:sz="4" w:space="0" w:color="auto"/>
            </w:tcBorders>
            <w:noWrap/>
            <w:vAlign w:val="center"/>
            <w:hideMark/>
          </w:tcPr>
          <w:p w14:paraId="563C05B4" w14:textId="77777777" w:rsidR="00BD6D0B" w:rsidRDefault="00BD6D0B" w:rsidP="00BD6D0B">
            <w:pPr>
              <w:jc w:val="right"/>
              <w:rPr>
                <w:rFonts w:ascii="Aptos Narrow" w:hAnsi="Aptos Narrow"/>
              </w:rPr>
            </w:pPr>
            <w:r>
              <w:rPr>
                <w:rFonts w:ascii="Aptos Narrow" w:hAnsi="Aptos Narrow"/>
              </w:rPr>
              <w:t>20 161</w:t>
            </w:r>
          </w:p>
        </w:tc>
        <w:tc>
          <w:tcPr>
            <w:tcW w:w="907" w:type="dxa"/>
            <w:tcBorders>
              <w:top w:val="nil"/>
              <w:left w:val="nil"/>
              <w:bottom w:val="single" w:sz="4" w:space="0" w:color="auto"/>
              <w:right w:val="single" w:sz="4" w:space="0" w:color="auto"/>
            </w:tcBorders>
            <w:noWrap/>
            <w:vAlign w:val="center"/>
            <w:hideMark/>
          </w:tcPr>
          <w:p w14:paraId="57B3B5FD" w14:textId="77777777" w:rsidR="00BD6D0B" w:rsidRDefault="00BD6D0B" w:rsidP="00BD6D0B">
            <w:pPr>
              <w:jc w:val="right"/>
              <w:rPr>
                <w:rFonts w:ascii="Aptos Narrow" w:hAnsi="Aptos Narrow"/>
              </w:rPr>
            </w:pPr>
            <w:r>
              <w:rPr>
                <w:rFonts w:ascii="Aptos Narrow" w:hAnsi="Aptos Narrow"/>
              </w:rPr>
              <w:t>17 378</w:t>
            </w:r>
          </w:p>
        </w:tc>
        <w:tc>
          <w:tcPr>
            <w:tcW w:w="907" w:type="dxa"/>
            <w:tcBorders>
              <w:top w:val="nil"/>
              <w:left w:val="nil"/>
              <w:bottom w:val="single" w:sz="4" w:space="0" w:color="auto"/>
              <w:right w:val="single" w:sz="4" w:space="0" w:color="auto"/>
            </w:tcBorders>
            <w:noWrap/>
            <w:vAlign w:val="center"/>
            <w:hideMark/>
          </w:tcPr>
          <w:p w14:paraId="24597E75" w14:textId="77777777" w:rsidR="00BD6D0B" w:rsidRDefault="00BD6D0B" w:rsidP="00BD6D0B">
            <w:pPr>
              <w:jc w:val="right"/>
              <w:rPr>
                <w:rFonts w:ascii="Aptos Narrow" w:hAnsi="Aptos Narrow"/>
              </w:rPr>
            </w:pPr>
            <w:r>
              <w:rPr>
                <w:rFonts w:ascii="Aptos Narrow" w:hAnsi="Aptos Narrow"/>
              </w:rPr>
              <w:t>20 393</w:t>
            </w:r>
          </w:p>
        </w:tc>
        <w:tc>
          <w:tcPr>
            <w:tcW w:w="2324" w:type="dxa"/>
            <w:tcBorders>
              <w:top w:val="nil"/>
              <w:left w:val="nil"/>
              <w:bottom w:val="single" w:sz="4" w:space="0" w:color="auto"/>
              <w:right w:val="single" w:sz="4" w:space="0" w:color="auto"/>
            </w:tcBorders>
            <w:noWrap/>
            <w:vAlign w:val="center"/>
            <w:hideMark/>
          </w:tcPr>
          <w:p w14:paraId="1855164A" w14:textId="77777777" w:rsidR="00BD6D0B" w:rsidRDefault="00BD6D0B" w:rsidP="00BD6D0B">
            <w:pPr>
              <w:jc w:val="right"/>
              <w:rPr>
                <w:rFonts w:ascii="Aptos Narrow" w:hAnsi="Aptos Narrow"/>
                <w:color w:val="000000"/>
              </w:rPr>
            </w:pPr>
            <w:r>
              <w:rPr>
                <w:rFonts w:ascii="Aptos Narrow" w:hAnsi="Aptos Narrow"/>
                <w:color w:val="000000"/>
              </w:rPr>
              <w:t>19 442</w:t>
            </w:r>
          </w:p>
        </w:tc>
        <w:tc>
          <w:tcPr>
            <w:tcW w:w="2438" w:type="dxa"/>
            <w:tcBorders>
              <w:top w:val="nil"/>
              <w:left w:val="nil"/>
              <w:bottom w:val="single" w:sz="4" w:space="0" w:color="auto"/>
              <w:right w:val="single" w:sz="4" w:space="0" w:color="auto"/>
            </w:tcBorders>
            <w:noWrap/>
            <w:vAlign w:val="center"/>
            <w:hideMark/>
          </w:tcPr>
          <w:p w14:paraId="1344C8D0" w14:textId="77777777" w:rsidR="00BD6D0B" w:rsidRDefault="00BD6D0B" w:rsidP="00BD6D0B">
            <w:pPr>
              <w:jc w:val="right"/>
              <w:rPr>
                <w:rFonts w:ascii="Aptos Narrow" w:hAnsi="Aptos Narrow"/>
                <w:color w:val="000000"/>
              </w:rPr>
            </w:pPr>
            <w:r>
              <w:rPr>
                <w:rFonts w:ascii="Aptos Narrow" w:hAnsi="Aptos Narrow"/>
                <w:color w:val="000000"/>
              </w:rPr>
              <w:t>31,71</w:t>
            </w:r>
          </w:p>
        </w:tc>
      </w:tr>
      <w:tr w:rsidR="00BD6D0B" w14:paraId="76D01945"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D0C4474" w14:textId="77777777" w:rsidR="00BD6D0B" w:rsidRDefault="00BD6D0B" w:rsidP="00BD6D0B">
            <w:pPr>
              <w:rPr>
                <w:rFonts w:ascii="Aptos Narrow" w:hAnsi="Aptos Narrow"/>
                <w:color w:val="000000"/>
              </w:rPr>
            </w:pPr>
            <w:r>
              <w:rPr>
                <w:rFonts w:ascii="Aptos Narrow" w:hAnsi="Aptos Narrow"/>
                <w:color w:val="000000"/>
              </w:rPr>
              <w:t>FaME</w:t>
            </w:r>
          </w:p>
        </w:tc>
        <w:tc>
          <w:tcPr>
            <w:tcW w:w="907" w:type="dxa"/>
            <w:tcBorders>
              <w:top w:val="nil"/>
              <w:left w:val="nil"/>
              <w:bottom w:val="single" w:sz="4" w:space="0" w:color="auto"/>
              <w:right w:val="single" w:sz="4" w:space="0" w:color="auto"/>
            </w:tcBorders>
            <w:noWrap/>
            <w:vAlign w:val="center"/>
            <w:hideMark/>
          </w:tcPr>
          <w:p w14:paraId="7AAAE69C" w14:textId="77777777" w:rsidR="00BD6D0B" w:rsidRDefault="00BD6D0B" w:rsidP="00BD6D0B">
            <w:pPr>
              <w:jc w:val="right"/>
              <w:rPr>
                <w:rFonts w:ascii="Aptos Narrow" w:hAnsi="Aptos Narrow"/>
              </w:rPr>
            </w:pPr>
            <w:r>
              <w:rPr>
                <w:rFonts w:ascii="Aptos Narrow" w:hAnsi="Aptos Narrow"/>
              </w:rPr>
              <w:t>15 796</w:t>
            </w:r>
          </w:p>
        </w:tc>
        <w:tc>
          <w:tcPr>
            <w:tcW w:w="907" w:type="dxa"/>
            <w:tcBorders>
              <w:top w:val="nil"/>
              <w:left w:val="nil"/>
              <w:bottom w:val="single" w:sz="4" w:space="0" w:color="auto"/>
              <w:right w:val="single" w:sz="4" w:space="0" w:color="auto"/>
            </w:tcBorders>
            <w:noWrap/>
            <w:vAlign w:val="center"/>
            <w:hideMark/>
          </w:tcPr>
          <w:p w14:paraId="095DF206" w14:textId="77777777" w:rsidR="00BD6D0B" w:rsidRDefault="00BD6D0B" w:rsidP="00BD6D0B">
            <w:pPr>
              <w:jc w:val="right"/>
              <w:rPr>
                <w:rFonts w:ascii="Aptos Narrow" w:hAnsi="Aptos Narrow"/>
              </w:rPr>
            </w:pPr>
            <w:r>
              <w:rPr>
                <w:rFonts w:ascii="Aptos Narrow" w:hAnsi="Aptos Narrow"/>
              </w:rPr>
              <w:t>13 835</w:t>
            </w:r>
          </w:p>
        </w:tc>
        <w:tc>
          <w:tcPr>
            <w:tcW w:w="907" w:type="dxa"/>
            <w:tcBorders>
              <w:top w:val="nil"/>
              <w:left w:val="nil"/>
              <w:bottom w:val="single" w:sz="4" w:space="0" w:color="auto"/>
              <w:right w:val="single" w:sz="4" w:space="0" w:color="auto"/>
            </w:tcBorders>
            <w:noWrap/>
            <w:vAlign w:val="center"/>
            <w:hideMark/>
          </w:tcPr>
          <w:p w14:paraId="741A93B0" w14:textId="77777777" w:rsidR="00BD6D0B" w:rsidRDefault="00BD6D0B" w:rsidP="00BD6D0B">
            <w:pPr>
              <w:jc w:val="right"/>
              <w:rPr>
                <w:rFonts w:ascii="Aptos Narrow" w:hAnsi="Aptos Narrow"/>
              </w:rPr>
            </w:pPr>
            <w:r>
              <w:rPr>
                <w:rFonts w:ascii="Aptos Narrow" w:hAnsi="Aptos Narrow"/>
              </w:rPr>
              <w:t>15 442</w:t>
            </w:r>
          </w:p>
        </w:tc>
        <w:tc>
          <w:tcPr>
            <w:tcW w:w="2324" w:type="dxa"/>
            <w:tcBorders>
              <w:top w:val="nil"/>
              <w:left w:val="nil"/>
              <w:bottom w:val="single" w:sz="4" w:space="0" w:color="auto"/>
              <w:right w:val="single" w:sz="4" w:space="0" w:color="auto"/>
            </w:tcBorders>
            <w:noWrap/>
            <w:vAlign w:val="center"/>
            <w:hideMark/>
          </w:tcPr>
          <w:p w14:paraId="3AA0BA07" w14:textId="77777777" w:rsidR="00BD6D0B" w:rsidRDefault="00BD6D0B" w:rsidP="00BD6D0B">
            <w:pPr>
              <w:jc w:val="right"/>
              <w:rPr>
                <w:rFonts w:ascii="Aptos Narrow" w:hAnsi="Aptos Narrow"/>
                <w:color w:val="000000"/>
              </w:rPr>
            </w:pPr>
            <w:r>
              <w:rPr>
                <w:rFonts w:ascii="Aptos Narrow" w:hAnsi="Aptos Narrow"/>
                <w:color w:val="000000"/>
              </w:rPr>
              <w:t>15 031</w:t>
            </w:r>
          </w:p>
        </w:tc>
        <w:tc>
          <w:tcPr>
            <w:tcW w:w="2438" w:type="dxa"/>
            <w:tcBorders>
              <w:top w:val="nil"/>
              <w:left w:val="nil"/>
              <w:bottom w:val="single" w:sz="4" w:space="0" w:color="auto"/>
              <w:right w:val="single" w:sz="4" w:space="0" w:color="auto"/>
            </w:tcBorders>
            <w:noWrap/>
            <w:vAlign w:val="center"/>
            <w:hideMark/>
          </w:tcPr>
          <w:p w14:paraId="430D7862" w14:textId="77777777" w:rsidR="00BD6D0B" w:rsidRDefault="00BD6D0B" w:rsidP="00BD6D0B">
            <w:pPr>
              <w:jc w:val="right"/>
              <w:rPr>
                <w:rFonts w:ascii="Aptos Narrow" w:hAnsi="Aptos Narrow"/>
                <w:color w:val="000000"/>
              </w:rPr>
            </w:pPr>
            <w:r>
              <w:rPr>
                <w:rFonts w:ascii="Aptos Narrow" w:hAnsi="Aptos Narrow"/>
                <w:color w:val="000000"/>
              </w:rPr>
              <w:t>24,51</w:t>
            </w:r>
          </w:p>
        </w:tc>
      </w:tr>
      <w:tr w:rsidR="00BD6D0B" w14:paraId="778E6CF6"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28666BD2" w14:textId="77777777" w:rsidR="00BD6D0B" w:rsidRDefault="00BD6D0B" w:rsidP="00BD6D0B">
            <w:pPr>
              <w:rPr>
                <w:rFonts w:ascii="Aptos Narrow" w:hAnsi="Aptos Narrow"/>
                <w:color w:val="000000"/>
              </w:rPr>
            </w:pPr>
            <w:r>
              <w:rPr>
                <w:rFonts w:ascii="Aptos Narrow" w:hAnsi="Aptos Narrow"/>
                <w:color w:val="000000"/>
              </w:rPr>
              <w:t>FHS</w:t>
            </w:r>
          </w:p>
        </w:tc>
        <w:tc>
          <w:tcPr>
            <w:tcW w:w="907" w:type="dxa"/>
            <w:tcBorders>
              <w:top w:val="nil"/>
              <w:left w:val="nil"/>
              <w:bottom w:val="single" w:sz="4" w:space="0" w:color="auto"/>
              <w:right w:val="single" w:sz="4" w:space="0" w:color="auto"/>
            </w:tcBorders>
            <w:noWrap/>
            <w:vAlign w:val="center"/>
            <w:hideMark/>
          </w:tcPr>
          <w:p w14:paraId="7C432596" w14:textId="77777777" w:rsidR="00BD6D0B" w:rsidRDefault="00BD6D0B" w:rsidP="00BD6D0B">
            <w:pPr>
              <w:jc w:val="right"/>
              <w:rPr>
                <w:rFonts w:ascii="Aptos Narrow" w:hAnsi="Aptos Narrow"/>
              </w:rPr>
            </w:pPr>
            <w:r>
              <w:rPr>
                <w:rFonts w:ascii="Aptos Narrow" w:hAnsi="Aptos Narrow"/>
              </w:rPr>
              <w:t>9 587</w:t>
            </w:r>
          </w:p>
        </w:tc>
        <w:tc>
          <w:tcPr>
            <w:tcW w:w="907" w:type="dxa"/>
            <w:tcBorders>
              <w:top w:val="nil"/>
              <w:left w:val="nil"/>
              <w:bottom w:val="single" w:sz="4" w:space="0" w:color="auto"/>
              <w:right w:val="single" w:sz="4" w:space="0" w:color="auto"/>
            </w:tcBorders>
            <w:noWrap/>
            <w:vAlign w:val="center"/>
            <w:hideMark/>
          </w:tcPr>
          <w:p w14:paraId="3705E494" w14:textId="77777777" w:rsidR="00BD6D0B" w:rsidRDefault="00BD6D0B" w:rsidP="00BD6D0B">
            <w:pPr>
              <w:jc w:val="right"/>
              <w:rPr>
                <w:rFonts w:ascii="Aptos Narrow" w:hAnsi="Aptos Narrow"/>
              </w:rPr>
            </w:pPr>
            <w:r>
              <w:rPr>
                <w:rFonts w:ascii="Aptos Narrow" w:hAnsi="Aptos Narrow"/>
              </w:rPr>
              <w:t>8 119</w:t>
            </w:r>
          </w:p>
        </w:tc>
        <w:tc>
          <w:tcPr>
            <w:tcW w:w="907" w:type="dxa"/>
            <w:tcBorders>
              <w:top w:val="nil"/>
              <w:left w:val="nil"/>
              <w:bottom w:val="single" w:sz="4" w:space="0" w:color="auto"/>
              <w:right w:val="single" w:sz="4" w:space="0" w:color="auto"/>
            </w:tcBorders>
            <w:noWrap/>
            <w:vAlign w:val="center"/>
            <w:hideMark/>
          </w:tcPr>
          <w:p w14:paraId="781EC99E" w14:textId="77777777" w:rsidR="00BD6D0B" w:rsidRDefault="00BD6D0B" w:rsidP="00BD6D0B">
            <w:pPr>
              <w:jc w:val="right"/>
              <w:rPr>
                <w:rFonts w:ascii="Aptos Narrow" w:hAnsi="Aptos Narrow"/>
              </w:rPr>
            </w:pPr>
            <w:r>
              <w:rPr>
                <w:rFonts w:ascii="Aptos Narrow" w:hAnsi="Aptos Narrow"/>
              </w:rPr>
              <w:t>8 841</w:t>
            </w:r>
          </w:p>
        </w:tc>
        <w:tc>
          <w:tcPr>
            <w:tcW w:w="2324" w:type="dxa"/>
            <w:tcBorders>
              <w:top w:val="nil"/>
              <w:left w:val="nil"/>
              <w:bottom w:val="single" w:sz="4" w:space="0" w:color="auto"/>
              <w:right w:val="single" w:sz="4" w:space="0" w:color="auto"/>
            </w:tcBorders>
            <w:noWrap/>
            <w:vAlign w:val="center"/>
            <w:hideMark/>
          </w:tcPr>
          <w:p w14:paraId="5029BA05" w14:textId="77777777" w:rsidR="00BD6D0B" w:rsidRDefault="00BD6D0B" w:rsidP="00BD6D0B">
            <w:pPr>
              <w:jc w:val="right"/>
              <w:rPr>
                <w:rFonts w:ascii="Aptos Narrow" w:hAnsi="Aptos Narrow"/>
                <w:color w:val="000000"/>
              </w:rPr>
            </w:pPr>
            <w:r>
              <w:rPr>
                <w:rFonts w:ascii="Aptos Narrow" w:hAnsi="Aptos Narrow"/>
                <w:color w:val="000000"/>
              </w:rPr>
              <w:t>8 774</w:t>
            </w:r>
          </w:p>
        </w:tc>
        <w:tc>
          <w:tcPr>
            <w:tcW w:w="2438" w:type="dxa"/>
            <w:tcBorders>
              <w:top w:val="nil"/>
              <w:left w:val="nil"/>
              <w:bottom w:val="single" w:sz="4" w:space="0" w:color="auto"/>
              <w:right w:val="single" w:sz="4" w:space="0" w:color="auto"/>
            </w:tcBorders>
            <w:noWrap/>
            <w:vAlign w:val="center"/>
            <w:hideMark/>
          </w:tcPr>
          <w:p w14:paraId="6BD222D0" w14:textId="77777777" w:rsidR="00BD6D0B" w:rsidRDefault="00BD6D0B" w:rsidP="00BD6D0B">
            <w:pPr>
              <w:jc w:val="right"/>
              <w:rPr>
                <w:rFonts w:ascii="Aptos Narrow" w:hAnsi="Aptos Narrow"/>
                <w:color w:val="000000"/>
              </w:rPr>
            </w:pPr>
            <w:r>
              <w:rPr>
                <w:rFonts w:ascii="Aptos Narrow" w:hAnsi="Aptos Narrow"/>
                <w:color w:val="000000"/>
              </w:rPr>
              <w:t>14,31</w:t>
            </w:r>
          </w:p>
        </w:tc>
      </w:tr>
      <w:tr w:rsidR="00BD6D0B" w14:paraId="250A4FD8"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2DF70CAF" w14:textId="77777777" w:rsidR="00BD6D0B" w:rsidRDefault="00BD6D0B" w:rsidP="00BD6D0B">
            <w:pPr>
              <w:rPr>
                <w:rFonts w:ascii="Aptos Narrow" w:hAnsi="Aptos Narrow"/>
                <w:color w:val="000000"/>
              </w:rPr>
            </w:pPr>
            <w:r>
              <w:rPr>
                <w:rFonts w:ascii="Aptos Narrow" w:hAnsi="Aptos Narrow"/>
                <w:color w:val="000000"/>
              </w:rPr>
              <w:t>UNI</w:t>
            </w:r>
          </w:p>
        </w:tc>
        <w:tc>
          <w:tcPr>
            <w:tcW w:w="907" w:type="dxa"/>
            <w:tcBorders>
              <w:top w:val="nil"/>
              <w:left w:val="nil"/>
              <w:bottom w:val="single" w:sz="4" w:space="0" w:color="auto"/>
              <w:right w:val="single" w:sz="4" w:space="0" w:color="auto"/>
            </w:tcBorders>
            <w:noWrap/>
            <w:vAlign w:val="center"/>
            <w:hideMark/>
          </w:tcPr>
          <w:p w14:paraId="79AE5E07" w14:textId="77777777" w:rsidR="00BD6D0B" w:rsidRDefault="00BD6D0B" w:rsidP="00BD6D0B">
            <w:pPr>
              <w:jc w:val="right"/>
              <w:rPr>
                <w:rFonts w:ascii="Aptos Narrow" w:hAnsi="Aptos Narrow"/>
              </w:rPr>
            </w:pPr>
            <w:r>
              <w:rPr>
                <w:rFonts w:ascii="Aptos Narrow" w:hAnsi="Aptos Narrow"/>
              </w:rPr>
              <w:t>1 350</w:t>
            </w:r>
          </w:p>
        </w:tc>
        <w:tc>
          <w:tcPr>
            <w:tcW w:w="907" w:type="dxa"/>
            <w:tcBorders>
              <w:top w:val="nil"/>
              <w:left w:val="nil"/>
              <w:bottom w:val="single" w:sz="4" w:space="0" w:color="auto"/>
              <w:right w:val="single" w:sz="4" w:space="0" w:color="auto"/>
            </w:tcBorders>
            <w:noWrap/>
            <w:vAlign w:val="center"/>
            <w:hideMark/>
          </w:tcPr>
          <w:p w14:paraId="315A252F" w14:textId="77777777" w:rsidR="00BD6D0B" w:rsidRDefault="00BD6D0B" w:rsidP="00BD6D0B">
            <w:pPr>
              <w:jc w:val="right"/>
              <w:rPr>
                <w:rFonts w:ascii="Aptos Narrow" w:hAnsi="Aptos Narrow"/>
              </w:rPr>
            </w:pPr>
            <w:r>
              <w:rPr>
                <w:rFonts w:ascii="Aptos Narrow" w:hAnsi="Aptos Narrow"/>
              </w:rPr>
              <w:t>1 138</w:t>
            </w:r>
          </w:p>
        </w:tc>
        <w:tc>
          <w:tcPr>
            <w:tcW w:w="907" w:type="dxa"/>
            <w:tcBorders>
              <w:top w:val="nil"/>
              <w:left w:val="nil"/>
              <w:bottom w:val="single" w:sz="4" w:space="0" w:color="auto"/>
              <w:right w:val="single" w:sz="4" w:space="0" w:color="auto"/>
            </w:tcBorders>
            <w:noWrap/>
            <w:vAlign w:val="center"/>
            <w:hideMark/>
          </w:tcPr>
          <w:p w14:paraId="6A515277" w14:textId="77777777" w:rsidR="00BD6D0B" w:rsidRDefault="00BD6D0B" w:rsidP="00BD6D0B">
            <w:pPr>
              <w:jc w:val="right"/>
              <w:rPr>
                <w:rFonts w:ascii="Aptos Narrow" w:hAnsi="Aptos Narrow"/>
              </w:rPr>
            </w:pPr>
            <w:r>
              <w:rPr>
                <w:rFonts w:ascii="Aptos Narrow" w:hAnsi="Aptos Narrow"/>
              </w:rPr>
              <w:t>1 147</w:t>
            </w:r>
          </w:p>
        </w:tc>
        <w:tc>
          <w:tcPr>
            <w:tcW w:w="2324" w:type="dxa"/>
            <w:tcBorders>
              <w:top w:val="nil"/>
              <w:left w:val="nil"/>
              <w:bottom w:val="single" w:sz="4" w:space="0" w:color="auto"/>
              <w:right w:val="single" w:sz="4" w:space="0" w:color="auto"/>
            </w:tcBorders>
            <w:noWrap/>
            <w:vAlign w:val="center"/>
            <w:hideMark/>
          </w:tcPr>
          <w:p w14:paraId="4CD589A1" w14:textId="77777777" w:rsidR="00BD6D0B" w:rsidRDefault="00BD6D0B" w:rsidP="00BD6D0B">
            <w:pPr>
              <w:jc w:val="right"/>
              <w:rPr>
                <w:rFonts w:ascii="Aptos Narrow" w:hAnsi="Aptos Narrow"/>
                <w:color w:val="000000"/>
              </w:rPr>
            </w:pPr>
            <w:r>
              <w:rPr>
                <w:rFonts w:ascii="Aptos Narrow" w:hAnsi="Aptos Narrow"/>
                <w:color w:val="000000"/>
              </w:rPr>
              <w:t>1 185</w:t>
            </w:r>
          </w:p>
        </w:tc>
        <w:tc>
          <w:tcPr>
            <w:tcW w:w="2438" w:type="dxa"/>
            <w:tcBorders>
              <w:top w:val="nil"/>
              <w:left w:val="nil"/>
              <w:bottom w:val="single" w:sz="4" w:space="0" w:color="auto"/>
              <w:right w:val="single" w:sz="4" w:space="0" w:color="auto"/>
            </w:tcBorders>
            <w:noWrap/>
            <w:vAlign w:val="center"/>
            <w:hideMark/>
          </w:tcPr>
          <w:p w14:paraId="370DBCA1" w14:textId="77777777" w:rsidR="00BD6D0B" w:rsidRDefault="00BD6D0B" w:rsidP="00BD6D0B">
            <w:pPr>
              <w:jc w:val="right"/>
              <w:rPr>
                <w:rFonts w:ascii="Aptos Narrow" w:hAnsi="Aptos Narrow"/>
                <w:color w:val="000000"/>
              </w:rPr>
            </w:pPr>
            <w:r>
              <w:rPr>
                <w:rFonts w:ascii="Aptos Narrow" w:hAnsi="Aptos Narrow"/>
                <w:color w:val="000000"/>
              </w:rPr>
              <w:t>1,93</w:t>
            </w:r>
          </w:p>
        </w:tc>
      </w:tr>
      <w:tr w:rsidR="00BD6D0B" w14:paraId="55B45C15"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2D2636C" w14:textId="77777777" w:rsidR="00BD6D0B" w:rsidRDefault="00BD6D0B" w:rsidP="00BD6D0B">
            <w:pPr>
              <w:rPr>
                <w:rFonts w:ascii="Aptos Narrow" w:hAnsi="Aptos Narrow"/>
                <w:color w:val="000000"/>
              </w:rPr>
            </w:pPr>
            <w:r>
              <w:rPr>
                <w:rFonts w:ascii="Aptos Narrow" w:hAnsi="Aptos Narrow"/>
                <w:color w:val="000000"/>
              </w:rPr>
              <w:t>Knihovna</w:t>
            </w:r>
          </w:p>
        </w:tc>
        <w:tc>
          <w:tcPr>
            <w:tcW w:w="907" w:type="dxa"/>
            <w:tcBorders>
              <w:top w:val="nil"/>
              <w:left w:val="nil"/>
              <w:bottom w:val="single" w:sz="4" w:space="0" w:color="auto"/>
              <w:right w:val="single" w:sz="4" w:space="0" w:color="auto"/>
            </w:tcBorders>
            <w:noWrap/>
            <w:vAlign w:val="center"/>
            <w:hideMark/>
          </w:tcPr>
          <w:p w14:paraId="2C3CD60A"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34EC1321"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5FA69621" w14:textId="77777777" w:rsidR="00BD6D0B" w:rsidRDefault="00BD6D0B" w:rsidP="00BD6D0B">
            <w:pPr>
              <w:jc w:val="right"/>
              <w:rPr>
                <w:rFonts w:ascii="Aptos Narrow" w:hAnsi="Aptos Narrow"/>
              </w:rPr>
            </w:pPr>
            <w:r>
              <w:rPr>
                <w:rFonts w:ascii="Aptos Narrow" w:hAnsi="Aptos Narrow"/>
              </w:rPr>
              <w:t>0</w:t>
            </w:r>
          </w:p>
        </w:tc>
        <w:tc>
          <w:tcPr>
            <w:tcW w:w="2324" w:type="dxa"/>
            <w:tcBorders>
              <w:top w:val="nil"/>
              <w:left w:val="nil"/>
              <w:bottom w:val="single" w:sz="4" w:space="0" w:color="auto"/>
              <w:right w:val="single" w:sz="4" w:space="0" w:color="auto"/>
            </w:tcBorders>
            <w:noWrap/>
            <w:vAlign w:val="center"/>
            <w:hideMark/>
          </w:tcPr>
          <w:p w14:paraId="14DA5239" w14:textId="77777777" w:rsidR="00BD6D0B" w:rsidRDefault="00BD6D0B" w:rsidP="00BD6D0B">
            <w:pPr>
              <w:jc w:val="right"/>
              <w:rPr>
                <w:rFonts w:ascii="Aptos Narrow" w:hAnsi="Aptos Narrow"/>
                <w:color w:val="000000"/>
              </w:rPr>
            </w:pPr>
            <w:r>
              <w:rPr>
                <w:rFonts w:ascii="Aptos Narrow" w:hAnsi="Aptos Narrow"/>
                <w:color w:val="000000"/>
              </w:rPr>
              <w:t>0</w:t>
            </w:r>
          </w:p>
        </w:tc>
        <w:tc>
          <w:tcPr>
            <w:tcW w:w="2438" w:type="dxa"/>
            <w:tcBorders>
              <w:top w:val="nil"/>
              <w:left w:val="nil"/>
              <w:bottom w:val="single" w:sz="4" w:space="0" w:color="auto"/>
              <w:right w:val="single" w:sz="4" w:space="0" w:color="auto"/>
            </w:tcBorders>
            <w:noWrap/>
            <w:vAlign w:val="center"/>
            <w:hideMark/>
          </w:tcPr>
          <w:p w14:paraId="16910D35" w14:textId="77777777" w:rsidR="00BD6D0B" w:rsidRDefault="00BD6D0B" w:rsidP="00BD6D0B">
            <w:pPr>
              <w:jc w:val="right"/>
              <w:rPr>
                <w:rFonts w:ascii="Aptos Narrow" w:hAnsi="Aptos Narrow"/>
                <w:color w:val="000000"/>
              </w:rPr>
            </w:pPr>
            <w:r>
              <w:rPr>
                <w:rFonts w:ascii="Aptos Narrow" w:hAnsi="Aptos Narrow"/>
                <w:color w:val="000000"/>
              </w:rPr>
              <w:t>0,00</w:t>
            </w:r>
          </w:p>
        </w:tc>
      </w:tr>
      <w:tr w:rsidR="00BD6D0B" w14:paraId="5C53E4AF"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033D6374" w14:textId="77777777" w:rsidR="00BD6D0B" w:rsidRDefault="00BD6D0B" w:rsidP="00BD6D0B">
            <w:pPr>
              <w:rPr>
                <w:rFonts w:ascii="Aptos Narrow" w:hAnsi="Aptos Narrow"/>
                <w:color w:val="000000"/>
              </w:rPr>
            </w:pPr>
            <w:r>
              <w:rPr>
                <w:rFonts w:ascii="Aptos Narrow" w:hAnsi="Aptos Narrow"/>
                <w:color w:val="000000"/>
              </w:rPr>
              <w:t>KMZ</w:t>
            </w:r>
          </w:p>
        </w:tc>
        <w:tc>
          <w:tcPr>
            <w:tcW w:w="907" w:type="dxa"/>
            <w:tcBorders>
              <w:top w:val="nil"/>
              <w:left w:val="nil"/>
              <w:bottom w:val="single" w:sz="4" w:space="0" w:color="auto"/>
              <w:right w:val="single" w:sz="4" w:space="0" w:color="auto"/>
            </w:tcBorders>
            <w:noWrap/>
            <w:vAlign w:val="center"/>
            <w:hideMark/>
          </w:tcPr>
          <w:p w14:paraId="651D1A1A"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287F43CC" w14:textId="77777777" w:rsidR="00BD6D0B" w:rsidRDefault="00BD6D0B" w:rsidP="00BD6D0B">
            <w:pPr>
              <w:jc w:val="right"/>
              <w:rPr>
                <w:rFonts w:ascii="Aptos Narrow" w:hAnsi="Aptos Narrow"/>
              </w:rPr>
            </w:pPr>
            <w:r>
              <w:rPr>
                <w:rFonts w:ascii="Aptos Narrow" w:hAnsi="Aptos Narrow"/>
              </w:rPr>
              <w:t>0</w:t>
            </w:r>
          </w:p>
        </w:tc>
        <w:tc>
          <w:tcPr>
            <w:tcW w:w="907" w:type="dxa"/>
            <w:tcBorders>
              <w:top w:val="nil"/>
              <w:left w:val="nil"/>
              <w:bottom w:val="single" w:sz="4" w:space="0" w:color="auto"/>
              <w:right w:val="single" w:sz="4" w:space="0" w:color="auto"/>
            </w:tcBorders>
            <w:noWrap/>
            <w:vAlign w:val="center"/>
            <w:hideMark/>
          </w:tcPr>
          <w:p w14:paraId="3558A640" w14:textId="77777777" w:rsidR="00BD6D0B" w:rsidRDefault="00BD6D0B" w:rsidP="00BD6D0B">
            <w:pPr>
              <w:jc w:val="right"/>
              <w:rPr>
                <w:rFonts w:ascii="Aptos Narrow" w:hAnsi="Aptos Narrow"/>
              </w:rPr>
            </w:pPr>
            <w:r>
              <w:rPr>
                <w:rFonts w:ascii="Aptos Narrow" w:hAnsi="Aptos Narrow"/>
              </w:rPr>
              <w:t>0</w:t>
            </w:r>
          </w:p>
        </w:tc>
        <w:tc>
          <w:tcPr>
            <w:tcW w:w="2324" w:type="dxa"/>
            <w:tcBorders>
              <w:top w:val="nil"/>
              <w:left w:val="nil"/>
              <w:bottom w:val="single" w:sz="4" w:space="0" w:color="auto"/>
              <w:right w:val="single" w:sz="4" w:space="0" w:color="auto"/>
            </w:tcBorders>
            <w:noWrap/>
            <w:vAlign w:val="center"/>
            <w:hideMark/>
          </w:tcPr>
          <w:p w14:paraId="24EEC77C" w14:textId="77777777" w:rsidR="00BD6D0B" w:rsidRDefault="00BD6D0B" w:rsidP="00BD6D0B">
            <w:pPr>
              <w:jc w:val="right"/>
              <w:rPr>
                <w:rFonts w:ascii="Aptos Narrow" w:hAnsi="Aptos Narrow"/>
                <w:color w:val="000000"/>
              </w:rPr>
            </w:pPr>
            <w:r>
              <w:rPr>
                <w:rFonts w:ascii="Aptos Narrow" w:hAnsi="Aptos Narrow"/>
                <w:color w:val="000000"/>
              </w:rPr>
              <w:t>0</w:t>
            </w:r>
          </w:p>
        </w:tc>
        <w:tc>
          <w:tcPr>
            <w:tcW w:w="2438" w:type="dxa"/>
            <w:tcBorders>
              <w:top w:val="nil"/>
              <w:left w:val="nil"/>
              <w:bottom w:val="single" w:sz="4" w:space="0" w:color="auto"/>
              <w:right w:val="single" w:sz="4" w:space="0" w:color="auto"/>
            </w:tcBorders>
            <w:noWrap/>
            <w:vAlign w:val="center"/>
            <w:hideMark/>
          </w:tcPr>
          <w:p w14:paraId="7767988A" w14:textId="77777777" w:rsidR="00BD6D0B" w:rsidRDefault="00BD6D0B" w:rsidP="00BD6D0B">
            <w:pPr>
              <w:jc w:val="right"/>
              <w:rPr>
                <w:rFonts w:ascii="Aptos Narrow" w:hAnsi="Aptos Narrow"/>
                <w:color w:val="000000"/>
              </w:rPr>
            </w:pPr>
            <w:r>
              <w:rPr>
                <w:rFonts w:ascii="Aptos Narrow" w:hAnsi="Aptos Narrow"/>
                <w:color w:val="000000"/>
              </w:rPr>
              <w:t>0,00</w:t>
            </w:r>
          </w:p>
        </w:tc>
      </w:tr>
      <w:tr w:rsidR="00BD6D0B" w14:paraId="49A2804E" w14:textId="77777777" w:rsidTr="00BD6D0B">
        <w:trPr>
          <w:trHeight w:val="320"/>
        </w:trPr>
        <w:tc>
          <w:tcPr>
            <w:tcW w:w="1587" w:type="dxa"/>
            <w:tcBorders>
              <w:top w:val="nil"/>
              <w:left w:val="single" w:sz="4" w:space="0" w:color="auto"/>
              <w:bottom w:val="single" w:sz="4" w:space="0" w:color="auto"/>
              <w:right w:val="single" w:sz="4" w:space="0" w:color="auto"/>
            </w:tcBorders>
            <w:noWrap/>
            <w:vAlign w:val="center"/>
            <w:hideMark/>
          </w:tcPr>
          <w:p w14:paraId="197905D6" w14:textId="77777777" w:rsidR="00BD6D0B" w:rsidRDefault="00BD6D0B" w:rsidP="00BD6D0B">
            <w:pPr>
              <w:rPr>
                <w:rFonts w:ascii="Aptos Narrow" w:hAnsi="Aptos Narrow"/>
                <w:b/>
                <w:bCs/>
                <w:color w:val="000000"/>
              </w:rPr>
            </w:pPr>
            <w:r>
              <w:rPr>
                <w:rFonts w:ascii="Aptos Narrow" w:hAnsi="Aptos Narrow"/>
                <w:b/>
                <w:bCs/>
                <w:color w:val="000000"/>
              </w:rPr>
              <w:t>Celkem</w:t>
            </w:r>
          </w:p>
        </w:tc>
        <w:tc>
          <w:tcPr>
            <w:tcW w:w="907" w:type="dxa"/>
            <w:tcBorders>
              <w:top w:val="nil"/>
              <w:left w:val="nil"/>
              <w:bottom w:val="single" w:sz="4" w:space="0" w:color="auto"/>
              <w:right w:val="single" w:sz="4" w:space="0" w:color="auto"/>
            </w:tcBorders>
            <w:noWrap/>
            <w:vAlign w:val="center"/>
            <w:hideMark/>
          </w:tcPr>
          <w:p w14:paraId="52E1AAAC" w14:textId="77777777" w:rsidR="00BD6D0B" w:rsidRDefault="00BD6D0B" w:rsidP="00BD6D0B">
            <w:pPr>
              <w:jc w:val="right"/>
              <w:rPr>
                <w:rFonts w:ascii="Aptos Narrow" w:hAnsi="Aptos Narrow"/>
                <w:b/>
                <w:bCs/>
              </w:rPr>
            </w:pPr>
            <w:r>
              <w:rPr>
                <w:rFonts w:ascii="Aptos Narrow" w:hAnsi="Aptos Narrow"/>
                <w:b/>
                <w:bCs/>
              </w:rPr>
              <w:t>65 384</w:t>
            </w:r>
          </w:p>
        </w:tc>
        <w:tc>
          <w:tcPr>
            <w:tcW w:w="907" w:type="dxa"/>
            <w:tcBorders>
              <w:top w:val="nil"/>
              <w:left w:val="nil"/>
              <w:bottom w:val="single" w:sz="4" w:space="0" w:color="auto"/>
              <w:right w:val="single" w:sz="4" w:space="0" w:color="auto"/>
            </w:tcBorders>
            <w:noWrap/>
            <w:vAlign w:val="center"/>
            <w:hideMark/>
          </w:tcPr>
          <w:p w14:paraId="365D70B6" w14:textId="77777777" w:rsidR="00BD6D0B" w:rsidRDefault="00BD6D0B" w:rsidP="00BD6D0B">
            <w:pPr>
              <w:jc w:val="right"/>
              <w:rPr>
                <w:rFonts w:ascii="Aptos Narrow" w:hAnsi="Aptos Narrow"/>
                <w:b/>
                <w:bCs/>
              </w:rPr>
            </w:pPr>
            <w:r>
              <w:rPr>
                <w:rFonts w:ascii="Aptos Narrow" w:hAnsi="Aptos Narrow"/>
                <w:b/>
                <w:bCs/>
              </w:rPr>
              <w:t>56 235</w:t>
            </w:r>
          </w:p>
        </w:tc>
        <w:tc>
          <w:tcPr>
            <w:tcW w:w="907" w:type="dxa"/>
            <w:tcBorders>
              <w:top w:val="nil"/>
              <w:left w:val="nil"/>
              <w:bottom w:val="single" w:sz="4" w:space="0" w:color="auto"/>
              <w:right w:val="single" w:sz="4" w:space="0" w:color="auto"/>
            </w:tcBorders>
            <w:noWrap/>
            <w:vAlign w:val="center"/>
            <w:hideMark/>
          </w:tcPr>
          <w:p w14:paraId="39B9C2FF" w14:textId="77777777" w:rsidR="00BD6D0B" w:rsidRDefault="00BD6D0B" w:rsidP="00BD6D0B">
            <w:pPr>
              <w:jc w:val="right"/>
              <w:rPr>
                <w:rFonts w:ascii="Aptos Narrow" w:hAnsi="Aptos Narrow"/>
                <w:b/>
                <w:bCs/>
              </w:rPr>
            </w:pPr>
            <w:r>
              <w:rPr>
                <w:rFonts w:ascii="Aptos Narrow" w:hAnsi="Aptos Narrow"/>
                <w:b/>
                <w:bCs/>
              </w:rPr>
              <w:t>62 733</w:t>
            </w:r>
          </w:p>
        </w:tc>
        <w:tc>
          <w:tcPr>
            <w:tcW w:w="2324" w:type="dxa"/>
            <w:tcBorders>
              <w:top w:val="nil"/>
              <w:left w:val="nil"/>
              <w:bottom w:val="single" w:sz="4" w:space="0" w:color="auto"/>
              <w:right w:val="single" w:sz="4" w:space="0" w:color="auto"/>
            </w:tcBorders>
            <w:noWrap/>
            <w:vAlign w:val="center"/>
            <w:hideMark/>
          </w:tcPr>
          <w:p w14:paraId="267A720D" w14:textId="77777777" w:rsidR="00BD6D0B" w:rsidRDefault="00BD6D0B" w:rsidP="00BD6D0B">
            <w:pPr>
              <w:jc w:val="right"/>
              <w:rPr>
                <w:rFonts w:ascii="Aptos Narrow" w:hAnsi="Aptos Narrow"/>
                <w:b/>
                <w:bCs/>
                <w:color w:val="000000"/>
              </w:rPr>
            </w:pPr>
            <w:r>
              <w:rPr>
                <w:rFonts w:ascii="Aptos Narrow" w:hAnsi="Aptos Narrow"/>
                <w:b/>
                <w:bCs/>
                <w:color w:val="000000"/>
              </w:rPr>
              <w:t>61 314</w:t>
            </w:r>
          </w:p>
        </w:tc>
        <w:tc>
          <w:tcPr>
            <w:tcW w:w="2438" w:type="dxa"/>
            <w:tcBorders>
              <w:top w:val="nil"/>
              <w:left w:val="nil"/>
              <w:bottom w:val="single" w:sz="4" w:space="0" w:color="auto"/>
              <w:right w:val="single" w:sz="4" w:space="0" w:color="auto"/>
            </w:tcBorders>
            <w:noWrap/>
            <w:vAlign w:val="center"/>
            <w:hideMark/>
          </w:tcPr>
          <w:p w14:paraId="42762627" w14:textId="77777777" w:rsidR="00BD6D0B" w:rsidRDefault="00BD6D0B" w:rsidP="00BD6D0B">
            <w:pPr>
              <w:jc w:val="right"/>
              <w:rPr>
                <w:rFonts w:ascii="Aptos Narrow" w:hAnsi="Aptos Narrow"/>
                <w:b/>
                <w:bCs/>
                <w:color w:val="000000"/>
              </w:rPr>
            </w:pPr>
            <w:r>
              <w:rPr>
                <w:rFonts w:ascii="Aptos Narrow" w:hAnsi="Aptos Narrow"/>
                <w:b/>
                <w:bCs/>
                <w:color w:val="000000"/>
              </w:rPr>
              <w:t>100,00</w:t>
            </w:r>
          </w:p>
        </w:tc>
      </w:tr>
    </w:tbl>
    <w:p w14:paraId="6AB268F2" w14:textId="77777777" w:rsidR="00D951B6" w:rsidRDefault="00D951B6" w:rsidP="00D951B6">
      <w:pPr>
        <w:pStyle w:val="RozpocetOdstavec"/>
      </w:pPr>
    </w:p>
    <w:p w14:paraId="5FB16621" w14:textId="18DBC2E9" w:rsidR="00DA3ED5" w:rsidRDefault="006B684F" w:rsidP="00DA3ED5">
      <w:pPr>
        <w:pStyle w:val="RozpoetNadpis3"/>
      </w:pPr>
      <w:bookmarkStart w:id="13" w:name="_Toc228824325"/>
      <w:r>
        <w:lastRenderedPageBreak/>
        <w:t xml:space="preserve">Indikátor </w:t>
      </w:r>
      <w:r w:rsidR="00DA3ED5">
        <w:t>absolvent</w:t>
      </w:r>
      <w:bookmarkEnd w:id="13"/>
    </w:p>
    <w:p w14:paraId="5EE94848" w14:textId="30A2502B" w:rsidR="00D4558A" w:rsidRPr="000A20AA" w:rsidRDefault="0013722E" w:rsidP="0013722E">
      <w:pPr>
        <w:pStyle w:val="RozpocetOdstavec"/>
      </w:pPr>
      <w:r w:rsidRPr="000A20AA">
        <w:t>Indikátor absolvent přestavuje podíl součásti na celkovém počtu absolventů UTB, stanoveném jako součet počtu absolventů bakalářských SP, počtu absolventů magisterských SP násobeného koeficientem 1,5, počtu absolventů navazujících magisterských SP násobeného koeficientem 0,5 a počtu absolventů doktorských SP, přičemž je zohledněn koeficient ekonomické náročnosti studia. Jde o vážený průměr za akademické roky 2024/2025, 2023/2024 a 2022/2023 s váhami 5:3:2.</w:t>
      </w:r>
    </w:p>
    <w:p w14:paraId="70043C80" w14:textId="77777777" w:rsidR="00D4558A" w:rsidRDefault="00D4558A" w:rsidP="0013722E">
      <w:pPr>
        <w:pStyle w:val="RozpocetOdstavec"/>
        <w:rPr>
          <w:color w:val="00B050"/>
        </w:rPr>
      </w:pPr>
    </w:p>
    <w:tbl>
      <w:tblPr>
        <w:tblW w:w="9070" w:type="dxa"/>
        <w:tblLook w:val="04A0" w:firstRow="1" w:lastRow="0" w:firstColumn="1" w:lastColumn="0" w:noHBand="0" w:noVBand="1"/>
      </w:tblPr>
      <w:tblGrid>
        <w:gridCol w:w="1361"/>
        <w:gridCol w:w="1077"/>
        <w:gridCol w:w="1077"/>
        <w:gridCol w:w="1417"/>
        <w:gridCol w:w="1077"/>
        <w:gridCol w:w="1247"/>
        <w:gridCol w:w="1814"/>
      </w:tblGrid>
      <w:tr w:rsidR="00D4558A" w:rsidRPr="00D4558A" w14:paraId="34251730" w14:textId="77777777" w:rsidTr="00D4558A">
        <w:trPr>
          <w:trHeight w:val="320"/>
        </w:trPr>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288660" w14:textId="303DC021" w:rsidR="00D4558A" w:rsidRPr="00D4558A" w:rsidRDefault="00D4558A" w:rsidP="00D4558A">
            <w:pPr>
              <w:jc w:val="center"/>
              <w:rPr>
                <w:rFonts w:ascii="Aptos Narrow" w:hAnsi="Aptos Narrow"/>
                <w:b/>
                <w:bCs/>
                <w:color w:val="000000"/>
              </w:rPr>
            </w:pPr>
            <w:r>
              <w:rPr>
                <w:rFonts w:ascii="Aptos Narrow" w:hAnsi="Aptos Narrow"/>
                <w:b/>
                <w:bCs/>
                <w:color w:val="000000"/>
              </w:rPr>
              <w:t>Součást</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8B7D91A"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Bakaláři</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10BE8B"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Magistři</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6ABD53"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Navazující Magistři</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EE0965"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Doktoři</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EB4546" w14:textId="77777777"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Absolvent</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CD899D" w14:textId="50D2BFED" w:rsidR="00D4558A" w:rsidRPr="00D4558A" w:rsidRDefault="00D4558A" w:rsidP="00D4558A">
            <w:pPr>
              <w:jc w:val="center"/>
              <w:rPr>
                <w:rFonts w:ascii="Aptos Narrow" w:hAnsi="Aptos Narrow"/>
                <w:b/>
                <w:bCs/>
                <w:color w:val="000000"/>
              </w:rPr>
            </w:pPr>
            <w:r w:rsidRPr="00D4558A">
              <w:rPr>
                <w:rFonts w:ascii="Aptos Narrow" w:hAnsi="Aptos Narrow"/>
                <w:b/>
                <w:bCs/>
                <w:color w:val="000000"/>
              </w:rPr>
              <w:t xml:space="preserve">Zaměstnanost </w:t>
            </w:r>
            <w:r>
              <w:rPr>
                <w:rFonts w:ascii="Aptos Narrow" w:hAnsi="Aptos Narrow"/>
                <w:b/>
                <w:bCs/>
                <w:color w:val="000000"/>
              </w:rPr>
              <w:t xml:space="preserve">absolventů  </w:t>
            </w:r>
            <w:r w:rsidRPr="00D4558A">
              <w:rPr>
                <w:rFonts w:ascii="Aptos Narrow" w:hAnsi="Aptos Narrow"/>
                <w:b/>
                <w:bCs/>
                <w:color w:val="000000"/>
              </w:rPr>
              <w:t>v %</w:t>
            </w:r>
          </w:p>
        </w:tc>
      </w:tr>
      <w:tr w:rsidR="00D4558A" w:rsidRPr="00D4558A" w14:paraId="351CA5ED"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0DF76D66" w14:textId="77777777" w:rsidR="00D4558A" w:rsidRPr="00D4558A" w:rsidRDefault="00D4558A" w:rsidP="00D4558A">
            <w:pPr>
              <w:rPr>
                <w:rFonts w:ascii="Aptos Narrow" w:hAnsi="Aptos Narrow"/>
                <w:color w:val="000000"/>
              </w:rPr>
            </w:pPr>
            <w:r w:rsidRPr="00D4558A">
              <w:rPr>
                <w:rFonts w:ascii="Aptos Narrow" w:hAnsi="Aptos Narrow"/>
                <w:color w:val="000000"/>
              </w:rPr>
              <w:t>FT</w:t>
            </w:r>
          </w:p>
        </w:tc>
        <w:tc>
          <w:tcPr>
            <w:tcW w:w="1077" w:type="dxa"/>
            <w:tcBorders>
              <w:top w:val="nil"/>
              <w:left w:val="nil"/>
              <w:bottom w:val="single" w:sz="4" w:space="0" w:color="auto"/>
              <w:right w:val="single" w:sz="4" w:space="0" w:color="auto"/>
            </w:tcBorders>
            <w:noWrap/>
            <w:vAlign w:val="center"/>
            <w:hideMark/>
          </w:tcPr>
          <w:p w14:paraId="682C972D"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328,74</w:t>
            </w:r>
          </w:p>
        </w:tc>
        <w:tc>
          <w:tcPr>
            <w:tcW w:w="1077" w:type="dxa"/>
            <w:tcBorders>
              <w:top w:val="nil"/>
              <w:left w:val="nil"/>
              <w:bottom w:val="single" w:sz="4" w:space="0" w:color="auto"/>
              <w:right w:val="single" w:sz="4" w:space="0" w:color="auto"/>
            </w:tcBorders>
            <w:noWrap/>
            <w:vAlign w:val="center"/>
            <w:hideMark/>
          </w:tcPr>
          <w:p w14:paraId="11B0913C" w14:textId="1AC2C8E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3DC07640"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124,17</w:t>
            </w:r>
          </w:p>
        </w:tc>
        <w:tc>
          <w:tcPr>
            <w:tcW w:w="1077" w:type="dxa"/>
            <w:tcBorders>
              <w:top w:val="nil"/>
              <w:left w:val="nil"/>
              <w:bottom w:val="single" w:sz="4" w:space="0" w:color="auto"/>
              <w:right w:val="single" w:sz="4" w:space="0" w:color="auto"/>
            </w:tcBorders>
            <w:noWrap/>
            <w:vAlign w:val="center"/>
            <w:hideMark/>
          </w:tcPr>
          <w:p w14:paraId="1B854BB8"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51,78</w:t>
            </w:r>
          </w:p>
        </w:tc>
        <w:tc>
          <w:tcPr>
            <w:tcW w:w="1247" w:type="dxa"/>
            <w:tcBorders>
              <w:top w:val="nil"/>
              <w:left w:val="nil"/>
              <w:bottom w:val="single" w:sz="4" w:space="0" w:color="auto"/>
              <w:right w:val="single" w:sz="4" w:space="0" w:color="auto"/>
            </w:tcBorders>
            <w:noWrap/>
            <w:vAlign w:val="center"/>
            <w:hideMark/>
          </w:tcPr>
          <w:p w14:paraId="63B69CD8"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504,69</w:t>
            </w:r>
          </w:p>
        </w:tc>
        <w:tc>
          <w:tcPr>
            <w:tcW w:w="1814" w:type="dxa"/>
            <w:tcBorders>
              <w:top w:val="nil"/>
              <w:left w:val="nil"/>
              <w:bottom w:val="single" w:sz="4" w:space="0" w:color="auto"/>
              <w:right w:val="single" w:sz="4" w:space="0" w:color="auto"/>
            </w:tcBorders>
            <w:noWrap/>
            <w:vAlign w:val="center"/>
            <w:hideMark/>
          </w:tcPr>
          <w:p w14:paraId="6FAC03DA"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19,14</w:t>
            </w:r>
          </w:p>
        </w:tc>
      </w:tr>
      <w:tr w:rsidR="00D4558A" w:rsidRPr="00D4558A" w14:paraId="29C7A853"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271645F2" w14:textId="77777777" w:rsidR="00D4558A" w:rsidRPr="00D4558A" w:rsidRDefault="00D4558A" w:rsidP="00D4558A">
            <w:pPr>
              <w:rPr>
                <w:rFonts w:ascii="Aptos Narrow" w:hAnsi="Aptos Narrow"/>
                <w:color w:val="000000"/>
              </w:rPr>
            </w:pPr>
            <w:r w:rsidRPr="00D4558A">
              <w:rPr>
                <w:rFonts w:ascii="Aptos Narrow" w:hAnsi="Aptos Narrow"/>
                <w:color w:val="000000"/>
              </w:rPr>
              <w:t>FLKŘ</w:t>
            </w:r>
          </w:p>
        </w:tc>
        <w:tc>
          <w:tcPr>
            <w:tcW w:w="1077" w:type="dxa"/>
            <w:tcBorders>
              <w:top w:val="nil"/>
              <w:left w:val="nil"/>
              <w:bottom w:val="single" w:sz="4" w:space="0" w:color="auto"/>
              <w:right w:val="single" w:sz="4" w:space="0" w:color="auto"/>
            </w:tcBorders>
            <w:noWrap/>
            <w:vAlign w:val="center"/>
            <w:hideMark/>
          </w:tcPr>
          <w:p w14:paraId="1C862E6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288,78</w:t>
            </w:r>
          </w:p>
        </w:tc>
        <w:tc>
          <w:tcPr>
            <w:tcW w:w="1077" w:type="dxa"/>
            <w:tcBorders>
              <w:top w:val="nil"/>
              <w:left w:val="nil"/>
              <w:bottom w:val="single" w:sz="4" w:space="0" w:color="auto"/>
              <w:right w:val="single" w:sz="4" w:space="0" w:color="auto"/>
            </w:tcBorders>
            <w:noWrap/>
            <w:vAlign w:val="center"/>
            <w:hideMark/>
          </w:tcPr>
          <w:p w14:paraId="62AE146E" w14:textId="64A7F730"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4B52ADF5"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107,00</w:t>
            </w:r>
          </w:p>
        </w:tc>
        <w:tc>
          <w:tcPr>
            <w:tcW w:w="1077" w:type="dxa"/>
            <w:tcBorders>
              <w:top w:val="nil"/>
              <w:left w:val="nil"/>
              <w:bottom w:val="single" w:sz="4" w:space="0" w:color="auto"/>
              <w:right w:val="single" w:sz="4" w:space="0" w:color="auto"/>
            </w:tcBorders>
            <w:noWrap/>
            <w:vAlign w:val="center"/>
            <w:hideMark/>
          </w:tcPr>
          <w:p w14:paraId="3DE85C5B"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247" w:type="dxa"/>
            <w:tcBorders>
              <w:top w:val="nil"/>
              <w:left w:val="nil"/>
              <w:bottom w:val="single" w:sz="4" w:space="0" w:color="auto"/>
              <w:right w:val="single" w:sz="4" w:space="0" w:color="auto"/>
            </w:tcBorders>
            <w:noWrap/>
            <w:vAlign w:val="center"/>
            <w:hideMark/>
          </w:tcPr>
          <w:p w14:paraId="162BEC6C"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395,78</w:t>
            </w:r>
          </w:p>
        </w:tc>
        <w:tc>
          <w:tcPr>
            <w:tcW w:w="1814" w:type="dxa"/>
            <w:tcBorders>
              <w:top w:val="nil"/>
              <w:left w:val="nil"/>
              <w:bottom w:val="single" w:sz="4" w:space="0" w:color="auto"/>
              <w:right w:val="single" w:sz="4" w:space="0" w:color="auto"/>
            </w:tcBorders>
            <w:noWrap/>
            <w:vAlign w:val="center"/>
            <w:hideMark/>
          </w:tcPr>
          <w:p w14:paraId="2E19AB26"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15,01</w:t>
            </w:r>
          </w:p>
        </w:tc>
      </w:tr>
      <w:tr w:rsidR="00D4558A" w:rsidRPr="00D4558A" w14:paraId="07B57A77"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6B91319F" w14:textId="77777777" w:rsidR="00D4558A" w:rsidRPr="00D4558A" w:rsidRDefault="00D4558A" w:rsidP="00D4558A">
            <w:pPr>
              <w:rPr>
                <w:rFonts w:ascii="Aptos Narrow" w:hAnsi="Aptos Narrow"/>
                <w:color w:val="000000"/>
              </w:rPr>
            </w:pPr>
            <w:r w:rsidRPr="00D4558A">
              <w:rPr>
                <w:rFonts w:ascii="Aptos Narrow" w:hAnsi="Aptos Narrow"/>
                <w:color w:val="000000"/>
              </w:rPr>
              <w:t>FAI</w:t>
            </w:r>
          </w:p>
        </w:tc>
        <w:tc>
          <w:tcPr>
            <w:tcW w:w="1077" w:type="dxa"/>
            <w:tcBorders>
              <w:top w:val="nil"/>
              <w:left w:val="nil"/>
              <w:bottom w:val="single" w:sz="4" w:space="0" w:color="auto"/>
              <w:right w:val="single" w:sz="4" w:space="0" w:color="auto"/>
            </w:tcBorders>
            <w:noWrap/>
            <w:vAlign w:val="center"/>
            <w:hideMark/>
          </w:tcPr>
          <w:p w14:paraId="3C2986D1"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246,51</w:t>
            </w:r>
          </w:p>
        </w:tc>
        <w:tc>
          <w:tcPr>
            <w:tcW w:w="1077" w:type="dxa"/>
            <w:tcBorders>
              <w:top w:val="nil"/>
              <w:left w:val="nil"/>
              <w:bottom w:val="single" w:sz="4" w:space="0" w:color="auto"/>
              <w:right w:val="single" w:sz="4" w:space="0" w:color="auto"/>
            </w:tcBorders>
            <w:noWrap/>
            <w:vAlign w:val="center"/>
            <w:hideMark/>
          </w:tcPr>
          <w:p w14:paraId="2025C28A" w14:textId="4799719A"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63A4EDF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84,15</w:t>
            </w:r>
          </w:p>
        </w:tc>
        <w:tc>
          <w:tcPr>
            <w:tcW w:w="1077" w:type="dxa"/>
            <w:tcBorders>
              <w:top w:val="nil"/>
              <w:left w:val="nil"/>
              <w:bottom w:val="single" w:sz="4" w:space="0" w:color="auto"/>
              <w:right w:val="single" w:sz="4" w:space="0" w:color="auto"/>
            </w:tcBorders>
            <w:noWrap/>
            <w:vAlign w:val="center"/>
            <w:hideMark/>
          </w:tcPr>
          <w:p w14:paraId="494A01A9"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6,76</w:t>
            </w:r>
          </w:p>
        </w:tc>
        <w:tc>
          <w:tcPr>
            <w:tcW w:w="1247" w:type="dxa"/>
            <w:tcBorders>
              <w:top w:val="nil"/>
              <w:left w:val="nil"/>
              <w:bottom w:val="single" w:sz="4" w:space="0" w:color="auto"/>
              <w:right w:val="single" w:sz="4" w:space="0" w:color="auto"/>
            </w:tcBorders>
            <w:noWrap/>
            <w:vAlign w:val="center"/>
            <w:hideMark/>
          </w:tcPr>
          <w:p w14:paraId="372E7D9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337,42</w:t>
            </w:r>
          </w:p>
        </w:tc>
        <w:tc>
          <w:tcPr>
            <w:tcW w:w="1814" w:type="dxa"/>
            <w:tcBorders>
              <w:top w:val="nil"/>
              <w:left w:val="nil"/>
              <w:bottom w:val="single" w:sz="4" w:space="0" w:color="auto"/>
              <w:right w:val="single" w:sz="4" w:space="0" w:color="auto"/>
            </w:tcBorders>
            <w:noWrap/>
            <w:vAlign w:val="center"/>
            <w:hideMark/>
          </w:tcPr>
          <w:p w14:paraId="0D94275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12,80</w:t>
            </w:r>
          </w:p>
        </w:tc>
      </w:tr>
      <w:tr w:rsidR="00D4558A" w:rsidRPr="00D4558A" w14:paraId="42AB2F68"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5827DC81" w14:textId="77777777" w:rsidR="00D4558A" w:rsidRPr="00D4558A" w:rsidRDefault="00D4558A" w:rsidP="00D4558A">
            <w:pPr>
              <w:rPr>
                <w:rFonts w:ascii="Aptos Narrow" w:hAnsi="Aptos Narrow"/>
                <w:color w:val="000000"/>
              </w:rPr>
            </w:pPr>
            <w:r w:rsidRPr="00D4558A">
              <w:rPr>
                <w:rFonts w:ascii="Aptos Narrow" w:hAnsi="Aptos Narrow"/>
                <w:color w:val="000000"/>
              </w:rPr>
              <w:t>FMK</w:t>
            </w:r>
          </w:p>
        </w:tc>
        <w:tc>
          <w:tcPr>
            <w:tcW w:w="1077" w:type="dxa"/>
            <w:tcBorders>
              <w:top w:val="nil"/>
              <w:left w:val="nil"/>
              <w:bottom w:val="single" w:sz="4" w:space="0" w:color="auto"/>
              <w:right w:val="single" w:sz="4" w:space="0" w:color="auto"/>
            </w:tcBorders>
            <w:noWrap/>
            <w:vAlign w:val="center"/>
            <w:hideMark/>
          </w:tcPr>
          <w:p w14:paraId="0C43205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352,95</w:t>
            </w:r>
          </w:p>
        </w:tc>
        <w:tc>
          <w:tcPr>
            <w:tcW w:w="1077" w:type="dxa"/>
            <w:tcBorders>
              <w:top w:val="nil"/>
              <w:left w:val="nil"/>
              <w:bottom w:val="single" w:sz="4" w:space="0" w:color="auto"/>
              <w:right w:val="single" w:sz="4" w:space="0" w:color="auto"/>
            </w:tcBorders>
            <w:noWrap/>
            <w:vAlign w:val="center"/>
            <w:hideMark/>
          </w:tcPr>
          <w:p w14:paraId="063BD35E" w14:textId="74AB5A95"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417" w:type="dxa"/>
            <w:tcBorders>
              <w:top w:val="nil"/>
              <w:left w:val="nil"/>
              <w:bottom w:val="single" w:sz="4" w:space="0" w:color="auto"/>
              <w:right w:val="single" w:sz="4" w:space="0" w:color="auto"/>
            </w:tcBorders>
            <w:noWrap/>
            <w:vAlign w:val="center"/>
            <w:hideMark/>
          </w:tcPr>
          <w:p w14:paraId="40286E01"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141,88</w:t>
            </w:r>
          </w:p>
        </w:tc>
        <w:tc>
          <w:tcPr>
            <w:tcW w:w="1077" w:type="dxa"/>
            <w:tcBorders>
              <w:top w:val="nil"/>
              <w:left w:val="nil"/>
              <w:bottom w:val="single" w:sz="4" w:space="0" w:color="auto"/>
              <w:right w:val="single" w:sz="4" w:space="0" w:color="auto"/>
            </w:tcBorders>
            <w:noWrap/>
            <w:vAlign w:val="center"/>
            <w:hideMark/>
          </w:tcPr>
          <w:p w14:paraId="6A10E05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39,64</w:t>
            </w:r>
          </w:p>
        </w:tc>
        <w:tc>
          <w:tcPr>
            <w:tcW w:w="1247" w:type="dxa"/>
            <w:tcBorders>
              <w:top w:val="nil"/>
              <w:left w:val="nil"/>
              <w:bottom w:val="single" w:sz="4" w:space="0" w:color="auto"/>
              <w:right w:val="single" w:sz="4" w:space="0" w:color="auto"/>
            </w:tcBorders>
            <w:noWrap/>
            <w:vAlign w:val="center"/>
            <w:hideMark/>
          </w:tcPr>
          <w:p w14:paraId="247AA05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534,47</w:t>
            </w:r>
          </w:p>
        </w:tc>
        <w:tc>
          <w:tcPr>
            <w:tcW w:w="1814" w:type="dxa"/>
            <w:tcBorders>
              <w:top w:val="nil"/>
              <w:left w:val="nil"/>
              <w:bottom w:val="single" w:sz="4" w:space="0" w:color="auto"/>
              <w:right w:val="single" w:sz="4" w:space="0" w:color="auto"/>
            </w:tcBorders>
            <w:noWrap/>
            <w:vAlign w:val="center"/>
            <w:hideMark/>
          </w:tcPr>
          <w:p w14:paraId="0F6577A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20,27</w:t>
            </w:r>
          </w:p>
        </w:tc>
      </w:tr>
      <w:tr w:rsidR="00D4558A" w:rsidRPr="00D4558A" w14:paraId="08E01B99"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3C469368" w14:textId="77777777" w:rsidR="00D4558A" w:rsidRPr="00D4558A" w:rsidRDefault="00D4558A" w:rsidP="00D4558A">
            <w:pPr>
              <w:rPr>
                <w:rFonts w:ascii="Aptos Narrow" w:hAnsi="Aptos Narrow"/>
                <w:color w:val="000000"/>
              </w:rPr>
            </w:pPr>
            <w:r w:rsidRPr="00D4558A">
              <w:rPr>
                <w:rFonts w:ascii="Aptos Narrow" w:hAnsi="Aptos Narrow"/>
                <w:color w:val="000000"/>
              </w:rPr>
              <w:t>FaME</w:t>
            </w:r>
          </w:p>
        </w:tc>
        <w:tc>
          <w:tcPr>
            <w:tcW w:w="1077" w:type="dxa"/>
            <w:tcBorders>
              <w:top w:val="nil"/>
              <w:left w:val="nil"/>
              <w:bottom w:val="single" w:sz="4" w:space="0" w:color="auto"/>
              <w:right w:val="single" w:sz="4" w:space="0" w:color="auto"/>
            </w:tcBorders>
            <w:noWrap/>
            <w:vAlign w:val="center"/>
            <w:hideMark/>
          </w:tcPr>
          <w:p w14:paraId="7A91C276"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168,75</w:t>
            </w:r>
          </w:p>
        </w:tc>
        <w:tc>
          <w:tcPr>
            <w:tcW w:w="1077" w:type="dxa"/>
            <w:tcBorders>
              <w:top w:val="nil"/>
              <w:left w:val="nil"/>
              <w:bottom w:val="single" w:sz="4" w:space="0" w:color="auto"/>
              <w:right w:val="single" w:sz="4" w:space="0" w:color="auto"/>
            </w:tcBorders>
            <w:noWrap/>
            <w:vAlign w:val="center"/>
            <w:hideMark/>
          </w:tcPr>
          <w:p w14:paraId="44DE2639" w14:textId="7DF1FD90"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196D2E3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98,77</w:t>
            </w:r>
          </w:p>
        </w:tc>
        <w:tc>
          <w:tcPr>
            <w:tcW w:w="1077" w:type="dxa"/>
            <w:tcBorders>
              <w:top w:val="nil"/>
              <w:left w:val="nil"/>
              <w:bottom w:val="single" w:sz="4" w:space="0" w:color="auto"/>
              <w:right w:val="single" w:sz="4" w:space="0" w:color="auto"/>
            </w:tcBorders>
            <w:noWrap/>
            <w:vAlign w:val="center"/>
            <w:hideMark/>
          </w:tcPr>
          <w:p w14:paraId="0C923E09"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2,08</w:t>
            </w:r>
          </w:p>
        </w:tc>
        <w:tc>
          <w:tcPr>
            <w:tcW w:w="1247" w:type="dxa"/>
            <w:tcBorders>
              <w:top w:val="nil"/>
              <w:left w:val="nil"/>
              <w:bottom w:val="single" w:sz="4" w:space="0" w:color="auto"/>
              <w:right w:val="single" w:sz="4" w:space="0" w:color="auto"/>
            </w:tcBorders>
            <w:noWrap/>
            <w:vAlign w:val="center"/>
            <w:hideMark/>
          </w:tcPr>
          <w:p w14:paraId="61629B2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269,60</w:t>
            </w:r>
          </w:p>
        </w:tc>
        <w:tc>
          <w:tcPr>
            <w:tcW w:w="1814" w:type="dxa"/>
            <w:tcBorders>
              <w:top w:val="nil"/>
              <w:left w:val="nil"/>
              <w:bottom w:val="single" w:sz="4" w:space="0" w:color="auto"/>
              <w:right w:val="single" w:sz="4" w:space="0" w:color="auto"/>
            </w:tcBorders>
            <w:noWrap/>
            <w:vAlign w:val="center"/>
            <w:hideMark/>
          </w:tcPr>
          <w:p w14:paraId="1EE66C9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10,23</w:t>
            </w:r>
          </w:p>
        </w:tc>
      </w:tr>
      <w:tr w:rsidR="00D4558A" w:rsidRPr="00D4558A" w14:paraId="303BB8DE"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188F680B" w14:textId="77777777" w:rsidR="00D4558A" w:rsidRPr="00D4558A" w:rsidRDefault="00D4558A" w:rsidP="00D4558A">
            <w:pPr>
              <w:rPr>
                <w:rFonts w:ascii="Aptos Narrow" w:hAnsi="Aptos Narrow"/>
                <w:color w:val="000000"/>
              </w:rPr>
            </w:pPr>
            <w:r w:rsidRPr="00D4558A">
              <w:rPr>
                <w:rFonts w:ascii="Aptos Narrow" w:hAnsi="Aptos Narrow"/>
                <w:color w:val="000000"/>
              </w:rPr>
              <w:t>FHS</w:t>
            </w:r>
          </w:p>
        </w:tc>
        <w:tc>
          <w:tcPr>
            <w:tcW w:w="1077" w:type="dxa"/>
            <w:tcBorders>
              <w:top w:val="nil"/>
              <w:left w:val="nil"/>
              <w:bottom w:val="single" w:sz="4" w:space="0" w:color="auto"/>
              <w:right w:val="single" w:sz="4" w:space="0" w:color="auto"/>
            </w:tcBorders>
            <w:noWrap/>
            <w:vAlign w:val="center"/>
            <w:hideMark/>
          </w:tcPr>
          <w:p w14:paraId="50972EF5"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455,37</w:t>
            </w:r>
          </w:p>
        </w:tc>
        <w:tc>
          <w:tcPr>
            <w:tcW w:w="1077" w:type="dxa"/>
            <w:tcBorders>
              <w:top w:val="nil"/>
              <w:left w:val="nil"/>
              <w:bottom w:val="single" w:sz="4" w:space="0" w:color="auto"/>
              <w:right w:val="single" w:sz="4" w:space="0" w:color="auto"/>
            </w:tcBorders>
            <w:noWrap/>
            <w:vAlign w:val="center"/>
            <w:hideMark/>
          </w:tcPr>
          <w:p w14:paraId="52F15959"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75,42</w:t>
            </w:r>
          </w:p>
        </w:tc>
        <w:tc>
          <w:tcPr>
            <w:tcW w:w="1417" w:type="dxa"/>
            <w:tcBorders>
              <w:top w:val="nil"/>
              <w:left w:val="nil"/>
              <w:bottom w:val="single" w:sz="4" w:space="0" w:color="auto"/>
              <w:right w:val="single" w:sz="4" w:space="0" w:color="auto"/>
            </w:tcBorders>
            <w:noWrap/>
            <w:vAlign w:val="center"/>
            <w:hideMark/>
          </w:tcPr>
          <w:p w14:paraId="0FFD9E3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46,92</w:t>
            </w:r>
          </w:p>
        </w:tc>
        <w:tc>
          <w:tcPr>
            <w:tcW w:w="1077" w:type="dxa"/>
            <w:tcBorders>
              <w:top w:val="nil"/>
              <w:left w:val="nil"/>
              <w:bottom w:val="single" w:sz="4" w:space="0" w:color="auto"/>
              <w:right w:val="single" w:sz="4" w:space="0" w:color="auto"/>
            </w:tcBorders>
            <w:noWrap/>
            <w:vAlign w:val="center"/>
            <w:hideMark/>
          </w:tcPr>
          <w:p w14:paraId="0FAACF7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1,12</w:t>
            </w:r>
          </w:p>
        </w:tc>
        <w:tc>
          <w:tcPr>
            <w:tcW w:w="1247" w:type="dxa"/>
            <w:tcBorders>
              <w:top w:val="nil"/>
              <w:left w:val="nil"/>
              <w:bottom w:val="single" w:sz="4" w:space="0" w:color="auto"/>
              <w:right w:val="single" w:sz="4" w:space="0" w:color="auto"/>
            </w:tcBorders>
            <w:noWrap/>
            <w:vAlign w:val="center"/>
            <w:hideMark/>
          </w:tcPr>
          <w:p w14:paraId="26E5BFE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578,83</w:t>
            </w:r>
          </w:p>
        </w:tc>
        <w:tc>
          <w:tcPr>
            <w:tcW w:w="1814" w:type="dxa"/>
            <w:tcBorders>
              <w:top w:val="nil"/>
              <w:left w:val="nil"/>
              <w:bottom w:val="single" w:sz="4" w:space="0" w:color="auto"/>
              <w:right w:val="single" w:sz="4" w:space="0" w:color="auto"/>
            </w:tcBorders>
            <w:noWrap/>
            <w:vAlign w:val="center"/>
            <w:hideMark/>
          </w:tcPr>
          <w:p w14:paraId="56FFD92F"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21,96</w:t>
            </w:r>
          </w:p>
        </w:tc>
      </w:tr>
      <w:tr w:rsidR="00D4558A" w:rsidRPr="00D4558A" w14:paraId="1423D254"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7E2FD97D" w14:textId="77777777" w:rsidR="00D4558A" w:rsidRPr="00D4558A" w:rsidRDefault="00D4558A" w:rsidP="00D4558A">
            <w:pPr>
              <w:rPr>
                <w:rFonts w:ascii="Aptos Narrow" w:hAnsi="Aptos Narrow"/>
                <w:color w:val="000000"/>
              </w:rPr>
            </w:pPr>
            <w:r w:rsidRPr="00D4558A">
              <w:rPr>
                <w:rFonts w:ascii="Aptos Narrow" w:hAnsi="Aptos Narrow"/>
                <w:color w:val="000000"/>
              </w:rPr>
              <w:t>UNI</w:t>
            </w:r>
          </w:p>
        </w:tc>
        <w:tc>
          <w:tcPr>
            <w:tcW w:w="1077" w:type="dxa"/>
            <w:tcBorders>
              <w:top w:val="nil"/>
              <w:left w:val="nil"/>
              <w:bottom w:val="single" w:sz="4" w:space="0" w:color="auto"/>
              <w:right w:val="single" w:sz="4" w:space="0" w:color="auto"/>
            </w:tcBorders>
            <w:noWrap/>
            <w:vAlign w:val="center"/>
            <w:hideMark/>
          </w:tcPr>
          <w:p w14:paraId="0CB77D22"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76484A6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4E5B5571"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20E9ABD7"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15,61</w:t>
            </w:r>
          </w:p>
        </w:tc>
        <w:tc>
          <w:tcPr>
            <w:tcW w:w="1247" w:type="dxa"/>
            <w:tcBorders>
              <w:top w:val="nil"/>
              <w:left w:val="nil"/>
              <w:bottom w:val="single" w:sz="4" w:space="0" w:color="auto"/>
              <w:right w:val="single" w:sz="4" w:space="0" w:color="auto"/>
            </w:tcBorders>
            <w:noWrap/>
            <w:vAlign w:val="center"/>
            <w:hideMark/>
          </w:tcPr>
          <w:p w14:paraId="3F721E2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15,61</w:t>
            </w:r>
          </w:p>
        </w:tc>
        <w:tc>
          <w:tcPr>
            <w:tcW w:w="1814" w:type="dxa"/>
            <w:tcBorders>
              <w:top w:val="nil"/>
              <w:left w:val="nil"/>
              <w:bottom w:val="single" w:sz="4" w:space="0" w:color="auto"/>
              <w:right w:val="single" w:sz="4" w:space="0" w:color="auto"/>
            </w:tcBorders>
            <w:noWrap/>
            <w:vAlign w:val="center"/>
            <w:hideMark/>
          </w:tcPr>
          <w:p w14:paraId="17FB060D"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0,59</w:t>
            </w:r>
          </w:p>
        </w:tc>
      </w:tr>
      <w:tr w:rsidR="00D4558A" w:rsidRPr="00D4558A" w14:paraId="67B079F1"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755D6B84" w14:textId="77777777" w:rsidR="00D4558A" w:rsidRPr="00D4558A" w:rsidRDefault="00D4558A" w:rsidP="00D4558A">
            <w:pPr>
              <w:rPr>
                <w:rFonts w:ascii="Aptos Narrow" w:hAnsi="Aptos Narrow"/>
                <w:color w:val="000000"/>
              </w:rPr>
            </w:pPr>
            <w:r w:rsidRPr="00D4558A">
              <w:rPr>
                <w:rFonts w:ascii="Aptos Narrow" w:hAnsi="Aptos Narrow"/>
                <w:color w:val="000000"/>
              </w:rPr>
              <w:t>Knihovna</w:t>
            </w:r>
          </w:p>
        </w:tc>
        <w:tc>
          <w:tcPr>
            <w:tcW w:w="1077" w:type="dxa"/>
            <w:tcBorders>
              <w:top w:val="nil"/>
              <w:left w:val="nil"/>
              <w:bottom w:val="single" w:sz="4" w:space="0" w:color="auto"/>
              <w:right w:val="single" w:sz="4" w:space="0" w:color="auto"/>
            </w:tcBorders>
            <w:noWrap/>
            <w:vAlign w:val="center"/>
            <w:hideMark/>
          </w:tcPr>
          <w:p w14:paraId="1BF2970C" w14:textId="4BD067AD"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44997702" w14:textId="0FB26B01"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417" w:type="dxa"/>
            <w:tcBorders>
              <w:top w:val="nil"/>
              <w:left w:val="nil"/>
              <w:bottom w:val="single" w:sz="4" w:space="0" w:color="auto"/>
              <w:right w:val="single" w:sz="4" w:space="0" w:color="auto"/>
            </w:tcBorders>
            <w:noWrap/>
            <w:vAlign w:val="center"/>
            <w:hideMark/>
          </w:tcPr>
          <w:p w14:paraId="4E7764C9" w14:textId="0D9D7D0C"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077" w:type="dxa"/>
            <w:tcBorders>
              <w:top w:val="nil"/>
              <w:left w:val="nil"/>
              <w:bottom w:val="single" w:sz="4" w:space="0" w:color="auto"/>
              <w:right w:val="single" w:sz="4" w:space="0" w:color="auto"/>
            </w:tcBorders>
            <w:noWrap/>
            <w:vAlign w:val="center"/>
            <w:hideMark/>
          </w:tcPr>
          <w:p w14:paraId="556263C9" w14:textId="2BF0CFBB"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247" w:type="dxa"/>
            <w:tcBorders>
              <w:top w:val="nil"/>
              <w:left w:val="nil"/>
              <w:bottom w:val="single" w:sz="4" w:space="0" w:color="auto"/>
              <w:right w:val="single" w:sz="4" w:space="0" w:color="auto"/>
            </w:tcBorders>
            <w:noWrap/>
            <w:vAlign w:val="center"/>
            <w:hideMark/>
          </w:tcPr>
          <w:p w14:paraId="3A9AFE05"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814" w:type="dxa"/>
            <w:tcBorders>
              <w:top w:val="nil"/>
              <w:left w:val="nil"/>
              <w:bottom w:val="single" w:sz="4" w:space="0" w:color="auto"/>
              <w:right w:val="single" w:sz="4" w:space="0" w:color="auto"/>
            </w:tcBorders>
            <w:noWrap/>
            <w:vAlign w:val="center"/>
            <w:hideMark/>
          </w:tcPr>
          <w:p w14:paraId="670FE426"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r>
      <w:tr w:rsidR="00D4558A" w:rsidRPr="00D4558A" w14:paraId="1766363C"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78430137" w14:textId="77777777" w:rsidR="00D4558A" w:rsidRPr="00D4558A" w:rsidRDefault="00D4558A" w:rsidP="00D4558A">
            <w:pPr>
              <w:rPr>
                <w:rFonts w:ascii="Aptos Narrow" w:hAnsi="Aptos Narrow"/>
                <w:color w:val="000000"/>
              </w:rPr>
            </w:pPr>
            <w:r w:rsidRPr="00D4558A">
              <w:rPr>
                <w:rFonts w:ascii="Aptos Narrow" w:hAnsi="Aptos Narrow"/>
                <w:color w:val="000000"/>
              </w:rPr>
              <w:t>KMZ</w:t>
            </w:r>
          </w:p>
        </w:tc>
        <w:tc>
          <w:tcPr>
            <w:tcW w:w="1077" w:type="dxa"/>
            <w:tcBorders>
              <w:top w:val="nil"/>
              <w:left w:val="nil"/>
              <w:bottom w:val="single" w:sz="4" w:space="0" w:color="auto"/>
              <w:right w:val="single" w:sz="4" w:space="0" w:color="auto"/>
            </w:tcBorders>
            <w:noWrap/>
            <w:vAlign w:val="center"/>
            <w:hideMark/>
          </w:tcPr>
          <w:p w14:paraId="3D92A60C" w14:textId="7084A0A0"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077" w:type="dxa"/>
            <w:tcBorders>
              <w:top w:val="nil"/>
              <w:left w:val="nil"/>
              <w:bottom w:val="single" w:sz="4" w:space="0" w:color="auto"/>
              <w:right w:val="single" w:sz="4" w:space="0" w:color="auto"/>
            </w:tcBorders>
            <w:noWrap/>
            <w:vAlign w:val="center"/>
            <w:hideMark/>
          </w:tcPr>
          <w:p w14:paraId="3DF8F8FF" w14:textId="1D484458"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137511ED" w14:textId="29D83C9F"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077" w:type="dxa"/>
            <w:tcBorders>
              <w:top w:val="nil"/>
              <w:left w:val="nil"/>
              <w:bottom w:val="single" w:sz="4" w:space="0" w:color="auto"/>
              <w:right w:val="single" w:sz="4" w:space="0" w:color="auto"/>
            </w:tcBorders>
            <w:noWrap/>
            <w:vAlign w:val="center"/>
            <w:hideMark/>
          </w:tcPr>
          <w:p w14:paraId="0D3D68EC" w14:textId="199B3C54" w:rsidR="00D4558A" w:rsidRPr="00D4558A" w:rsidRDefault="00D4558A" w:rsidP="00D4558A">
            <w:pPr>
              <w:jc w:val="right"/>
              <w:rPr>
                <w:rFonts w:ascii="Aptos Narrow" w:hAnsi="Aptos Narrow"/>
                <w:color w:val="000000"/>
              </w:rPr>
            </w:pPr>
            <w:r>
              <w:rPr>
                <w:rFonts w:ascii="Aptos Narrow" w:hAnsi="Aptos Narrow"/>
                <w:color w:val="000000"/>
              </w:rPr>
              <w:t>0</w:t>
            </w:r>
            <w:r w:rsidRPr="00D4558A">
              <w:rPr>
                <w:rFonts w:ascii="Aptos Narrow" w:hAnsi="Aptos Narrow"/>
                <w:color w:val="000000"/>
              </w:rPr>
              <w:t>0,0</w:t>
            </w:r>
          </w:p>
        </w:tc>
        <w:tc>
          <w:tcPr>
            <w:tcW w:w="1247" w:type="dxa"/>
            <w:tcBorders>
              <w:top w:val="nil"/>
              <w:left w:val="nil"/>
              <w:bottom w:val="single" w:sz="4" w:space="0" w:color="auto"/>
              <w:right w:val="single" w:sz="4" w:space="0" w:color="auto"/>
            </w:tcBorders>
            <w:noWrap/>
            <w:vAlign w:val="center"/>
            <w:hideMark/>
          </w:tcPr>
          <w:p w14:paraId="07EEE594"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c>
          <w:tcPr>
            <w:tcW w:w="1814" w:type="dxa"/>
            <w:tcBorders>
              <w:top w:val="nil"/>
              <w:left w:val="nil"/>
              <w:bottom w:val="single" w:sz="4" w:space="0" w:color="auto"/>
              <w:right w:val="single" w:sz="4" w:space="0" w:color="auto"/>
            </w:tcBorders>
            <w:noWrap/>
            <w:vAlign w:val="center"/>
            <w:hideMark/>
          </w:tcPr>
          <w:p w14:paraId="72EA08F3" w14:textId="77777777" w:rsidR="00D4558A" w:rsidRPr="00D4558A" w:rsidRDefault="00D4558A" w:rsidP="00D4558A">
            <w:pPr>
              <w:jc w:val="right"/>
              <w:rPr>
                <w:rFonts w:ascii="Aptos Narrow" w:hAnsi="Aptos Narrow"/>
                <w:color w:val="000000"/>
              </w:rPr>
            </w:pPr>
            <w:r w:rsidRPr="00D4558A">
              <w:rPr>
                <w:rFonts w:ascii="Aptos Narrow" w:hAnsi="Aptos Narrow"/>
                <w:color w:val="000000"/>
              </w:rPr>
              <w:t>0,00</w:t>
            </w:r>
          </w:p>
        </w:tc>
      </w:tr>
      <w:tr w:rsidR="00D4558A" w:rsidRPr="00D4558A" w14:paraId="2BF10200" w14:textId="77777777" w:rsidTr="00D4558A">
        <w:trPr>
          <w:trHeight w:val="320"/>
        </w:trPr>
        <w:tc>
          <w:tcPr>
            <w:tcW w:w="1361" w:type="dxa"/>
            <w:tcBorders>
              <w:top w:val="nil"/>
              <w:left w:val="single" w:sz="4" w:space="0" w:color="auto"/>
              <w:bottom w:val="single" w:sz="4" w:space="0" w:color="auto"/>
              <w:right w:val="single" w:sz="4" w:space="0" w:color="auto"/>
            </w:tcBorders>
            <w:noWrap/>
            <w:vAlign w:val="center"/>
            <w:hideMark/>
          </w:tcPr>
          <w:p w14:paraId="473B5B1C" w14:textId="77777777" w:rsidR="00D4558A" w:rsidRPr="00D4558A" w:rsidRDefault="00D4558A" w:rsidP="00D4558A">
            <w:pPr>
              <w:rPr>
                <w:rFonts w:ascii="Aptos Narrow" w:hAnsi="Aptos Narrow"/>
                <w:b/>
                <w:bCs/>
                <w:color w:val="000000"/>
              </w:rPr>
            </w:pPr>
            <w:r w:rsidRPr="00D4558A">
              <w:rPr>
                <w:rFonts w:ascii="Aptos Narrow" w:hAnsi="Aptos Narrow"/>
                <w:b/>
                <w:bCs/>
                <w:color w:val="000000"/>
              </w:rPr>
              <w:t>Celkem</w:t>
            </w:r>
          </w:p>
        </w:tc>
        <w:tc>
          <w:tcPr>
            <w:tcW w:w="1077" w:type="dxa"/>
            <w:tcBorders>
              <w:top w:val="nil"/>
              <w:left w:val="nil"/>
              <w:bottom w:val="single" w:sz="4" w:space="0" w:color="auto"/>
              <w:right w:val="single" w:sz="4" w:space="0" w:color="auto"/>
            </w:tcBorders>
            <w:noWrap/>
            <w:vAlign w:val="center"/>
            <w:hideMark/>
          </w:tcPr>
          <w:p w14:paraId="4B232DAB"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1 841,10</w:t>
            </w:r>
          </w:p>
        </w:tc>
        <w:tc>
          <w:tcPr>
            <w:tcW w:w="1077" w:type="dxa"/>
            <w:tcBorders>
              <w:top w:val="nil"/>
              <w:left w:val="nil"/>
              <w:bottom w:val="single" w:sz="4" w:space="0" w:color="auto"/>
              <w:right w:val="single" w:sz="4" w:space="0" w:color="auto"/>
            </w:tcBorders>
            <w:noWrap/>
            <w:vAlign w:val="center"/>
            <w:hideMark/>
          </w:tcPr>
          <w:p w14:paraId="1F9BD390"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75,42</w:t>
            </w:r>
          </w:p>
        </w:tc>
        <w:tc>
          <w:tcPr>
            <w:tcW w:w="1417" w:type="dxa"/>
            <w:tcBorders>
              <w:top w:val="nil"/>
              <w:left w:val="nil"/>
              <w:bottom w:val="single" w:sz="4" w:space="0" w:color="auto"/>
              <w:right w:val="single" w:sz="4" w:space="0" w:color="auto"/>
            </w:tcBorders>
            <w:noWrap/>
            <w:vAlign w:val="center"/>
            <w:hideMark/>
          </w:tcPr>
          <w:p w14:paraId="380FF801"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602,89</w:t>
            </w:r>
          </w:p>
        </w:tc>
        <w:tc>
          <w:tcPr>
            <w:tcW w:w="1077" w:type="dxa"/>
            <w:tcBorders>
              <w:top w:val="nil"/>
              <w:left w:val="nil"/>
              <w:bottom w:val="single" w:sz="4" w:space="0" w:color="auto"/>
              <w:right w:val="single" w:sz="4" w:space="0" w:color="auto"/>
            </w:tcBorders>
            <w:noWrap/>
            <w:vAlign w:val="center"/>
            <w:hideMark/>
          </w:tcPr>
          <w:p w14:paraId="57AA1D25"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116,99</w:t>
            </w:r>
          </w:p>
        </w:tc>
        <w:tc>
          <w:tcPr>
            <w:tcW w:w="1247" w:type="dxa"/>
            <w:tcBorders>
              <w:top w:val="nil"/>
              <w:left w:val="nil"/>
              <w:bottom w:val="single" w:sz="4" w:space="0" w:color="auto"/>
              <w:right w:val="single" w:sz="4" w:space="0" w:color="auto"/>
            </w:tcBorders>
            <w:noWrap/>
            <w:vAlign w:val="center"/>
            <w:hideMark/>
          </w:tcPr>
          <w:p w14:paraId="342D0C07"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2 636,40</w:t>
            </w:r>
          </w:p>
        </w:tc>
        <w:tc>
          <w:tcPr>
            <w:tcW w:w="1814" w:type="dxa"/>
            <w:tcBorders>
              <w:top w:val="nil"/>
              <w:left w:val="nil"/>
              <w:bottom w:val="single" w:sz="4" w:space="0" w:color="auto"/>
              <w:right w:val="single" w:sz="4" w:space="0" w:color="auto"/>
            </w:tcBorders>
            <w:noWrap/>
            <w:vAlign w:val="center"/>
            <w:hideMark/>
          </w:tcPr>
          <w:p w14:paraId="3F333E7C" w14:textId="77777777" w:rsidR="00D4558A" w:rsidRPr="00D4558A" w:rsidRDefault="00D4558A" w:rsidP="00D4558A">
            <w:pPr>
              <w:jc w:val="right"/>
              <w:rPr>
                <w:rFonts w:ascii="Aptos Narrow" w:hAnsi="Aptos Narrow"/>
                <w:b/>
                <w:bCs/>
                <w:color w:val="000000"/>
              </w:rPr>
            </w:pPr>
            <w:r w:rsidRPr="00D4558A">
              <w:rPr>
                <w:rFonts w:ascii="Aptos Narrow" w:hAnsi="Aptos Narrow"/>
                <w:b/>
                <w:bCs/>
                <w:color w:val="000000"/>
              </w:rPr>
              <w:t>100,00</w:t>
            </w:r>
          </w:p>
        </w:tc>
      </w:tr>
    </w:tbl>
    <w:p w14:paraId="47AC1B5B" w14:textId="77777777" w:rsidR="00CE4E2A" w:rsidRDefault="00CE4E2A" w:rsidP="002918D3">
      <w:pPr>
        <w:pStyle w:val="RozpocetOdstavec"/>
      </w:pPr>
    </w:p>
    <w:p w14:paraId="3319B4FA" w14:textId="5DB88E2D" w:rsidR="005B2A18" w:rsidRDefault="006B684F" w:rsidP="005B2A18">
      <w:pPr>
        <w:pStyle w:val="RozpoetNadpis3"/>
      </w:pPr>
      <w:bookmarkStart w:id="14" w:name="_Toc228824326"/>
      <w:r>
        <w:t xml:space="preserve">Indikátor </w:t>
      </w:r>
      <w:r w:rsidR="005B2A18">
        <w:t>DKRVO202</w:t>
      </w:r>
      <w:r w:rsidR="008E3B00">
        <w:t>5</w:t>
      </w:r>
      <w:r w:rsidR="00115FB1">
        <w:t>R</w:t>
      </w:r>
      <w:bookmarkEnd w:id="14"/>
    </w:p>
    <w:p w14:paraId="448C406F" w14:textId="77777777" w:rsidR="008E3B00" w:rsidRPr="000A20AA" w:rsidRDefault="008E3B00" w:rsidP="008E3B00">
      <w:pPr>
        <w:pStyle w:val="RozpocetOdstavec"/>
      </w:pPr>
      <w:r w:rsidRPr="000A20AA">
        <w:t>Indikátor DKRVO2025R představuje podíl součásti na ukazateli DKRVO v rámci všech součástí v roce 2025.</w:t>
      </w:r>
    </w:p>
    <w:p w14:paraId="0392863B" w14:textId="77777777" w:rsidR="00CE4E2A" w:rsidRDefault="00CE4E2A" w:rsidP="008E3B00">
      <w:pPr>
        <w:pStyle w:val="RozpocetOdstavec"/>
        <w:rPr>
          <w:color w:val="00B050"/>
        </w:rPr>
      </w:pPr>
    </w:p>
    <w:tbl>
      <w:tblPr>
        <w:tblW w:w="9071" w:type="dxa"/>
        <w:tblLook w:val="04A0" w:firstRow="1" w:lastRow="0" w:firstColumn="1" w:lastColumn="0" w:noHBand="0" w:noVBand="1"/>
      </w:tblPr>
      <w:tblGrid>
        <w:gridCol w:w="2835"/>
        <w:gridCol w:w="3118"/>
        <w:gridCol w:w="3118"/>
      </w:tblGrid>
      <w:tr w:rsidR="00CE4E2A" w:rsidRPr="00CE4E2A" w14:paraId="0B0B337F" w14:textId="77777777" w:rsidTr="00ED4DC0">
        <w:trPr>
          <w:trHeight w:val="32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DB48E1" w14:textId="09B213B5" w:rsidR="00CE4E2A" w:rsidRPr="00CE4E2A" w:rsidRDefault="002A7964" w:rsidP="00CE4E2A">
            <w:pPr>
              <w:jc w:val="center"/>
              <w:rPr>
                <w:rFonts w:ascii="Aptos Narrow" w:hAnsi="Aptos Narrow"/>
                <w:b/>
                <w:bCs/>
                <w:color w:val="000000"/>
              </w:rPr>
            </w:pPr>
            <w:r>
              <w:rPr>
                <w:rFonts w:ascii="Aptos Narrow" w:hAnsi="Aptos Narrow"/>
                <w:b/>
                <w:bCs/>
                <w:color w:val="000000"/>
              </w:rPr>
              <w:t>Součást</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87AF04" w14:textId="77777777" w:rsidR="00CE4E2A" w:rsidRPr="00CE4E2A" w:rsidRDefault="00CE4E2A" w:rsidP="00CE4E2A">
            <w:pPr>
              <w:jc w:val="center"/>
              <w:rPr>
                <w:rFonts w:ascii="Aptos Narrow" w:hAnsi="Aptos Narrow"/>
                <w:b/>
                <w:bCs/>
                <w:color w:val="000000"/>
              </w:rPr>
            </w:pPr>
            <w:r w:rsidRPr="00CE4E2A">
              <w:rPr>
                <w:rFonts w:ascii="Aptos Narrow" w:hAnsi="Aptos Narrow"/>
                <w:b/>
                <w:bCs/>
                <w:color w:val="000000"/>
              </w:rPr>
              <w:t>DKRVO2025</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51E6AC" w14:textId="77777777" w:rsidR="00CE4E2A" w:rsidRPr="00CE4E2A" w:rsidRDefault="00CE4E2A" w:rsidP="00CE4E2A">
            <w:pPr>
              <w:jc w:val="center"/>
              <w:rPr>
                <w:rFonts w:ascii="Aptos Narrow" w:hAnsi="Aptos Narrow"/>
                <w:b/>
                <w:bCs/>
                <w:color w:val="000000"/>
              </w:rPr>
            </w:pPr>
            <w:r w:rsidRPr="00CE4E2A">
              <w:rPr>
                <w:rFonts w:ascii="Aptos Narrow" w:hAnsi="Aptos Narrow"/>
                <w:b/>
                <w:bCs/>
                <w:color w:val="000000"/>
              </w:rPr>
              <w:t>DKRVO2025 v %</w:t>
            </w:r>
          </w:p>
        </w:tc>
      </w:tr>
      <w:tr w:rsidR="00CE4E2A" w:rsidRPr="00CE4E2A" w14:paraId="295291EC"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7C34EE7" w14:textId="77777777" w:rsidR="00CE4E2A" w:rsidRPr="00CE4E2A" w:rsidRDefault="00CE4E2A" w:rsidP="00CE4E2A">
            <w:pPr>
              <w:rPr>
                <w:rFonts w:ascii="Aptos Narrow" w:hAnsi="Aptos Narrow"/>
                <w:color w:val="000000"/>
              </w:rPr>
            </w:pPr>
            <w:r w:rsidRPr="00CE4E2A">
              <w:rPr>
                <w:rFonts w:ascii="Aptos Narrow" w:hAnsi="Aptos Narrow"/>
                <w:color w:val="000000"/>
              </w:rPr>
              <w:t>FT</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2AB6BD80"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35 869</w:t>
            </w:r>
          </w:p>
        </w:tc>
        <w:tc>
          <w:tcPr>
            <w:tcW w:w="3118" w:type="dxa"/>
            <w:tcBorders>
              <w:top w:val="nil"/>
              <w:left w:val="nil"/>
              <w:bottom w:val="single" w:sz="4" w:space="0" w:color="auto"/>
              <w:right w:val="single" w:sz="4" w:space="0" w:color="auto"/>
            </w:tcBorders>
            <w:noWrap/>
            <w:vAlign w:val="center"/>
            <w:hideMark/>
          </w:tcPr>
          <w:p w14:paraId="3F909936"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21,42</w:t>
            </w:r>
          </w:p>
        </w:tc>
      </w:tr>
      <w:tr w:rsidR="00CE4E2A" w:rsidRPr="00CE4E2A" w14:paraId="080DDEAD"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FB4D463" w14:textId="77777777" w:rsidR="00CE4E2A" w:rsidRPr="00CE4E2A" w:rsidRDefault="00CE4E2A" w:rsidP="00CE4E2A">
            <w:pPr>
              <w:rPr>
                <w:rFonts w:ascii="Aptos Narrow" w:hAnsi="Aptos Narrow"/>
                <w:color w:val="000000"/>
              </w:rPr>
            </w:pPr>
            <w:r w:rsidRPr="00CE4E2A">
              <w:rPr>
                <w:rFonts w:ascii="Aptos Narrow" w:hAnsi="Aptos Narrow"/>
                <w:color w:val="000000"/>
              </w:rPr>
              <w:t>FLKŘ</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3744C902"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5 344</w:t>
            </w:r>
          </w:p>
        </w:tc>
        <w:tc>
          <w:tcPr>
            <w:tcW w:w="3118" w:type="dxa"/>
            <w:tcBorders>
              <w:top w:val="nil"/>
              <w:left w:val="nil"/>
              <w:bottom w:val="single" w:sz="4" w:space="0" w:color="auto"/>
              <w:right w:val="single" w:sz="4" w:space="0" w:color="auto"/>
            </w:tcBorders>
            <w:noWrap/>
            <w:vAlign w:val="center"/>
            <w:hideMark/>
          </w:tcPr>
          <w:p w14:paraId="64E032E8"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3,19</w:t>
            </w:r>
          </w:p>
        </w:tc>
      </w:tr>
      <w:tr w:rsidR="00CE4E2A" w:rsidRPr="00CE4E2A" w14:paraId="05966314"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17245802" w14:textId="77777777" w:rsidR="00CE4E2A" w:rsidRPr="00CE4E2A" w:rsidRDefault="00CE4E2A" w:rsidP="00CE4E2A">
            <w:pPr>
              <w:rPr>
                <w:rFonts w:ascii="Aptos Narrow" w:hAnsi="Aptos Narrow"/>
                <w:color w:val="000000"/>
              </w:rPr>
            </w:pPr>
            <w:r w:rsidRPr="00CE4E2A">
              <w:rPr>
                <w:rFonts w:ascii="Aptos Narrow" w:hAnsi="Aptos Narrow"/>
                <w:color w:val="000000"/>
              </w:rPr>
              <w:t>FAI</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6851114D"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27 865</w:t>
            </w:r>
          </w:p>
        </w:tc>
        <w:tc>
          <w:tcPr>
            <w:tcW w:w="3118" w:type="dxa"/>
            <w:tcBorders>
              <w:top w:val="nil"/>
              <w:left w:val="nil"/>
              <w:bottom w:val="single" w:sz="4" w:space="0" w:color="auto"/>
              <w:right w:val="single" w:sz="4" w:space="0" w:color="auto"/>
            </w:tcBorders>
            <w:noWrap/>
            <w:vAlign w:val="center"/>
            <w:hideMark/>
          </w:tcPr>
          <w:p w14:paraId="0911A93E"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16,64</w:t>
            </w:r>
          </w:p>
        </w:tc>
      </w:tr>
      <w:tr w:rsidR="00CE4E2A" w:rsidRPr="00CE4E2A" w14:paraId="1890F912"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7563A88A" w14:textId="77777777" w:rsidR="00CE4E2A" w:rsidRPr="00CE4E2A" w:rsidRDefault="00CE4E2A" w:rsidP="00CE4E2A">
            <w:pPr>
              <w:rPr>
                <w:rFonts w:ascii="Aptos Narrow" w:hAnsi="Aptos Narrow"/>
                <w:color w:val="000000"/>
              </w:rPr>
            </w:pPr>
            <w:r w:rsidRPr="00CE4E2A">
              <w:rPr>
                <w:rFonts w:ascii="Aptos Narrow" w:hAnsi="Aptos Narrow"/>
                <w:color w:val="000000"/>
              </w:rPr>
              <w:t>FMK</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0B45B1C5"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6 819</w:t>
            </w:r>
          </w:p>
        </w:tc>
        <w:tc>
          <w:tcPr>
            <w:tcW w:w="3118" w:type="dxa"/>
            <w:tcBorders>
              <w:top w:val="nil"/>
              <w:left w:val="nil"/>
              <w:bottom w:val="single" w:sz="4" w:space="0" w:color="auto"/>
              <w:right w:val="single" w:sz="4" w:space="0" w:color="auto"/>
            </w:tcBorders>
            <w:noWrap/>
            <w:vAlign w:val="center"/>
            <w:hideMark/>
          </w:tcPr>
          <w:p w14:paraId="0BC17ACE"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4,07</w:t>
            </w:r>
          </w:p>
        </w:tc>
      </w:tr>
      <w:tr w:rsidR="00CE4E2A" w:rsidRPr="00CE4E2A" w14:paraId="5883ED39"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CAFDEEA" w14:textId="77777777" w:rsidR="00CE4E2A" w:rsidRPr="00CE4E2A" w:rsidRDefault="00CE4E2A" w:rsidP="00CE4E2A">
            <w:pPr>
              <w:rPr>
                <w:rFonts w:ascii="Aptos Narrow" w:hAnsi="Aptos Narrow"/>
                <w:color w:val="000000"/>
              </w:rPr>
            </w:pPr>
            <w:r w:rsidRPr="00CE4E2A">
              <w:rPr>
                <w:rFonts w:ascii="Aptos Narrow" w:hAnsi="Aptos Narrow"/>
                <w:color w:val="000000"/>
              </w:rPr>
              <w:t>FaME</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52077366"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21 675</w:t>
            </w:r>
          </w:p>
        </w:tc>
        <w:tc>
          <w:tcPr>
            <w:tcW w:w="3118" w:type="dxa"/>
            <w:tcBorders>
              <w:top w:val="nil"/>
              <w:left w:val="nil"/>
              <w:bottom w:val="single" w:sz="4" w:space="0" w:color="auto"/>
              <w:right w:val="single" w:sz="4" w:space="0" w:color="auto"/>
            </w:tcBorders>
            <w:noWrap/>
            <w:vAlign w:val="center"/>
            <w:hideMark/>
          </w:tcPr>
          <w:p w14:paraId="02E2F955"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12,95</w:t>
            </w:r>
          </w:p>
        </w:tc>
      </w:tr>
      <w:tr w:rsidR="00CE4E2A" w:rsidRPr="00CE4E2A" w14:paraId="4C937D2B"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8307827" w14:textId="77777777" w:rsidR="00CE4E2A" w:rsidRPr="00CE4E2A" w:rsidRDefault="00CE4E2A" w:rsidP="00CE4E2A">
            <w:pPr>
              <w:rPr>
                <w:rFonts w:ascii="Aptos Narrow" w:hAnsi="Aptos Narrow"/>
                <w:color w:val="000000"/>
              </w:rPr>
            </w:pPr>
            <w:r w:rsidRPr="00CE4E2A">
              <w:rPr>
                <w:rFonts w:ascii="Aptos Narrow" w:hAnsi="Aptos Narrow"/>
                <w:color w:val="000000"/>
              </w:rPr>
              <w:t>FHS</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567E55D8"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12 442</w:t>
            </w:r>
          </w:p>
        </w:tc>
        <w:tc>
          <w:tcPr>
            <w:tcW w:w="3118" w:type="dxa"/>
            <w:tcBorders>
              <w:top w:val="nil"/>
              <w:left w:val="nil"/>
              <w:bottom w:val="single" w:sz="4" w:space="0" w:color="auto"/>
              <w:right w:val="single" w:sz="4" w:space="0" w:color="auto"/>
            </w:tcBorders>
            <w:noWrap/>
            <w:vAlign w:val="center"/>
            <w:hideMark/>
          </w:tcPr>
          <w:p w14:paraId="47B02BF7"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7,43</w:t>
            </w:r>
          </w:p>
        </w:tc>
      </w:tr>
      <w:tr w:rsidR="00CE4E2A" w:rsidRPr="00CE4E2A" w14:paraId="3C227AD8"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135BDAD" w14:textId="77777777" w:rsidR="00CE4E2A" w:rsidRPr="00CE4E2A" w:rsidRDefault="00CE4E2A" w:rsidP="00CE4E2A">
            <w:pPr>
              <w:rPr>
                <w:rFonts w:ascii="Aptos Narrow" w:hAnsi="Aptos Narrow"/>
                <w:color w:val="000000"/>
              </w:rPr>
            </w:pPr>
            <w:r w:rsidRPr="00CE4E2A">
              <w:rPr>
                <w:rFonts w:ascii="Aptos Narrow" w:hAnsi="Aptos Narrow"/>
                <w:color w:val="000000"/>
              </w:rPr>
              <w:t>UNI</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15BA74A3"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56 615</w:t>
            </w:r>
          </w:p>
        </w:tc>
        <w:tc>
          <w:tcPr>
            <w:tcW w:w="3118" w:type="dxa"/>
            <w:tcBorders>
              <w:top w:val="nil"/>
              <w:left w:val="nil"/>
              <w:bottom w:val="single" w:sz="4" w:space="0" w:color="auto"/>
              <w:right w:val="single" w:sz="4" w:space="0" w:color="auto"/>
            </w:tcBorders>
            <w:noWrap/>
            <w:vAlign w:val="center"/>
            <w:hideMark/>
          </w:tcPr>
          <w:p w14:paraId="2D193C13"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33,81</w:t>
            </w:r>
          </w:p>
        </w:tc>
      </w:tr>
      <w:tr w:rsidR="00CE4E2A" w:rsidRPr="00CE4E2A" w14:paraId="130FCE63"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C3B7ECE" w14:textId="77777777" w:rsidR="00CE4E2A" w:rsidRPr="00CE4E2A" w:rsidRDefault="00CE4E2A" w:rsidP="00CE4E2A">
            <w:pPr>
              <w:rPr>
                <w:rFonts w:ascii="Aptos Narrow" w:hAnsi="Aptos Narrow"/>
                <w:color w:val="000000"/>
              </w:rPr>
            </w:pPr>
            <w:r w:rsidRPr="00CE4E2A">
              <w:rPr>
                <w:rFonts w:ascii="Aptos Narrow" w:hAnsi="Aptos Narrow"/>
                <w:color w:val="000000"/>
              </w:rPr>
              <w:t>Knihovna</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617C6C64"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805</w:t>
            </w:r>
          </w:p>
        </w:tc>
        <w:tc>
          <w:tcPr>
            <w:tcW w:w="3118" w:type="dxa"/>
            <w:tcBorders>
              <w:top w:val="nil"/>
              <w:left w:val="nil"/>
              <w:bottom w:val="single" w:sz="4" w:space="0" w:color="auto"/>
              <w:right w:val="single" w:sz="4" w:space="0" w:color="auto"/>
            </w:tcBorders>
            <w:noWrap/>
            <w:vAlign w:val="center"/>
            <w:hideMark/>
          </w:tcPr>
          <w:p w14:paraId="7D572412"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0,48</w:t>
            </w:r>
          </w:p>
        </w:tc>
      </w:tr>
      <w:tr w:rsidR="00CE4E2A" w:rsidRPr="00CE4E2A" w14:paraId="374E21A8"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06D6B94" w14:textId="77777777" w:rsidR="00CE4E2A" w:rsidRPr="00CE4E2A" w:rsidRDefault="00CE4E2A" w:rsidP="00CE4E2A">
            <w:pPr>
              <w:rPr>
                <w:rFonts w:ascii="Aptos Narrow" w:hAnsi="Aptos Narrow"/>
                <w:color w:val="000000"/>
              </w:rPr>
            </w:pPr>
            <w:r w:rsidRPr="00CE4E2A">
              <w:rPr>
                <w:rFonts w:ascii="Aptos Narrow" w:hAnsi="Aptos Narrow"/>
                <w:color w:val="000000"/>
              </w:rPr>
              <w:t>KMZ</w:t>
            </w:r>
          </w:p>
        </w:tc>
        <w:tc>
          <w:tcPr>
            <w:tcW w:w="3118" w:type="dxa"/>
            <w:tcBorders>
              <w:top w:val="nil"/>
              <w:left w:val="nil"/>
              <w:bottom w:val="single" w:sz="4" w:space="0" w:color="auto"/>
              <w:right w:val="single" w:sz="4" w:space="0" w:color="auto"/>
            </w:tcBorders>
            <w:shd w:val="clear" w:color="auto" w:fill="FFFFFF" w:themeFill="background1"/>
            <w:noWrap/>
            <w:vAlign w:val="center"/>
            <w:hideMark/>
          </w:tcPr>
          <w:p w14:paraId="60C4EEC5"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0</w:t>
            </w:r>
          </w:p>
        </w:tc>
        <w:tc>
          <w:tcPr>
            <w:tcW w:w="3118" w:type="dxa"/>
            <w:tcBorders>
              <w:top w:val="nil"/>
              <w:left w:val="nil"/>
              <w:bottom w:val="single" w:sz="4" w:space="0" w:color="auto"/>
              <w:right w:val="single" w:sz="4" w:space="0" w:color="auto"/>
            </w:tcBorders>
            <w:noWrap/>
            <w:vAlign w:val="center"/>
            <w:hideMark/>
          </w:tcPr>
          <w:p w14:paraId="7E08EBE1" w14:textId="77777777" w:rsidR="00CE4E2A" w:rsidRPr="00CE4E2A" w:rsidRDefault="00CE4E2A" w:rsidP="00CE4E2A">
            <w:pPr>
              <w:jc w:val="right"/>
              <w:rPr>
                <w:rFonts w:ascii="Aptos Narrow" w:hAnsi="Aptos Narrow"/>
                <w:color w:val="000000"/>
              </w:rPr>
            </w:pPr>
            <w:r w:rsidRPr="00CE4E2A">
              <w:rPr>
                <w:rFonts w:ascii="Aptos Narrow" w:hAnsi="Aptos Narrow"/>
                <w:color w:val="000000"/>
              </w:rPr>
              <w:t>0,00</w:t>
            </w:r>
          </w:p>
        </w:tc>
      </w:tr>
      <w:tr w:rsidR="00CE4E2A" w:rsidRPr="00CE4E2A" w14:paraId="54C84E38" w14:textId="77777777" w:rsidTr="00ED4DC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B6DFABB" w14:textId="77777777" w:rsidR="00CE4E2A" w:rsidRPr="00CE4E2A" w:rsidRDefault="00CE4E2A" w:rsidP="00CE4E2A">
            <w:pPr>
              <w:rPr>
                <w:rFonts w:ascii="Aptos Narrow" w:hAnsi="Aptos Narrow"/>
                <w:b/>
                <w:bCs/>
                <w:color w:val="000000"/>
              </w:rPr>
            </w:pPr>
            <w:r w:rsidRPr="00CE4E2A">
              <w:rPr>
                <w:rFonts w:ascii="Aptos Narrow" w:hAnsi="Aptos Narrow"/>
                <w:b/>
                <w:bCs/>
                <w:color w:val="000000"/>
              </w:rPr>
              <w:t>Celkem</w:t>
            </w:r>
          </w:p>
        </w:tc>
        <w:tc>
          <w:tcPr>
            <w:tcW w:w="3118" w:type="dxa"/>
            <w:tcBorders>
              <w:top w:val="nil"/>
              <w:left w:val="nil"/>
              <w:bottom w:val="single" w:sz="4" w:space="0" w:color="auto"/>
              <w:right w:val="single" w:sz="4" w:space="0" w:color="auto"/>
            </w:tcBorders>
            <w:noWrap/>
            <w:vAlign w:val="center"/>
            <w:hideMark/>
          </w:tcPr>
          <w:p w14:paraId="5538A376" w14:textId="77777777" w:rsidR="00CE4E2A" w:rsidRPr="00CE4E2A" w:rsidRDefault="00CE4E2A" w:rsidP="00CE4E2A">
            <w:pPr>
              <w:jc w:val="right"/>
              <w:rPr>
                <w:rFonts w:ascii="Aptos Narrow" w:hAnsi="Aptos Narrow"/>
                <w:b/>
                <w:bCs/>
                <w:color w:val="000000"/>
              </w:rPr>
            </w:pPr>
            <w:r w:rsidRPr="00CE4E2A">
              <w:rPr>
                <w:rFonts w:ascii="Aptos Narrow" w:hAnsi="Aptos Narrow"/>
                <w:b/>
                <w:bCs/>
                <w:color w:val="000000"/>
              </w:rPr>
              <w:t>167 434</w:t>
            </w:r>
          </w:p>
        </w:tc>
        <w:tc>
          <w:tcPr>
            <w:tcW w:w="3118" w:type="dxa"/>
            <w:tcBorders>
              <w:top w:val="nil"/>
              <w:left w:val="nil"/>
              <w:bottom w:val="single" w:sz="4" w:space="0" w:color="auto"/>
              <w:right w:val="single" w:sz="4" w:space="0" w:color="auto"/>
            </w:tcBorders>
            <w:noWrap/>
            <w:vAlign w:val="center"/>
            <w:hideMark/>
          </w:tcPr>
          <w:p w14:paraId="78E3C34D" w14:textId="77777777" w:rsidR="00CE4E2A" w:rsidRPr="00CE4E2A" w:rsidRDefault="00CE4E2A" w:rsidP="00CE4E2A">
            <w:pPr>
              <w:jc w:val="right"/>
              <w:rPr>
                <w:rFonts w:ascii="Aptos Narrow" w:hAnsi="Aptos Narrow"/>
                <w:b/>
                <w:bCs/>
                <w:color w:val="000000"/>
              </w:rPr>
            </w:pPr>
            <w:r w:rsidRPr="00CE4E2A">
              <w:rPr>
                <w:rFonts w:ascii="Aptos Narrow" w:hAnsi="Aptos Narrow"/>
                <w:b/>
                <w:bCs/>
                <w:color w:val="000000"/>
              </w:rPr>
              <w:t>100,00</w:t>
            </w:r>
          </w:p>
        </w:tc>
      </w:tr>
    </w:tbl>
    <w:p w14:paraId="0D521437" w14:textId="77777777" w:rsidR="005B2A18" w:rsidRDefault="005B2A18" w:rsidP="005B2A18">
      <w:pPr>
        <w:pStyle w:val="RozpocetOdstavec"/>
      </w:pPr>
    </w:p>
    <w:p w14:paraId="46EBF6F7" w14:textId="77777777" w:rsidR="00B708E1" w:rsidRDefault="006B684F" w:rsidP="00B708E1">
      <w:pPr>
        <w:pStyle w:val="RozpoetNadpis3"/>
      </w:pPr>
      <w:bookmarkStart w:id="15" w:name="_Toc228824327"/>
      <w:r>
        <w:t>Indikátor p</w:t>
      </w:r>
      <w:r w:rsidR="00B708E1">
        <w:t>ublikace</w:t>
      </w:r>
      <w:bookmarkEnd w:id="15"/>
    </w:p>
    <w:p w14:paraId="488F9D84" w14:textId="77777777" w:rsidR="00860416" w:rsidRPr="000A20AA" w:rsidRDefault="00860416" w:rsidP="00860416">
      <w:pPr>
        <w:pStyle w:val="RozpocetOdstavec"/>
      </w:pPr>
      <w:bookmarkStart w:id="16" w:name="_Hlk218065684"/>
      <w:r w:rsidRPr="000A20AA">
        <w:t>Indikátor Publikace představuje podíl součásti na publikacích v časopisech na výsledcích UTB. Pro účely výpočtu jsou zohledňováni pouze interní autoři UTB, přičemž součet podílů na daném publikačním výstupu je roven jedné. Pokud má interní autor uvedenu afiliaci k více organizačním jednotkám UTB, bude podíl interního autora rozdělen mezi uvedené součásti rovnoměrně. Afiliace autorů jsou brány z plných textů dokumentů. Pouze v případě, že z plného textu nelze afiliaci přesně vyčíst, je přihlíženo k údajům uvedeným v OBD.</w:t>
      </w:r>
    </w:p>
    <w:p w14:paraId="489A9D01" w14:textId="77777777" w:rsidR="00860416" w:rsidRPr="000A20AA" w:rsidRDefault="00860416" w:rsidP="00860416">
      <w:pPr>
        <w:pStyle w:val="RozpocetOdstavec"/>
      </w:pPr>
    </w:p>
    <w:p w14:paraId="6E861736" w14:textId="77777777" w:rsidR="00860416" w:rsidRPr="000A20AA" w:rsidRDefault="00860416" w:rsidP="00860416">
      <w:pPr>
        <w:pStyle w:val="RozpocetOdstavec"/>
      </w:pPr>
      <w:r w:rsidRPr="000A20AA">
        <w:t>Východiskem je počet publikací v impaktovaných časopisech (J</w:t>
      </w:r>
      <w:r w:rsidRPr="000A20AA">
        <w:rPr>
          <w:vertAlign w:val="subscript"/>
        </w:rPr>
        <w:t>imp</w:t>
      </w:r>
      <w:r w:rsidRPr="000A20AA">
        <w:t>) v letech 2020–2024 rozdělených do decilů (D) a kvartilů (Q) podle kvality zdrojového časopisu podle Article Influence Score v sloučených kategoriích FORD. Je-li článek J</w:t>
      </w:r>
      <w:r w:rsidRPr="000A20AA">
        <w:rPr>
          <w:vertAlign w:val="subscript"/>
        </w:rPr>
        <w:t>imp</w:t>
      </w:r>
      <w:r w:rsidRPr="000A20AA">
        <w:t xml:space="preserve"> resp. zdrojový časopis zařazen do více kategorií FORD, je přiřazen automaticky do kategorie, ve které dosahuje nejlepšího umístění. U těchto publikací bude nově připočítán pouze rok 2024, a to podle Article Influence Score edice 2024. Publikace zahrnuté za roky 2020 až 2021 jsou rozřazeny do kvartilů dle Article Influence Score 2021, publikace za rok 2022 jsou zařazeny dle Score 2022, publikace za rok 2023 jsou zařazeny dle Score 2023 a jejich hodnoty jsou tak shodné, jako byly použity pro výpočty na rok 2024. Započteny budou výstupy v D1, Q1, Q2, Q3 s váhami 10:4:2:1.</w:t>
      </w:r>
    </w:p>
    <w:p w14:paraId="29356961" w14:textId="77777777" w:rsidR="00860416" w:rsidRPr="000A20AA" w:rsidRDefault="00860416" w:rsidP="00860416">
      <w:pPr>
        <w:pStyle w:val="RozpocetOdstavec"/>
      </w:pPr>
    </w:p>
    <w:p w14:paraId="01188456" w14:textId="77777777" w:rsidR="00860416" w:rsidRPr="000A20AA" w:rsidRDefault="00860416" w:rsidP="00860416">
      <w:pPr>
        <w:pStyle w:val="RozpocetOdstavec"/>
      </w:pPr>
      <w:r w:rsidRPr="000A20AA">
        <w:t>U výsledků z FORD 5 (Social Sciences) a 6 (Humanities and the Arts) probíhá výpočet analogicky z dokumentů indexovaných v databázi Scopus (J</w:t>
      </w:r>
      <w:r w:rsidRPr="000A20AA">
        <w:rPr>
          <w:vertAlign w:val="subscript"/>
        </w:rPr>
        <w:t>Sc</w:t>
      </w:r>
      <w:r w:rsidRPr="000A20AA">
        <w:t>) s určením kvality zdrojového časopisu dle indikátoru SJR. Nezapočítávají se žádné záznamy, které jsou součástí databáze Web of Science (J</w:t>
      </w:r>
      <w:r w:rsidRPr="000A20AA">
        <w:rPr>
          <w:vertAlign w:val="subscript"/>
        </w:rPr>
        <w:t>imp</w:t>
      </w:r>
      <w:r w:rsidRPr="000A20AA">
        <w:t>). Započteny budou výstupy v D1, Q1, Q2, Q3 s váhami 5:2:1:0,5, přičemž výsledky výpočtu budou sníženy o 25 % ve srovnání s rokem 2025.</w:t>
      </w:r>
    </w:p>
    <w:p w14:paraId="24997F68" w14:textId="77777777" w:rsidR="00860416" w:rsidRPr="000A20AA" w:rsidRDefault="00860416" w:rsidP="00860416">
      <w:pPr>
        <w:pStyle w:val="RozpocetOdstavec"/>
      </w:pPr>
      <w:r w:rsidRPr="000A20AA">
        <w:t>Do výsledků vstupují pouze publikace s rokem uplatnění 2022–2024 (publikace z roku 2024 jsou hodnoceny podle indikátoru SJR edice 2024, záznamy z let dřívějších dle SJR edice 2021 resp. 2023), jejichž zdrojové časopisy jsou zařazeny v kategoriích FORD 5 a 6 odpovídajících profilaci studijních programů příslušných fakult:</w:t>
      </w:r>
    </w:p>
    <w:p w14:paraId="2FB97A0C" w14:textId="77777777" w:rsidR="00860416" w:rsidRPr="000A20AA" w:rsidRDefault="00860416" w:rsidP="00860416">
      <w:pPr>
        <w:pStyle w:val="Odstavecseseznamem"/>
        <w:numPr>
          <w:ilvl w:val="0"/>
          <w:numId w:val="23"/>
        </w:numPr>
      </w:pPr>
      <w:r w:rsidRPr="000A20AA">
        <w:t>FaME: 5.2 a 5.9,</w:t>
      </w:r>
    </w:p>
    <w:p w14:paraId="798BE55A" w14:textId="77777777" w:rsidR="00860416" w:rsidRPr="000A20AA" w:rsidRDefault="00860416" w:rsidP="00860416">
      <w:pPr>
        <w:pStyle w:val="Odstavecseseznamem"/>
        <w:numPr>
          <w:ilvl w:val="0"/>
          <w:numId w:val="23"/>
        </w:numPr>
      </w:pPr>
      <w:r w:rsidRPr="000A20AA">
        <w:t>FMK: 5.2, 5.8, 6.4 a 6.5,</w:t>
      </w:r>
    </w:p>
    <w:p w14:paraId="06EA9EBA" w14:textId="77777777" w:rsidR="00860416" w:rsidRPr="000A20AA" w:rsidRDefault="00860416" w:rsidP="00860416">
      <w:pPr>
        <w:pStyle w:val="Odstavecseseznamem"/>
        <w:numPr>
          <w:ilvl w:val="0"/>
          <w:numId w:val="23"/>
        </w:numPr>
      </w:pPr>
      <w:r w:rsidRPr="000A20AA">
        <w:t>FHS: 5.1, 5.3, 5.4, 5.8, 5.9, 6.2 a 6.5,</w:t>
      </w:r>
    </w:p>
    <w:p w14:paraId="71D80C86" w14:textId="77777777" w:rsidR="00860416" w:rsidRPr="000A20AA" w:rsidRDefault="00860416" w:rsidP="00860416">
      <w:pPr>
        <w:pStyle w:val="Odstavecseseznamem"/>
        <w:numPr>
          <w:ilvl w:val="0"/>
          <w:numId w:val="23"/>
        </w:numPr>
      </w:pPr>
      <w:r w:rsidRPr="000A20AA">
        <w:t>FLKŘ: 5.2, 5.7 a5.9,</w:t>
      </w:r>
    </w:p>
    <w:p w14:paraId="08657169" w14:textId="77777777" w:rsidR="00860416" w:rsidRPr="000A20AA" w:rsidRDefault="00860416" w:rsidP="00860416">
      <w:pPr>
        <w:pStyle w:val="Odstavecseseznamem"/>
        <w:numPr>
          <w:ilvl w:val="0"/>
          <w:numId w:val="23"/>
        </w:numPr>
      </w:pPr>
      <w:r w:rsidRPr="000A20AA">
        <w:t>FAI: 5.3 a 5.8.</w:t>
      </w:r>
    </w:p>
    <w:p w14:paraId="2E712F98" w14:textId="77777777" w:rsidR="002A7964" w:rsidRDefault="002A7964" w:rsidP="002A7964">
      <w:pPr>
        <w:rPr>
          <w:color w:val="00B050"/>
        </w:rPr>
      </w:pPr>
    </w:p>
    <w:tbl>
      <w:tblPr>
        <w:tblW w:w="9323" w:type="dxa"/>
        <w:tblLook w:val="04A0" w:firstRow="1" w:lastRow="0" w:firstColumn="1" w:lastColumn="0" w:noHBand="0" w:noVBand="1"/>
      </w:tblPr>
      <w:tblGrid>
        <w:gridCol w:w="1025"/>
        <w:gridCol w:w="721"/>
        <w:gridCol w:w="833"/>
        <w:gridCol w:w="833"/>
        <w:gridCol w:w="833"/>
        <w:gridCol w:w="680"/>
        <w:gridCol w:w="721"/>
        <w:gridCol w:w="721"/>
        <w:gridCol w:w="721"/>
        <w:gridCol w:w="1120"/>
        <w:gridCol w:w="1120"/>
      </w:tblGrid>
      <w:tr w:rsidR="002A7964" w:rsidRPr="002A7964" w14:paraId="5A9DFBAD" w14:textId="77777777" w:rsidTr="002A7964">
        <w:trPr>
          <w:trHeight w:val="320"/>
        </w:trPr>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74A51A" w14:textId="78A159AC" w:rsidR="002A7964" w:rsidRPr="002A7964" w:rsidRDefault="002A7964" w:rsidP="002A7964">
            <w:pPr>
              <w:jc w:val="center"/>
              <w:rPr>
                <w:rFonts w:ascii="Aptos Narrow" w:hAnsi="Aptos Narrow"/>
                <w:b/>
                <w:bCs/>
                <w:color w:val="000000"/>
              </w:rPr>
            </w:pPr>
            <w:r>
              <w:rPr>
                <w:rFonts w:ascii="Aptos Narrow" w:hAnsi="Aptos Narrow"/>
                <w:b/>
                <w:bCs/>
                <w:color w:val="000000"/>
              </w:rPr>
              <w:t>Součást</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EE96A9"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D1 Jimp</w:t>
            </w:r>
          </w:p>
        </w:tc>
        <w:tc>
          <w:tcPr>
            <w:tcW w:w="8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169E6B"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Q1 Jimp</w:t>
            </w:r>
          </w:p>
        </w:tc>
        <w:tc>
          <w:tcPr>
            <w:tcW w:w="8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C86496"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Q2 Jimp</w:t>
            </w:r>
          </w:p>
        </w:tc>
        <w:tc>
          <w:tcPr>
            <w:tcW w:w="83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C78FAE"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Q3 Jimp</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DFE118"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D1 Jsc</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CB6296"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Q1 Jsc</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91DA8C"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Q2 Jsc</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7A26B2"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Q3 Jsc</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2B3B7B"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Publikace</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9595BB" w14:textId="77777777" w:rsidR="002A7964" w:rsidRPr="002A7964" w:rsidRDefault="002A7964" w:rsidP="002A7964">
            <w:pPr>
              <w:jc w:val="center"/>
              <w:rPr>
                <w:rFonts w:ascii="Aptos Narrow" w:hAnsi="Aptos Narrow"/>
                <w:b/>
                <w:bCs/>
                <w:color w:val="000000"/>
                <w:sz w:val="22"/>
                <w:szCs w:val="22"/>
              </w:rPr>
            </w:pPr>
            <w:r w:rsidRPr="002A7964">
              <w:rPr>
                <w:rFonts w:ascii="Aptos Narrow" w:hAnsi="Aptos Narrow"/>
                <w:b/>
                <w:bCs/>
                <w:color w:val="000000"/>
                <w:sz w:val="22"/>
                <w:szCs w:val="22"/>
              </w:rPr>
              <w:t>Publikace v %</w:t>
            </w:r>
          </w:p>
        </w:tc>
      </w:tr>
      <w:tr w:rsidR="002A7964" w:rsidRPr="002A7964" w14:paraId="794D882A"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79CD0664"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FT</w:t>
            </w:r>
          </w:p>
        </w:tc>
        <w:tc>
          <w:tcPr>
            <w:tcW w:w="721" w:type="dxa"/>
            <w:tcBorders>
              <w:top w:val="nil"/>
              <w:left w:val="nil"/>
              <w:bottom w:val="single" w:sz="4" w:space="0" w:color="auto"/>
              <w:right w:val="single" w:sz="4" w:space="0" w:color="auto"/>
            </w:tcBorders>
            <w:noWrap/>
            <w:vAlign w:val="center"/>
            <w:hideMark/>
          </w:tcPr>
          <w:p w14:paraId="497B35C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8,54</w:t>
            </w:r>
          </w:p>
        </w:tc>
        <w:tc>
          <w:tcPr>
            <w:tcW w:w="833" w:type="dxa"/>
            <w:tcBorders>
              <w:top w:val="nil"/>
              <w:left w:val="nil"/>
              <w:bottom w:val="single" w:sz="4" w:space="0" w:color="auto"/>
              <w:right w:val="single" w:sz="4" w:space="0" w:color="auto"/>
            </w:tcBorders>
            <w:noWrap/>
            <w:vAlign w:val="center"/>
            <w:hideMark/>
          </w:tcPr>
          <w:p w14:paraId="16CAA1C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101,66</w:t>
            </w:r>
          </w:p>
        </w:tc>
        <w:tc>
          <w:tcPr>
            <w:tcW w:w="833" w:type="dxa"/>
            <w:tcBorders>
              <w:top w:val="nil"/>
              <w:left w:val="nil"/>
              <w:bottom w:val="single" w:sz="4" w:space="0" w:color="auto"/>
              <w:right w:val="single" w:sz="4" w:space="0" w:color="auto"/>
            </w:tcBorders>
            <w:noWrap/>
            <w:vAlign w:val="center"/>
            <w:hideMark/>
          </w:tcPr>
          <w:p w14:paraId="76AC451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214,87</w:t>
            </w:r>
          </w:p>
        </w:tc>
        <w:tc>
          <w:tcPr>
            <w:tcW w:w="833" w:type="dxa"/>
            <w:tcBorders>
              <w:top w:val="nil"/>
              <w:left w:val="nil"/>
              <w:bottom w:val="single" w:sz="4" w:space="0" w:color="auto"/>
              <w:right w:val="single" w:sz="4" w:space="0" w:color="auto"/>
            </w:tcBorders>
            <w:noWrap/>
            <w:vAlign w:val="center"/>
            <w:hideMark/>
          </w:tcPr>
          <w:p w14:paraId="49E4B89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43,07</w:t>
            </w:r>
          </w:p>
        </w:tc>
        <w:tc>
          <w:tcPr>
            <w:tcW w:w="680" w:type="dxa"/>
            <w:tcBorders>
              <w:top w:val="nil"/>
              <w:left w:val="nil"/>
              <w:bottom w:val="single" w:sz="4" w:space="0" w:color="auto"/>
              <w:right w:val="single" w:sz="4" w:space="0" w:color="auto"/>
            </w:tcBorders>
            <w:noWrap/>
            <w:vAlign w:val="center"/>
            <w:hideMark/>
          </w:tcPr>
          <w:p w14:paraId="6689415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3A9D201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38E5F37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68BB056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69CA6DE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964,86</w:t>
            </w:r>
          </w:p>
        </w:tc>
        <w:tc>
          <w:tcPr>
            <w:tcW w:w="1120" w:type="dxa"/>
            <w:tcBorders>
              <w:top w:val="nil"/>
              <w:left w:val="nil"/>
              <w:bottom w:val="single" w:sz="4" w:space="0" w:color="auto"/>
              <w:right w:val="single" w:sz="4" w:space="0" w:color="auto"/>
            </w:tcBorders>
            <w:noWrap/>
            <w:vAlign w:val="center"/>
            <w:hideMark/>
          </w:tcPr>
          <w:p w14:paraId="15E7D11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27,63</w:t>
            </w:r>
          </w:p>
        </w:tc>
      </w:tr>
      <w:tr w:rsidR="002A7964" w:rsidRPr="002A7964" w14:paraId="2F35D4CC"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2E6DBC87"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FLKŘ</w:t>
            </w:r>
          </w:p>
        </w:tc>
        <w:tc>
          <w:tcPr>
            <w:tcW w:w="721" w:type="dxa"/>
            <w:tcBorders>
              <w:top w:val="nil"/>
              <w:left w:val="nil"/>
              <w:bottom w:val="single" w:sz="4" w:space="0" w:color="auto"/>
              <w:right w:val="single" w:sz="4" w:space="0" w:color="auto"/>
            </w:tcBorders>
            <w:noWrap/>
            <w:vAlign w:val="center"/>
            <w:hideMark/>
          </w:tcPr>
          <w:p w14:paraId="42E657E4"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1,50</w:t>
            </w:r>
          </w:p>
        </w:tc>
        <w:tc>
          <w:tcPr>
            <w:tcW w:w="833" w:type="dxa"/>
            <w:tcBorders>
              <w:top w:val="nil"/>
              <w:left w:val="nil"/>
              <w:bottom w:val="single" w:sz="4" w:space="0" w:color="auto"/>
              <w:right w:val="single" w:sz="4" w:space="0" w:color="auto"/>
            </w:tcBorders>
            <w:noWrap/>
            <w:vAlign w:val="center"/>
            <w:hideMark/>
          </w:tcPr>
          <w:p w14:paraId="19C69F4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3,83</w:t>
            </w:r>
          </w:p>
        </w:tc>
        <w:tc>
          <w:tcPr>
            <w:tcW w:w="833" w:type="dxa"/>
            <w:tcBorders>
              <w:top w:val="nil"/>
              <w:left w:val="nil"/>
              <w:bottom w:val="single" w:sz="4" w:space="0" w:color="auto"/>
              <w:right w:val="single" w:sz="4" w:space="0" w:color="auto"/>
            </w:tcBorders>
            <w:noWrap/>
            <w:vAlign w:val="center"/>
            <w:hideMark/>
          </w:tcPr>
          <w:p w14:paraId="73D9D57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8,65</w:t>
            </w:r>
          </w:p>
        </w:tc>
        <w:tc>
          <w:tcPr>
            <w:tcW w:w="833" w:type="dxa"/>
            <w:tcBorders>
              <w:top w:val="nil"/>
              <w:left w:val="nil"/>
              <w:bottom w:val="single" w:sz="4" w:space="0" w:color="auto"/>
              <w:right w:val="single" w:sz="4" w:space="0" w:color="auto"/>
            </w:tcBorders>
            <w:noWrap/>
            <w:vAlign w:val="center"/>
            <w:hideMark/>
          </w:tcPr>
          <w:p w14:paraId="06DE17B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8,59</w:t>
            </w:r>
          </w:p>
        </w:tc>
        <w:tc>
          <w:tcPr>
            <w:tcW w:w="680" w:type="dxa"/>
            <w:tcBorders>
              <w:top w:val="nil"/>
              <w:left w:val="nil"/>
              <w:bottom w:val="single" w:sz="4" w:space="0" w:color="auto"/>
              <w:right w:val="single" w:sz="4" w:space="0" w:color="auto"/>
            </w:tcBorders>
            <w:noWrap/>
            <w:vAlign w:val="center"/>
            <w:hideMark/>
          </w:tcPr>
          <w:p w14:paraId="113F60E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776417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EBA0BC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4,75</w:t>
            </w:r>
          </w:p>
        </w:tc>
        <w:tc>
          <w:tcPr>
            <w:tcW w:w="721" w:type="dxa"/>
            <w:tcBorders>
              <w:top w:val="nil"/>
              <w:left w:val="nil"/>
              <w:bottom w:val="single" w:sz="4" w:space="0" w:color="auto"/>
              <w:right w:val="single" w:sz="4" w:space="0" w:color="auto"/>
            </w:tcBorders>
            <w:noWrap/>
            <w:vAlign w:val="center"/>
            <w:hideMark/>
          </w:tcPr>
          <w:p w14:paraId="6262CF2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4,00</w:t>
            </w:r>
          </w:p>
        </w:tc>
        <w:tc>
          <w:tcPr>
            <w:tcW w:w="1120" w:type="dxa"/>
            <w:tcBorders>
              <w:top w:val="nil"/>
              <w:left w:val="nil"/>
              <w:bottom w:val="single" w:sz="4" w:space="0" w:color="auto"/>
              <w:right w:val="single" w:sz="4" w:space="0" w:color="auto"/>
            </w:tcBorders>
            <w:noWrap/>
            <w:vAlign w:val="center"/>
            <w:hideMark/>
          </w:tcPr>
          <w:p w14:paraId="03B2AAD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61,29</w:t>
            </w:r>
          </w:p>
        </w:tc>
        <w:tc>
          <w:tcPr>
            <w:tcW w:w="1120" w:type="dxa"/>
            <w:tcBorders>
              <w:top w:val="nil"/>
              <w:left w:val="nil"/>
              <w:bottom w:val="single" w:sz="4" w:space="0" w:color="auto"/>
              <w:right w:val="single" w:sz="4" w:space="0" w:color="auto"/>
            </w:tcBorders>
            <w:noWrap/>
            <w:vAlign w:val="center"/>
            <w:hideMark/>
          </w:tcPr>
          <w:p w14:paraId="784FF9F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1,76</w:t>
            </w:r>
          </w:p>
        </w:tc>
      </w:tr>
      <w:tr w:rsidR="002A7964" w:rsidRPr="002A7964" w14:paraId="2427DF24"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3F315C05"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FAI</w:t>
            </w:r>
          </w:p>
        </w:tc>
        <w:tc>
          <w:tcPr>
            <w:tcW w:w="721" w:type="dxa"/>
            <w:tcBorders>
              <w:top w:val="nil"/>
              <w:left w:val="nil"/>
              <w:bottom w:val="single" w:sz="4" w:space="0" w:color="auto"/>
              <w:right w:val="single" w:sz="4" w:space="0" w:color="auto"/>
            </w:tcBorders>
            <w:noWrap/>
            <w:vAlign w:val="center"/>
            <w:hideMark/>
          </w:tcPr>
          <w:p w14:paraId="63A3F15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14,17</w:t>
            </w:r>
          </w:p>
        </w:tc>
        <w:tc>
          <w:tcPr>
            <w:tcW w:w="833" w:type="dxa"/>
            <w:tcBorders>
              <w:top w:val="nil"/>
              <w:left w:val="nil"/>
              <w:bottom w:val="single" w:sz="4" w:space="0" w:color="auto"/>
              <w:right w:val="single" w:sz="4" w:space="0" w:color="auto"/>
            </w:tcBorders>
            <w:noWrap/>
            <w:vAlign w:val="center"/>
            <w:hideMark/>
          </w:tcPr>
          <w:p w14:paraId="236ED2C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27,96</w:t>
            </w:r>
          </w:p>
        </w:tc>
        <w:tc>
          <w:tcPr>
            <w:tcW w:w="833" w:type="dxa"/>
            <w:tcBorders>
              <w:top w:val="nil"/>
              <w:left w:val="nil"/>
              <w:bottom w:val="single" w:sz="4" w:space="0" w:color="auto"/>
              <w:right w:val="single" w:sz="4" w:space="0" w:color="auto"/>
            </w:tcBorders>
            <w:noWrap/>
            <w:vAlign w:val="center"/>
            <w:hideMark/>
          </w:tcPr>
          <w:p w14:paraId="6D97ED6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60,04</w:t>
            </w:r>
          </w:p>
        </w:tc>
        <w:tc>
          <w:tcPr>
            <w:tcW w:w="833" w:type="dxa"/>
            <w:tcBorders>
              <w:top w:val="nil"/>
              <w:left w:val="nil"/>
              <w:bottom w:val="single" w:sz="4" w:space="0" w:color="auto"/>
              <w:right w:val="single" w:sz="4" w:space="0" w:color="auto"/>
            </w:tcBorders>
            <w:noWrap/>
            <w:vAlign w:val="center"/>
            <w:hideMark/>
          </w:tcPr>
          <w:p w14:paraId="787BB0E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32,87</w:t>
            </w:r>
          </w:p>
        </w:tc>
        <w:tc>
          <w:tcPr>
            <w:tcW w:w="680" w:type="dxa"/>
            <w:tcBorders>
              <w:top w:val="nil"/>
              <w:left w:val="nil"/>
              <w:bottom w:val="single" w:sz="4" w:space="0" w:color="auto"/>
              <w:right w:val="single" w:sz="4" w:space="0" w:color="auto"/>
            </w:tcBorders>
            <w:noWrap/>
            <w:vAlign w:val="center"/>
            <w:hideMark/>
          </w:tcPr>
          <w:p w14:paraId="3C3F87E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6C4E9DD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F09F58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721" w:type="dxa"/>
            <w:tcBorders>
              <w:top w:val="nil"/>
              <w:left w:val="nil"/>
              <w:bottom w:val="single" w:sz="4" w:space="0" w:color="auto"/>
              <w:right w:val="single" w:sz="4" w:space="0" w:color="auto"/>
            </w:tcBorders>
            <w:noWrap/>
            <w:vAlign w:val="center"/>
            <w:hideMark/>
          </w:tcPr>
          <w:p w14:paraId="5C1E281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1120" w:type="dxa"/>
            <w:tcBorders>
              <w:top w:val="nil"/>
              <w:left w:val="nil"/>
              <w:bottom w:val="single" w:sz="4" w:space="0" w:color="auto"/>
              <w:right w:val="single" w:sz="4" w:space="0" w:color="auto"/>
            </w:tcBorders>
            <w:noWrap/>
            <w:vAlign w:val="center"/>
            <w:hideMark/>
          </w:tcPr>
          <w:p w14:paraId="0BF5F77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407,57</w:t>
            </w:r>
          </w:p>
        </w:tc>
        <w:tc>
          <w:tcPr>
            <w:tcW w:w="1120" w:type="dxa"/>
            <w:tcBorders>
              <w:top w:val="nil"/>
              <w:left w:val="nil"/>
              <w:bottom w:val="single" w:sz="4" w:space="0" w:color="auto"/>
              <w:right w:val="single" w:sz="4" w:space="0" w:color="auto"/>
            </w:tcBorders>
            <w:noWrap/>
            <w:vAlign w:val="center"/>
            <w:hideMark/>
          </w:tcPr>
          <w:p w14:paraId="76227D2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11,67</w:t>
            </w:r>
          </w:p>
        </w:tc>
      </w:tr>
      <w:tr w:rsidR="002A7964" w:rsidRPr="002A7964" w14:paraId="77A43379"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28A834BB"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FMK</w:t>
            </w:r>
          </w:p>
        </w:tc>
        <w:tc>
          <w:tcPr>
            <w:tcW w:w="721" w:type="dxa"/>
            <w:tcBorders>
              <w:top w:val="nil"/>
              <w:left w:val="nil"/>
              <w:bottom w:val="single" w:sz="4" w:space="0" w:color="auto"/>
              <w:right w:val="single" w:sz="4" w:space="0" w:color="auto"/>
            </w:tcBorders>
            <w:noWrap/>
            <w:vAlign w:val="center"/>
            <w:hideMark/>
          </w:tcPr>
          <w:p w14:paraId="57FBBCC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6F8700A0"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833" w:type="dxa"/>
            <w:tcBorders>
              <w:top w:val="nil"/>
              <w:left w:val="nil"/>
              <w:bottom w:val="single" w:sz="4" w:space="0" w:color="auto"/>
              <w:right w:val="single" w:sz="4" w:space="0" w:color="auto"/>
            </w:tcBorders>
            <w:noWrap/>
            <w:vAlign w:val="center"/>
            <w:hideMark/>
          </w:tcPr>
          <w:p w14:paraId="292FF98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2,25</w:t>
            </w:r>
          </w:p>
        </w:tc>
        <w:tc>
          <w:tcPr>
            <w:tcW w:w="833" w:type="dxa"/>
            <w:tcBorders>
              <w:top w:val="nil"/>
              <w:left w:val="nil"/>
              <w:bottom w:val="single" w:sz="4" w:space="0" w:color="auto"/>
              <w:right w:val="single" w:sz="4" w:space="0" w:color="auto"/>
            </w:tcBorders>
            <w:noWrap/>
            <w:vAlign w:val="center"/>
            <w:hideMark/>
          </w:tcPr>
          <w:p w14:paraId="30839B9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2,00</w:t>
            </w:r>
          </w:p>
        </w:tc>
        <w:tc>
          <w:tcPr>
            <w:tcW w:w="680" w:type="dxa"/>
            <w:tcBorders>
              <w:top w:val="nil"/>
              <w:left w:val="nil"/>
              <w:bottom w:val="single" w:sz="4" w:space="0" w:color="auto"/>
              <w:right w:val="single" w:sz="4" w:space="0" w:color="auto"/>
            </w:tcBorders>
            <w:noWrap/>
            <w:vAlign w:val="center"/>
            <w:hideMark/>
          </w:tcPr>
          <w:p w14:paraId="43F5900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3EA34D0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w:t>
            </w:r>
          </w:p>
        </w:tc>
        <w:tc>
          <w:tcPr>
            <w:tcW w:w="721" w:type="dxa"/>
            <w:tcBorders>
              <w:top w:val="nil"/>
              <w:left w:val="nil"/>
              <w:bottom w:val="single" w:sz="4" w:space="0" w:color="auto"/>
              <w:right w:val="single" w:sz="4" w:space="0" w:color="auto"/>
            </w:tcBorders>
            <w:noWrap/>
            <w:vAlign w:val="center"/>
            <w:hideMark/>
          </w:tcPr>
          <w:p w14:paraId="19CE383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1,50</w:t>
            </w:r>
          </w:p>
        </w:tc>
        <w:tc>
          <w:tcPr>
            <w:tcW w:w="721" w:type="dxa"/>
            <w:tcBorders>
              <w:top w:val="nil"/>
              <w:left w:val="nil"/>
              <w:bottom w:val="single" w:sz="4" w:space="0" w:color="auto"/>
              <w:right w:val="single" w:sz="4" w:space="0" w:color="auto"/>
            </w:tcBorders>
            <w:noWrap/>
            <w:vAlign w:val="center"/>
            <w:hideMark/>
          </w:tcPr>
          <w:p w14:paraId="174F84C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60A678B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13,13</w:t>
            </w:r>
          </w:p>
        </w:tc>
        <w:tc>
          <w:tcPr>
            <w:tcW w:w="1120" w:type="dxa"/>
            <w:tcBorders>
              <w:top w:val="nil"/>
              <w:left w:val="nil"/>
              <w:bottom w:val="single" w:sz="4" w:space="0" w:color="auto"/>
              <w:right w:val="single" w:sz="4" w:space="0" w:color="auto"/>
            </w:tcBorders>
            <w:noWrap/>
            <w:vAlign w:val="center"/>
            <w:hideMark/>
          </w:tcPr>
          <w:p w14:paraId="6D733424"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0,38</w:t>
            </w:r>
          </w:p>
        </w:tc>
      </w:tr>
      <w:tr w:rsidR="002A7964" w:rsidRPr="002A7964" w14:paraId="0B6CBD9F"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7157A676"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FaME</w:t>
            </w:r>
          </w:p>
        </w:tc>
        <w:tc>
          <w:tcPr>
            <w:tcW w:w="721" w:type="dxa"/>
            <w:tcBorders>
              <w:top w:val="nil"/>
              <w:left w:val="nil"/>
              <w:bottom w:val="single" w:sz="4" w:space="0" w:color="auto"/>
              <w:right w:val="single" w:sz="4" w:space="0" w:color="auto"/>
            </w:tcBorders>
            <w:noWrap/>
            <w:vAlign w:val="center"/>
            <w:hideMark/>
          </w:tcPr>
          <w:p w14:paraId="4A99E04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16,67</w:t>
            </w:r>
          </w:p>
        </w:tc>
        <w:tc>
          <w:tcPr>
            <w:tcW w:w="833" w:type="dxa"/>
            <w:tcBorders>
              <w:top w:val="nil"/>
              <w:left w:val="nil"/>
              <w:bottom w:val="single" w:sz="4" w:space="0" w:color="auto"/>
              <w:right w:val="single" w:sz="4" w:space="0" w:color="auto"/>
            </w:tcBorders>
            <w:noWrap/>
            <w:vAlign w:val="center"/>
            <w:hideMark/>
          </w:tcPr>
          <w:p w14:paraId="0C3E9EF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50,00</w:t>
            </w:r>
          </w:p>
        </w:tc>
        <w:tc>
          <w:tcPr>
            <w:tcW w:w="833" w:type="dxa"/>
            <w:tcBorders>
              <w:top w:val="nil"/>
              <w:left w:val="nil"/>
              <w:bottom w:val="single" w:sz="4" w:space="0" w:color="auto"/>
              <w:right w:val="single" w:sz="4" w:space="0" w:color="auto"/>
            </w:tcBorders>
            <w:noWrap/>
            <w:vAlign w:val="center"/>
            <w:hideMark/>
          </w:tcPr>
          <w:p w14:paraId="596493D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70,00</w:t>
            </w:r>
          </w:p>
        </w:tc>
        <w:tc>
          <w:tcPr>
            <w:tcW w:w="833" w:type="dxa"/>
            <w:tcBorders>
              <w:top w:val="nil"/>
              <w:left w:val="nil"/>
              <w:bottom w:val="single" w:sz="4" w:space="0" w:color="auto"/>
              <w:right w:val="single" w:sz="4" w:space="0" w:color="auto"/>
            </w:tcBorders>
            <w:noWrap/>
            <w:vAlign w:val="center"/>
            <w:hideMark/>
          </w:tcPr>
          <w:p w14:paraId="028958F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69,33</w:t>
            </w:r>
          </w:p>
        </w:tc>
        <w:tc>
          <w:tcPr>
            <w:tcW w:w="680" w:type="dxa"/>
            <w:tcBorders>
              <w:top w:val="nil"/>
              <w:left w:val="nil"/>
              <w:bottom w:val="single" w:sz="4" w:space="0" w:color="auto"/>
              <w:right w:val="single" w:sz="4" w:space="0" w:color="auto"/>
            </w:tcBorders>
            <w:noWrap/>
            <w:vAlign w:val="center"/>
            <w:hideMark/>
          </w:tcPr>
          <w:p w14:paraId="6A276AE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6,00</w:t>
            </w:r>
          </w:p>
        </w:tc>
        <w:tc>
          <w:tcPr>
            <w:tcW w:w="721" w:type="dxa"/>
            <w:tcBorders>
              <w:top w:val="nil"/>
              <w:left w:val="nil"/>
              <w:bottom w:val="single" w:sz="4" w:space="0" w:color="auto"/>
              <w:right w:val="single" w:sz="4" w:space="0" w:color="auto"/>
            </w:tcBorders>
            <w:noWrap/>
            <w:vAlign w:val="center"/>
            <w:hideMark/>
          </w:tcPr>
          <w:p w14:paraId="053CF1F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10,00</w:t>
            </w:r>
          </w:p>
        </w:tc>
        <w:tc>
          <w:tcPr>
            <w:tcW w:w="721" w:type="dxa"/>
            <w:tcBorders>
              <w:top w:val="nil"/>
              <w:left w:val="nil"/>
              <w:bottom w:val="single" w:sz="4" w:space="0" w:color="auto"/>
              <w:right w:val="single" w:sz="4" w:space="0" w:color="auto"/>
            </w:tcBorders>
            <w:noWrap/>
            <w:vAlign w:val="center"/>
            <w:hideMark/>
          </w:tcPr>
          <w:p w14:paraId="0E1B7D9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47,92</w:t>
            </w:r>
          </w:p>
        </w:tc>
        <w:tc>
          <w:tcPr>
            <w:tcW w:w="721" w:type="dxa"/>
            <w:tcBorders>
              <w:top w:val="nil"/>
              <w:left w:val="nil"/>
              <w:bottom w:val="single" w:sz="4" w:space="0" w:color="auto"/>
              <w:right w:val="single" w:sz="4" w:space="0" w:color="auto"/>
            </w:tcBorders>
            <w:noWrap/>
            <w:vAlign w:val="center"/>
            <w:hideMark/>
          </w:tcPr>
          <w:p w14:paraId="4FAE53D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25,00</w:t>
            </w:r>
          </w:p>
        </w:tc>
        <w:tc>
          <w:tcPr>
            <w:tcW w:w="1120" w:type="dxa"/>
            <w:tcBorders>
              <w:top w:val="nil"/>
              <w:left w:val="nil"/>
              <w:bottom w:val="single" w:sz="4" w:space="0" w:color="auto"/>
              <w:right w:val="single" w:sz="4" w:space="0" w:color="auto"/>
            </w:tcBorders>
            <w:noWrap/>
            <w:vAlign w:val="center"/>
            <w:hideMark/>
          </w:tcPr>
          <w:p w14:paraId="6DD413B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658,81</w:t>
            </w:r>
          </w:p>
        </w:tc>
        <w:tc>
          <w:tcPr>
            <w:tcW w:w="1120" w:type="dxa"/>
            <w:tcBorders>
              <w:top w:val="nil"/>
              <w:left w:val="nil"/>
              <w:bottom w:val="single" w:sz="4" w:space="0" w:color="auto"/>
              <w:right w:val="single" w:sz="4" w:space="0" w:color="auto"/>
            </w:tcBorders>
            <w:noWrap/>
            <w:vAlign w:val="center"/>
            <w:hideMark/>
          </w:tcPr>
          <w:p w14:paraId="7C05F3F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18,87</w:t>
            </w:r>
          </w:p>
        </w:tc>
      </w:tr>
      <w:tr w:rsidR="002A7964" w:rsidRPr="002A7964" w14:paraId="1230CB70"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65B3387A"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FHS</w:t>
            </w:r>
          </w:p>
        </w:tc>
        <w:tc>
          <w:tcPr>
            <w:tcW w:w="721" w:type="dxa"/>
            <w:tcBorders>
              <w:top w:val="nil"/>
              <w:left w:val="nil"/>
              <w:bottom w:val="single" w:sz="4" w:space="0" w:color="auto"/>
              <w:right w:val="single" w:sz="4" w:space="0" w:color="auto"/>
            </w:tcBorders>
            <w:noWrap/>
            <w:vAlign w:val="center"/>
            <w:hideMark/>
          </w:tcPr>
          <w:p w14:paraId="278A979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3,20</w:t>
            </w:r>
          </w:p>
        </w:tc>
        <w:tc>
          <w:tcPr>
            <w:tcW w:w="833" w:type="dxa"/>
            <w:tcBorders>
              <w:top w:val="nil"/>
              <w:left w:val="nil"/>
              <w:bottom w:val="single" w:sz="4" w:space="0" w:color="auto"/>
              <w:right w:val="single" w:sz="4" w:space="0" w:color="auto"/>
            </w:tcBorders>
            <w:noWrap/>
            <w:vAlign w:val="center"/>
            <w:hideMark/>
          </w:tcPr>
          <w:p w14:paraId="0AE6F5B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9,68</w:t>
            </w:r>
          </w:p>
        </w:tc>
        <w:tc>
          <w:tcPr>
            <w:tcW w:w="833" w:type="dxa"/>
            <w:tcBorders>
              <w:top w:val="nil"/>
              <w:left w:val="nil"/>
              <w:bottom w:val="single" w:sz="4" w:space="0" w:color="auto"/>
              <w:right w:val="single" w:sz="4" w:space="0" w:color="auto"/>
            </w:tcBorders>
            <w:noWrap/>
            <w:vAlign w:val="center"/>
            <w:hideMark/>
          </w:tcPr>
          <w:p w14:paraId="596E4B1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31,80</w:t>
            </w:r>
          </w:p>
        </w:tc>
        <w:tc>
          <w:tcPr>
            <w:tcW w:w="833" w:type="dxa"/>
            <w:tcBorders>
              <w:top w:val="nil"/>
              <w:left w:val="nil"/>
              <w:bottom w:val="single" w:sz="4" w:space="0" w:color="auto"/>
              <w:right w:val="single" w:sz="4" w:space="0" w:color="auto"/>
            </w:tcBorders>
            <w:noWrap/>
            <w:vAlign w:val="center"/>
            <w:hideMark/>
          </w:tcPr>
          <w:p w14:paraId="7743C61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28,33</w:t>
            </w:r>
          </w:p>
        </w:tc>
        <w:tc>
          <w:tcPr>
            <w:tcW w:w="680" w:type="dxa"/>
            <w:tcBorders>
              <w:top w:val="nil"/>
              <w:left w:val="nil"/>
              <w:bottom w:val="single" w:sz="4" w:space="0" w:color="auto"/>
              <w:right w:val="single" w:sz="4" w:space="0" w:color="auto"/>
            </w:tcBorders>
            <w:noWrap/>
            <w:vAlign w:val="center"/>
            <w:hideMark/>
          </w:tcPr>
          <w:p w14:paraId="7E13292F"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01FDF3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3,00</w:t>
            </w:r>
          </w:p>
        </w:tc>
        <w:tc>
          <w:tcPr>
            <w:tcW w:w="721" w:type="dxa"/>
            <w:tcBorders>
              <w:top w:val="nil"/>
              <w:left w:val="nil"/>
              <w:bottom w:val="single" w:sz="4" w:space="0" w:color="auto"/>
              <w:right w:val="single" w:sz="4" w:space="0" w:color="auto"/>
            </w:tcBorders>
            <w:noWrap/>
            <w:vAlign w:val="center"/>
            <w:hideMark/>
          </w:tcPr>
          <w:p w14:paraId="21C24307"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14,00</w:t>
            </w:r>
          </w:p>
        </w:tc>
        <w:tc>
          <w:tcPr>
            <w:tcW w:w="721" w:type="dxa"/>
            <w:tcBorders>
              <w:top w:val="nil"/>
              <w:left w:val="nil"/>
              <w:bottom w:val="single" w:sz="4" w:space="0" w:color="auto"/>
              <w:right w:val="single" w:sz="4" w:space="0" w:color="auto"/>
            </w:tcBorders>
            <w:noWrap/>
            <w:vAlign w:val="center"/>
            <w:hideMark/>
          </w:tcPr>
          <w:p w14:paraId="3492306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11,00</w:t>
            </w:r>
          </w:p>
        </w:tc>
        <w:tc>
          <w:tcPr>
            <w:tcW w:w="1120" w:type="dxa"/>
            <w:tcBorders>
              <w:top w:val="nil"/>
              <w:left w:val="nil"/>
              <w:bottom w:val="single" w:sz="4" w:space="0" w:color="auto"/>
              <w:right w:val="single" w:sz="4" w:space="0" w:color="auto"/>
            </w:tcBorders>
            <w:noWrap/>
            <w:vAlign w:val="center"/>
            <w:hideMark/>
          </w:tcPr>
          <w:p w14:paraId="675860A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181,80</w:t>
            </w:r>
          </w:p>
        </w:tc>
        <w:tc>
          <w:tcPr>
            <w:tcW w:w="1120" w:type="dxa"/>
            <w:tcBorders>
              <w:top w:val="nil"/>
              <w:left w:val="nil"/>
              <w:bottom w:val="single" w:sz="4" w:space="0" w:color="auto"/>
              <w:right w:val="single" w:sz="4" w:space="0" w:color="auto"/>
            </w:tcBorders>
            <w:noWrap/>
            <w:vAlign w:val="center"/>
            <w:hideMark/>
          </w:tcPr>
          <w:p w14:paraId="448089B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5,21</w:t>
            </w:r>
          </w:p>
        </w:tc>
      </w:tr>
      <w:tr w:rsidR="002A7964" w:rsidRPr="002A7964" w14:paraId="38F9955D"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74F94EDE"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UNI</w:t>
            </w:r>
          </w:p>
        </w:tc>
        <w:tc>
          <w:tcPr>
            <w:tcW w:w="721" w:type="dxa"/>
            <w:tcBorders>
              <w:top w:val="nil"/>
              <w:left w:val="nil"/>
              <w:bottom w:val="single" w:sz="4" w:space="0" w:color="auto"/>
              <w:right w:val="single" w:sz="4" w:space="0" w:color="auto"/>
            </w:tcBorders>
            <w:noWrap/>
            <w:vAlign w:val="center"/>
            <w:hideMark/>
          </w:tcPr>
          <w:p w14:paraId="1B5389E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23,93</w:t>
            </w:r>
          </w:p>
        </w:tc>
        <w:tc>
          <w:tcPr>
            <w:tcW w:w="833" w:type="dxa"/>
            <w:tcBorders>
              <w:top w:val="nil"/>
              <w:left w:val="nil"/>
              <w:bottom w:val="single" w:sz="4" w:space="0" w:color="auto"/>
              <w:right w:val="single" w:sz="4" w:space="0" w:color="auto"/>
            </w:tcBorders>
            <w:noWrap/>
            <w:vAlign w:val="center"/>
            <w:hideMark/>
          </w:tcPr>
          <w:p w14:paraId="6EDECC2B"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115,91</w:t>
            </w:r>
          </w:p>
        </w:tc>
        <w:tc>
          <w:tcPr>
            <w:tcW w:w="833" w:type="dxa"/>
            <w:tcBorders>
              <w:top w:val="nil"/>
              <w:left w:val="nil"/>
              <w:bottom w:val="single" w:sz="4" w:space="0" w:color="auto"/>
              <w:right w:val="single" w:sz="4" w:space="0" w:color="auto"/>
            </w:tcBorders>
            <w:noWrap/>
            <w:vAlign w:val="center"/>
            <w:hideMark/>
          </w:tcPr>
          <w:p w14:paraId="744B789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224,72</w:t>
            </w:r>
          </w:p>
        </w:tc>
        <w:tc>
          <w:tcPr>
            <w:tcW w:w="833" w:type="dxa"/>
            <w:tcBorders>
              <w:top w:val="nil"/>
              <w:left w:val="nil"/>
              <w:bottom w:val="single" w:sz="4" w:space="0" w:color="auto"/>
              <w:right w:val="single" w:sz="4" w:space="0" w:color="auto"/>
            </w:tcBorders>
            <w:noWrap/>
            <w:vAlign w:val="center"/>
            <w:hideMark/>
          </w:tcPr>
          <w:p w14:paraId="0E5F2DED"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47,79</w:t>
            </w:r>
          </w:p>
        </w:tc>
        <w:tc>
          <w:tcPr>
            <w:tcW w:w="680" w:type="dxa"/>
            <w:tcBorders>
              <w:top w:val="nil"/>
              <w:left w:val="nil"/>
              <w:bottom w:val="single" w:sz="4" w:space="0" w:color="auto"/>
              <w:right w:val="single" w:sz="4" w:space="0" w:color="auto"/>
            </w:tcBorders>
            <w:noWrap/>
            <w:vAlign w:val="center"/>
            <w:hideMark/>
          </w:tcPr>
          <w:p w14:paraId="74719F8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6030F3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7E6B516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761F8F0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33BEBD8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1200,15</w:t>
            </w:r>
          </w:p>
        </w:tc>
        <w:tc>
          <w:tcPr>
            <w:tcW w:w="1120" w:type="dxa"/>
            <w:tcBorders>
              <w:top w:val="nil"/>
              <w:left w:val="nil"/>
              <w:bottom w:val="single" w:sz="4" w:space="0" w:color="auto"/>
              <w:right w:val="single" w:sz="4" w:space="0" w:color="auto"/>
            </w:tcBorders>
            <w:noWrap/>
            <w:vAlign w:val="center"/>
            <w:hideMark/>
          </w:tcPr>
          <w:p w14:paraId="3779067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34,37</w:t>
            </w:r>
          </w:p>
        </w:tc>
      </w:tr>
      <w:tr w:rsidR="002A7964" w:rsidRPr="002A7964" w14:paraId="28851231"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38065CD7"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Knihovna</w:t>
            </w:r>
          </w:p>
        </w:tc>
        <w:tc>
          <w:tcPr>
            <w:tcW w:w="721" w:type="dxa"/>
            <w:tcBorders>
              <w:top w:val="nil"/>
              <w:left w:val="nil"/>
              <w:bottom w:val="single" w:sz="4" w:space="0" w:color="auto"/>
              <w:right w:val="single" w:sz="4" w:space="0" w:color="auto"/>
            </w:tcBorders>
            <w:noWrap/>
            <w:vAlign w:val="center"/>
            <w:hideMark/>
          </w:tcPr>
          <w:p w14:paraId="6724800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7E50FAF6"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03B8AED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2,00</w:t>
            </w:r>
          </w:p>
        </w:tc>
        <w:tc>
          <w:tcPr>
            <w:tcW w:w="833" w:type="dxa"/>
            <w:tcBorders>
              <w:top w:val="nil"/>
              <w:left w:val="nil"/>
              <w:bottom w:val="single" w:sz="4" w:space="0" w:color="auto"/>
              <w:right w:val="single" w:sz="4" w:space="0" w:color="auto"/>
            </w:tcBorders>
            <w:noWrap/>
            <w:vAlign w:val="center"/>
            <w:hideMark/>
          </w:tcPr>
          <w:p w14:paraId="5F178714"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680" w:type="dxa"/>
            <w:tcBorders>
              <w:top w:val="nil"/>
              <w:left w:val="nil"/>
              <w:bottom w:val="single" w:sz="4" w:space="0" w:color="auto"/>
              <w:right w:val="single" w:sz="4" w:space="0" w:color="auto"/>
            </w:tcBorders>
            <w:noWrap/>
            <w:vAlign w:val="center"/>
            <w:hideMark/>
          </w:tcPr>
          <w:p w14:paraId="24A5ED7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0C940151"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2503496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0A23F17A"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1FF38ED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4,00</w:t>
            </w:r>
          </w:p>
        </w:tc>
        <w:tc>
          <w:tcPr>
            <w:tcW w:w="1120" w:type="dxa"/>
            <w:tcBorders>
              <w:top w:val="nil"/>
              <w:left w:val="nil"/>
              <w:bottom w:val="single" w:sz="4" w:space="0" w:color="auto"/>
              <w:right w:val="single" w:sz="4" w:space="0" w:color="auto"/>
            </w:tcBorders>
            <w:noWrap/>
            <w:vAlign w:val="center"/>
            <w:hideMark/>
          </w:tcPr>
          <w:p w14:paraId="5DBCA14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0,11</w:t>
            </w:r>
          </w:p>
        </w:tc>
      </w:tr>
      <w:tr w:rsidR="002A7964" w:rsidRPr="002A7964" w14:paraId="7A01FC4C"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1417A803" w14:textId="77777777" w:rsidR="002A7964" w:rsidRPr="002A7964" w:rsidRDefault="002A7964" w:rsidP="002A7964">
            <w:pPr>
              <w:rPr>
                <w:rFonts w:ascii="Aptos Narrow" w:hAnsi="Aptos Narrow"/>
                <w:color w:val="000000"/>
                <w:sz w:val="22"/>
                <w:szCs w:val="22"/>
              </w:rPr>
            </w:pPr>
            <w:r w:rsidRPr="002A7964">
              <w:rPr>
                <w:rFonts w:ascii="Aptos Narrow" w:hAnsi="Aptos Narrow"/>
                <w:color w:val="000000"/>
                <w:sz w:val="22"/>
                <w:szCs w:val="22"/>
              </w:rPr>
              <w:t>KMZ</w:t>
            </w:r>
          </w:p>
        </w:tc>
        <w:tc>
          <w:tcPr>
            <w:tcW w:w="721" w:type="dxa"/>
            <w:tcBorders>
              <w:top w:val="nil"/>
              <w:left w:val="nil"/>
              <w:bottom w:val="single" w:sz="4" w:space="0" w:color="auto"/>
              <w:right w:val="single" w:sz="4" w:space="0" w:color="auto"/>
            </w:tcBorders>
            <w:noWrap/>
            <w:vAlign w:val="center"/>
            <w:hideMark/>
          </w:tcPr>
          <w:p w14:paraId="6A953622"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794A954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3D4DF0AE"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833" w:type="dxa"/>
            <w:tcBorders>
              <w:top w:val="nil"/>
              <w:left w:val="nil"/>
              <w:bottom w:val="single" w:sz="4" w:space="0" w:color="auto"/>
              <w:right w:val="single" w:sz="4" w:space="0" w:color="auto"/>
            </w:tcBorders>
            <w:noWrap/>
            <w:vAlign w:val="center"/>
            <w:hideMark/>
          </w:tcPr>
          <w:p w14:paraId="721710E9"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680" w:type="dxa"/>
            <w:tcBorders>
              <w:top w:val="nil"/>
              <w:left w:val="nil"/>
              <w:bottom w:val="single" w:sz="4" w:space="0" w:color="auto"/>
              <w:right w:val="single" w:sz="4" w:space="0" w:color="auto"/>
            </w:tcBorders>
            <w:noWrap/>
            <w:vAlign w:val="center"/>
            <w:hideMark/>
          </w:tcPr>
          <w:p w14:paraId="79F0A25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F90F2CC"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16BF3415"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721" w:type="dxa"/>
            <w:tcBorders>
              <w:top w:val="nil"/>
              <w:left w:val="nil"/>
              <w:bottom w:val="single" w:sz="4" w:space="0" w:color="auto"/>
              <w:right w:val="single" w:sz="4" w:space="0" w:color="auto"/>
            </w:tcBorders>
            <w:noWrap/>
            <w:vAlign w:val="center"/>
            <w:hideMark/>
          </w:tcPr>
          <w:p w14:paraId="403DD768"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1F7D7917"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c>
          <w:tcPr>
            <w:tcW w:w="1120" w:type="dxa"/>
            <w:tcBorders>
              <w:top w:val="nil"/>
              <w:left w:val="nil"/>
              <w:bottom w:val="single" w:sz="4" w:space="0" w:color="auto"/>
              <w:right w:val="single" w:sz="4" w:space="0" w:color="auto"/>
            </w:tcBorders>
            <w:noWrap/>
            <w:vAlign w:val="center"/>
            <w:hideMark/>
          </w:tcPr>
          <w:p w14:paraId="2B9B25B3" w14:textId="77777777" w:rsidR="002A7964" w:rsidRPr="002A7964" w:rsidRDefault="002A7964" w:rsidP="002A7964">
            <w:pPr>
              <w:jc w:val="right"/>
              <w:rPr>
                <w:rFonts w:ascii="Aptos Narrow" w:hAnsi="Aptos Narrow"/>
                <w:color w:val="000000"/>
                <w:sz w:val="22"/>
                <w:szCs w:val="22"/>
              </w:rPr>
            </w:pPr>
            <w:r w:rsidRPr="002A7964">
              <w:rPr>
                <w:rFonts w:ascii="Aptos Narrow" w:hAnsi="Aptos Narrow"/>
                <w:color w:val="000000"/>
                <w:sz w:val="22"/>
                <w:szCs w:val="22"/>
              </w:rPr>
              <w:t>0,00</w:t>
            </w:r>
          </w:p>
        </w:tc>
      </w:tr>
      <w:tr w:rsidR="002A7964" w:rsidRPr="002A7964" w14:paraId="5DA10FEA" w14:textId="77777777" w:rsidTr="002A7964">
        <w:trPr>
          <w:trHeight w:val="320"/>
        </w:trPr>
        <w:tc>
          <w:tcPr>
            <w:tcW w:w="1020" w:type="dxa"/>
            <w:tcBorders>
              <w:top w:val="nil"/>
              <w:left w:val="single" w:sz="4" w:space="0" w:color="auto"/>
              <w:bottom w:val="single" w:sz="4" w:space="0" w:color="auto"/>
              <w:right w:val="single" w:sz="4" w:space="0" w:color="auto"/>
            </w:tcBorders>
            <w:noWrap/>
            <w:vAlign w:val="center"/>
            <w:hideMark/>
          </w:tcPr>
          <w:p w14:paraId="3938D942" w14:textId="77777777" w:rsidR="002A7964" w:rsidRPr="002A7964" w:rsidRDefault="002A7964" w:rsidP="002A7964">
            <w:pPr>
              <w:rPr>
                <w:rFonts w:ascii="Aptos Narrow" w:hAnsi="Aptos Narrow"/>
                <w:b/>
                <w:bCs/>
                <w:color w:val="000000"/>
                <w:sz w:val="22"/>
                <w:szCs w:val="22"/>
              </w:rPr>
            </w:pPr>
            <w:r w:rsidRPr="002A7964">
              <w:rPr>
                <w:rFonts w:ascii="Aptos Narrow" w:hAnsi="Aptos Narrow"/>
                <w:b/>
                <w:bCs/>
                <w:color w:val="000000"/>
                <w:sz w:val="22"/>
                <w:szCs w:val="22"/>
              </w:rPr>
              <w:t>Celkem</w:t>
            </w:r>
          </w:p>
        </w:tc>
        <w:tc>
          <w:tcPr>
            <w:tcW w:w="721" w:type="dxa"/>
            <w:tcBorders>
              <w:top w:val="nil"/>
              <w:left w:val="nil"/>
              <w:bottom w:val="single" w:sz="4" w:space="0" w:color="auto"/>
              <w:right w:val="single" w:sz="4" w:space="0" w:color="auto"/>
            </w:tcBorders>
            <w:noWrap/>
            <w:vAlign w:val="center"/>
            <w:hideMark/>
          </w:tcPr>
          <w:p w14:paraId="54F39729"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68,00</w:t>
            </w:r>
          </w:p>
        </w:tc>
        <w:tc>
          <w:tcPr>
            <w:tcW w:w="833" w:type="dxa"/>
            <w:tcBorders>
              <w:top w:val="nil"/>
              <w:left w:val="nil"/>
              <w:bottom w:val="single" w:sz="4" w:space="0" w:color="auto"/>
              <w:right w:val="single" w:sz="4" w:space="0" w:color="auto"/>
            </w:tcBorders>
            <w:noWrap/>
            <w:vAlign w:val="center"/>
            <w:hideMark/>
          </w:tcPr>
          <w:p w14:paraId="1FFAE619"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310,05</w:t>
            </w:r>
          </w:p>
        </w:tc>
        <w:tc>
          <w:tcPr>
            <w:tcW w:w="833" w:type="dxa"/>
            <w:tcBorders>
              <w:top w:val="nil"/>
              <w:left w:val="nil"/>
              <w:bottom w:val="single" w:sz="4" w:space="0" w:color="auto"/>
              <w:right w:val="single" w:sz="4" w:space="0" w:color="auto"/>
            </w:tcBorders>
            <w:noWrap/>
            <w:vAlign w:val="center"/>
            <w:hideMark/>
          </w:tcPr>
          <w:p w14:paraId="775A1DA0"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614,33</w:t>
            </w:r>
          </w:p>
        </w:tc>
        <w:tc>
          <w:tcPr>
            <w:tcW w:w="833" w:type="dxa"/>
            <w:tcBorders>
              <w:top w:val="nil"/>
              <w:left w:val="nil"/>
              <w:bottom w:val="single" w:sz="4" w:space="0" w:color="auto"/>
              <w:right w:val="single" w:sz="4" w:space="0" w:color="auto"/>
            </w:tcBorders>
            <w:noWrap/>
            <w:vAlign w:val="center"/>
            <w:hideMark/>
          </w:tcPr>
          <w:p w14:paraId="572F8D71"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231,99</w:t>
            </w:r>
          </w:p>
        </w:tc>
        <w:tc>
          <w:tcPr>
            <w:tcW w:w="680" w:type="dxa"/>
            <w:tcBorders>
              <w:top w:val="nil"/>
              <w:left w:val="nil"/>
              <w:bottom w:val="single" w:sz="4" w:space="0" w:color="auto"/>
              <w:right w:val="single" w:sz="4" w:space="0" w:color="auto"/>
            </w:tcBorders>
            <w:noWrap/>
            <w:vAlign w:val="center"/>
            <w:hideMark/>
          </w:tcPr>
          <w:p w14:paraId="56520DBA"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6,00</w:t>
            </w:r>
          </w:p>
        </w:tc>
        <w:tc>
          <w:tcPr>
            <w:tcW w:w="721" w:type="dxa"/>
            <w:tcBorders>
              <w:top w:val="nil"/>
              <w:left w:val="nil"/>
              <w:bottom w:val="single" w:sz="4" w:space="0" w:color="auto"/>
              <w:right w:val="single" w:sz="4" w:space="0" w:color="auto"/>
            </w:tcBorders>
            <w:noWrap/>
            <w:vAlign w:val="center"/>
            <w:hideMark/>
          </w:tcPr>
          <w:p w14:paraId="24E58512"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14,00</w:t>
            </w:r>
          </w:p>
        </w:tc>
        <w:tc>
          <w:tcPr>
            <w:tcW w:w="721" w:type="dxa"/>
            <w:tcBorders>
              <w:top w:val="nil"/>
              <w:left w:val="nil"/>
              <w:bottom w:val="single" w:sz="4" w:space="0" w:color="auto"/>
              <w:right w:val="single" w:sz="4" w:space="0" w:color="auto"/>
            </w:tcBorders>
            <w:noWrap/>
            <w:vAlign w:val="center"/>
            <w:hideMark/>
          </w:tcPr>
          <w:p w14:paraId="142EB79E"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69,17</w:t>
            </w:r>
          </w:p>
        </w:tc>
        <w:tc>
          <w:tcPr>
            <w:tcW w:w="721" w:type="dxa"/>
            <w:tcBorders>
              <w:top w:val="nil"/>
              <w:left w:val="nil"/>
              <w:bottom w:val="single" w:sz="4" w:space="0" w:color="auto"/>
              <w:right w:val="single" w:sz="4" w:space="0" w:color="auto"/>
            </w:tcBorders>
            <w:noWrap/>
            <w:vAlign w:val="center"/>
            <w:hideMark/>
          </w:tcPr>
          <w:p w14:paraId="5F46E517"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41,00</w:t>
            </w:r>
          </w:p>
        </w:tc>
        <w:tc>
          <w:tcPr>
            <w:tcW w:w="1120" w:type="dxa"/>
            <w:tcBorders>
              <w:top w:val="nil"/>
              <w:left w:val="nil"/>
              <w:bottom w:val="single" w:sz="4" w:space="0" w:color="auto"/>
              <w:right w:val="single" w:sz="4" w:space="0" w:color="auto"/>
            </w:tcBorders>
            <w:noWrap/>
            <w:vAlign w:val="center"/>
            <w:hideMark/>
          </w:tcPr>
          <w:p w14:paraId="3DCF8224"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3491,60</w:t>
            </w:r>
          </w:p>
        </w:tc>
        <w:tc>
          <w:tcPr>
            <w:tcW w:w="1120" w:type="dxa"/>
            <w:tcBorders>
              <w:top w:val="nil"/>
              <w:left w:val="nil"/>
              <w:bottom w:val="single" w:sz="4" w:space="0" w:color="auto"/>
              <w:right w:val="single" w:sz="4" w:space="0" w:color="auto"/>
            </w:tcBorders>
            <w:noWrap/>
            <w:vAlign w:val="center"/>
            <w:hideMark/>
          </w:tcPr>
          <w:p w14:paraId="5CC0704D" w14:textId="77777777" w:rsidR="002A7964" w:rsidRPr="002A7964" w:rsidRDefault="002A7964" w:rsidP="002A7964">
            <w:pPr>
              <w:jc w:val="right"/>
              <w:rPr>
                <w:rFonts w:ascii="Aptos Narrow" w:hAnsi="Aptos Narrow"/>
                <w:b/>
                <w:bCs/>
                <w:color w:val="000000"/>
                <w:sz w:val="22"/>
                <w:szCs w:val="22"/>
              </w:rPr>
            </w:pPr>
            <w:r w:rsidRPr="002A7964">
              <w:rPr>
                <w:rFonts w:ascii="Aptos Narrow" w:hAnsi="Aptos Narrow"/>
                <w:b/>
                <w:bCs/>
                <w:color w:val="000000"/>
                <w:sz w:val="22"/>
                <w:szCs w:val="22"/>
              </w:rPr>
              <w:t>100,00</w:t>
            </w:r>
          </w:p>
        </w:tc>
      </w:tr>
      <w:bookmarkEnd w:id="16"/>
    </w:tbl>
    <w:p w14:paraId="282B3B9D" w14:textId="77777777" w:rsidR="00B708E1" w:rsidRDefault="00B708E1" w:rsidP="0012257E">
      <w:pPr>
        <w:pStyle w:val="RozpocetOdstavec"/>
      </w:pPr>
    </w:p>
    <w:p w14:paraId="1D9AC6BC" w14:textId="77777777" w:rsidR="00DA3ED5" w:rsidRDefault="006B684F" w:rsidP="00DA3ED5">
      <w:pPr>
        <w:pStyle w:val="RozpoetNadpis3"/>
      </w:pPr>
      <w:bookmarkStart w:id="17" w:name="_Toc228824328"/>
      <w:r>
        <w:t xml:space="preserve">Indikátor </w:t>
      </w:r>
      <w:r w:rsidR="00DA3ED5">
        <w:t>VaV</w:t>
      </w:r>
      <w:bookmarkEnd w:id="17"/>
    </w:p>
    <w:p w14:paraId="5F248438" w14:textId="77777777" w:rsidR="00860416" w:rsidRPr="000A20AA" w:rsidRDefault="00860416" w:rsidP="00860416">
      <w:pPr>
        <w:pStyle w:val="RozpocetOdstavec"/>
      </w:pPr>
      <w:r w:rsidRPr="000A20AA">
        <w:t>Indikátor VaV je složen ze dvou dílčích částí, a to indikátoru DKRVO2025R a indikátoru Publikace s váhami 85:15. Podle tohoto indikátoru bude mezi součásti rozdělena část ukazatele K přiděleného UTB podle VaV.</w:t>
      </w:r>
    </w:p>
    <w:p w14:paraId="209AE47E" w14:textId="77777777" w:rsidR="00E7359F" w:rsidRDefault="00E7359F" w:rsidP="00860416">
      <w:pPr>
        <w:pStyle w:val="RozpocetOdstavec"/>
        <w:rPr>
          <w:color w:val="00B050"/>
        </w:rPr>
      </w:pPr>
    </w:p>
    <w:tbl>
      <w:tblPr>
        <w:tblW w:w="9072" w:type="dxa"/>
        <w:tblLook w:val="04A0" w:firstRow="1" w:lastRow="0" w:firstColumn="1" w:lastColumn="0" w:noHBand="0" w:noVBand="1"/>
      </w:tblPr>
      <w:tblGrid>
        <w:gridCol w:w="2268"/>
        <w:gridCol w:w="2268"/>
        <w:gridCol w:w="2268"/>
        <w:gridCol w:w="2268"/>
      </w:tblGrid>
      <w:tr w:rsidR="00E7359F" w:rsidRPr="00E7359F" w14:paraId="085C14BC" w14:textId="77777777" w:rsidTr="00E7359F">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7E1476" w14:textId="13976D00" w:rsidR="00E7359F" w:rsidRPr="00E7359F" w:rsidRDefault="00E7359F" w:rsidP="00E7359F">
            <w:pPr>
              <w:jc w:val="center"/>
              <w:rPr>
                <w:rFonts w:ascii="Aptos Narrow" w:hAnsi="Aptos Narrow"/>
                <w:b/>
                <w:bCs/>
                <w:color w:val="000000"/>
              </w:rPr>
            </w:pPr>
            <w:r>
              <w:rPr>
                <w:rFonts w:ascii="Aptos Narrow" w:hAnsi="Aptos Narrow"/>
                <w:b/>
                <w:bCs/>
                <w:color w:val="000000"/>
              </w:rPr>
              <w:t>Součást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BE3DDDF"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DKRVO2025 v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C35B59"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Publikace v %</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944D08"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VaV v %</w:t>
            </w:r>
          </w:p>
        </w:tc>
      </w:tr>
      <w:tr w:rsidR="00E7359F" w:rsidRPr="00E7359F" w14:paraId="257BE71F"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F942831" w14:textId="77777777" w:rsidR="00E7359F" w:rsidRPr="00E7359F" w:rsidRDefault="00E7359F" w:rsidP="00E7359F">
            <w:pPr>
              <w:rPr>
                <w:rFonts w:ascii="Aptos Narrow" w:hAnsi="Aptos Narrow"/>
                <w:color w:val="000000"/>
              </w:rPr>
            </w:pPr>
            <w:r w:rsidRPr="00E7359F">
              <w:rPr>
                <w:rFonts w:ascii="Aptos Narrow" w:hAnsi="Aptos Narrow"/>
                <w:color w:val="000000"/>
              </w:rPr>
              <w:t>FT</w:t>
            </w:r>
          </w:p>
        </w:tc>
        <w:tc>
          <w:tcPr>
            <w:tcW w:w="2268" w:type="dxa"/>
            <w:tcBorders>
              <w:top w:val="nil"/>
              <w:left w:val="nil"/>
              <w:bottom w:val="single" w:sz="4" w:space="0" w:color="auto"/>
              <w:right w:val="single" w:sz="4" w:space="0" w:color="auto"/>
            </w:tcBorders>
            <w:noWrap/>
            <w:vAlign w:val="center"/>
            <w:hideMark/>
          </w:tcPr>
          <w:p w14:paraId="01D6CCF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21,42</w:t>
            </w:r>
          </w:p>
        </w:tc>
        <w:tc>
          <w:tcPr>
            <w:tcW w:w="2268" w:type="dxa"/>
            <w:tcBorders>
              <w:top w:val="nil"/>
              <w:left w:val="nil"/>
              <w:bottom w:val="single" w:sz="4" w:space="0" w:color="auto"/>
              <w:right w:val="single" w:sz="4" w:space="0" w:color="auto"/>
            </w:tcBorders>
            <w:noWrap/>
            <w:vAlign w:val="center"/>
            <w:hideMark/>
          </w:tcPr>
          <w:p w14:paraId="288238E3"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27,63</w:t>
            </w:r>
          </w:p>
        </w:tc>
        <w:tc>
          <w:tcPr>
            <w:tcW w:w="2268" w:type="dxa"/>
            <w:tcBorders>
              <w:top w:val="nil"/>
              <w:left w:val="nil"/>
              <w:bottom w:val="single" w:sz="4" w:space="0" w:color="auto"/>
              <w:right w:val="single" w:sz="4" w:space="0" w:color="auto"/>
            </w:tcBorders>
            <w:noWrap/>
            <w:vAlign w:val="center"/>
            <w:hideMark/>
          </w:tcPr>
          <w:p w14:paraId="26CD1A6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22,35</w:t>
            </w:r>
          </w:p>
        </w:tc>
      </w:tr>
      <w:tr w:rsidR="00E7359F" w:rsidRPr="00E7359F" w14:paraId="08FDB8C3"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1D5E5F17" w14:textId="77777777" w:rsidR="00E7359F" w:rsidRPr="00E7359F" w:rsidRDefault="00E7359F" w:rsidP="00E7359F">
            <w:pPr>
              <w:rPr>
                <w:rFonts w:ascii="Aptos Narrow" w:hAnsi="Aptos Narrow"/>
                <w:color w:val="000000"/>
              </w:rPr>
            </w:pPr>
            <w:r w:rsidRPr="00E7359F">
              <w:rPr>
                <w:rFonts w:ascii="Aptos Narrow" w:hAnsi="Aptos Narrow"/>
                <w:color w:val="000000"/>
              </w:rPr>
              <w:lastRenderedPageBreak/>
              <w:t>FLKŘ</w:t>
            </w:r>
          </w:p>
        </w:tc>
        <w:tc>
          <w:tcPr>
            <w:tcW w:w="2268" w:type="dxa"/>
            <w:tcBorders>
              <w:top w:val="nil"/>
              <w:left w:val="nil"/>
              <w:bottom w:val="single" w:sz="4" w:space="0" w:color="auto"/>
              <w:right w:val="single" w:sz="4" w:space="0" w:color="auto"/>
            </w:tcBorders>
            <w:noWrap/>
            <w:vAlign w:val="center"/>
            <w:hideMark/>
          </w:tcPr>
          <w:p w14:paraId="4872AC2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3,19</w:t>
            </w:r>
          </w:p>
        </w:tc>
        <w:tc>
          <w:tcPr>
            <w:tcW w:w="2268" w:type="dxa"/>
            <w:tcBorders>
              <w:top w:val="nil"/>
              <w:left w:val="nil"/>
              <w:bottom w:val="single" w:sz="4" w:space="0" w:color="auto"/>
              <w:right w:val="single" w:sz="4" w:space="0" w:color="auto"/>
            </w:tcBorders>
            <w:noWrap/>
            <w:vAlign w:val="center"/>
            <w:hideMark/>
          </w:tcPr>
          <w:p w14:paraId="72423F5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1,76</w:t>
            </w:r>
          </w:p>
        </w:tc>
        <w:tc>
          <w:tcPr>
            <w:tcW w:w="2268" w:type="dxa"/>
            <w:tcBorders>
              <w:top w:val="nil"/>
              <w:left w:val="nil"/>
              <w:bottom w:val="single" w:sz="4" w:space="0" w:color="auto"/>
              <w:right w:val="single" w:sz="4" w:space="0" w:color="auto"/>
            </w:tcBorders>
            <w:noWrap/>
            <w:vAlign w:val="center"/>
            <w:hideMark/>
          </w:tcPr>
          <w:p w14:paraId="7285904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2,98</w:t>
            </w:r>
          </w:p>
        </w:tc>
      </w:tr>
      <w:tr w:rsidR="00E7359F" w:rsidRPr="00E7359F" w14:paraId="38A643C3"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08A5BBC7" w14:textId="77777777" w:rsidR="00E7359F" w:rsidRPr="00E7359F" w:rsidRDefault="00E7359F" w:rsidP="00E7359F">
            <w:pPr>
              <w:rPr>
                <w:rFonts w:ascii="Aptos Narrow" w:hAnsi="Aptos Narrow"/>
                <w:color w:val="000000"/>
              </w:rPr>
            </w:pPr>
            <w:r w:rsidRPr="00E7359F">
              <w:rPr>
                <w:rFonts w:ascii="Aptos Narrow" w:hAnsi="Aptos Narrow"/>
                <w:color w:val="000000"/>
              </w:rPr>
              <w:t>FAI</w:t>
            </w:r>
          </w:p>
        </w:tc>
        <w:tc>
          <w:tcPr>
            <w:tcW w:w="2268" w:type="dxa"/>
            <w:tcBorders>
              <w:top w:val="nil"/>
              <w:left w:val="nil"/>
              <w:bottom w:val="single" w:sz="4" w:space="0" w:color="auto"/>
              <w:right w:val="single" w:sz="4" w:space="0" w:color="auto"/>
            </w:tcBorders>
            <w:noWrap/>
            <w:vAlign w:val="center"/>
            <w:hideMark/>
          </w:tcPr>
          <w:p w14:paraId="592177D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16,64</w:t>
            </w:r>
          </w:p>
        </w:tc>
        <w:tc>
          <w:tcPr>
            <w:tcW w:w="2268" w:type="dxa"/>
            <w:tcBorders>
              <w:top w:val="nil"/>
              <w:left w:val="nil"/>
              <w:bottom w:val="single" w:sz="4" w:space="0" w:color="auto"/>
              <w:right w:val="single" w:sz="4" w:space="0" w:color="auto"/>
            </w:tcBorders>
            <w:noWrap/>
            <w:vAlign w:val="center"/>
            <w:hideMark/>
          </w:tcPr>
          <w:p w14:paraId="73FF55E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11,67</w:t>
            </w:r>
          </w:p>
        </w:tc>
        <w:tc>
          <w:tcPr>
            <w:tcW w:w="2268" w:type="dxa"/>
            <w:tcBorders>
              <w:top w:val="nil"/>
              <w:left w:val="nil"/>
              <w:bottom w:val="single" w:sz="4" w:space="0" w:color="auto"/>
              <w:right w:val="single" w:sz="4" w:space="0" w:color="auto"/>
            </w:tcBorders>
            <w:noWrap/>
            <w:vAlign w:val="center"/>
            <w:hideMark/>
          </w:tcPr>
          <w:p w14:paraId="2590A21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15,90</w:t>
            </w:r>
          </w:p>
        </w:tc>
      </w:tr>
      <w:tr w:rsidR="00E7359F" w:rsidRPr="00E7359F" w14:paraId="10F93A1C"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5D8264A8" w14:textId="77777777" w:rsidR="00E7359F" w:rsidRPr="00E7359F" w:rsidRDefault="00E7359F" w:rsidP="00E7359F">
            <w:pPr>
              <w:rPr>
                <w:rFonts w:ascii="Aptos Narrow" w:hAnsi="Aptos Narrow"/>
                <w:color w:val="000000"/>
              </w:rPr>
            </w:pPr>
            <w:r w:rsidRPr="00E7359F">
              <w:rPr>
                <w:rFonts w:ascii="Aptos Narrow" w:hAnsi="Aptos Narrow"/>
                <w:color w:val="000000"/>
              </w:rPr>
              <w:t>FMK</w:t>
            </w:r>
          </w:p>
        </w:tc>
        <w:tc>
          <w:tcPr>
            <w:tcW w:w="2268" w:type="dxa"/>
            <w:tcBorders>
              <w:top w:val="nil"/>
              <w:left w:val="nil"/>
              <w:bottom w:val="single" w:sz="4" w:space="0" w:color="auto"/>
              <w:right w:val="single" w:sz="4" w:space="0" w:color="auto"/>
            </w:tcBorders>
            <w:noWrap/>
            <w:vAlign w:val="center"/>
            <w:hideMark/>
          </w:tcPr>
          <w:p w14:paraId="6E5C728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4,07</w:t>
            </w:r>
          </w:p>
        </w:tc>
        <w:tc>
          <w:tcPr>
            <w:tcW w:w="2268" w:type="dxa"/>
            <w:tcBorders>
              <w:top w:val="nil"/>
              <w:left w:val="nil"/>
              <w:bottom w:val="single" w:sz="4" w:space="0" w:color="auto"/>
              <w:right w:val="single" w:sz="4" w:space="0" w:color="auto"/>
            </w:tcBorders>
            <w:noWrap/>
            <w:vAlign w:val="center"/>
            <w:hideMark/>
          </w:tcPr>
          <w:p w14:paraId="6BA345D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0,38</w:t>
            </w:r>
          </w:p>
        </w:tc>
        <w:tc>
          <w:tcPr>
            <w:tcW w:w="2268" w:type="dxa"/>
            <w:tcBorders>
              <w:top w:val="nil"/>
              <w:left w:val="nil"/>
              <w:bottom w:val="single" w:sz="4" w:space="0" w:color="auto"/>
              <w:right w:val="single" w:sz="4" w:space="0" w:color="auto"/>
            </w:tcBorders>
            <w:noWrap/>
            <w:vAlign w:val="center"/>
            <w:hideMark/>
          </w:tcPr>
          <w:p w14:paraId="71BA3E6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3,52</w:t>
            </w:r>
          </w:p>
        </w:tc>
      </w:tr>
      <w:tr w:rsidR="00E7359F" w:rsidRPr="00E7359F" w14:paraId="3D05D50F"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436F04E" w14:textId="77777777" w:rsidR="00E7359F" w:rsidRPr="00E7359F" w:rsidRDefault="00E7359F" w:rsidP="00E7359F">
            <w:pPr>
              <w:rPr>
                <w:rFonts w:ascii="Aptos Narrow" w:hAnsi="Aptos Narrow"/>
                <w:color w:val="000000"/>
              </w:rPr>
            </w:pPr>
            <w:r w:rsidRPr="00E7359F">
              <w:rPr>
                <w:rFonts w:ascii="Aptos Narrow" w:hAnsi="Aptos Narrow"/>
                <w:color w:val="000000"/>
              </w:rPr>
              <w:t>FaME</w:t>
            </w:r>
          </w:p>
        </w:tc>
        <w:tc>
          <w:tcPr>
            <w:tcW w:w="2268" w:type="dxa"/>
            <w:tcBorders>
              <w:top w:val="nil"/>
              <w:left w:val="nil"/>
              <w:bottom w:val="single" w:sz="4" w:space="0" w:color="auto"/>
              <w:right w:val="single" w:sz="4" w:space="0" w:color="auto"/>
            </w:tcBorders>
            <w:noWrap/>
            <w:vAlign w:val="center"/>
            <w:hideMark/>
          </w:tcPr>
          <w:p w14:paraId="0AADB9A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12,95</w:t>
            </w:r>
          </w:p>
        </w:tc>
        <w:tc>
          <w:tcPr>
            <w:tcW w:w="2268" w:type="dxa"/>
            <w:tcBorders>
              <w:top w:val="nil"/>
              <w:left w:val="nil"/>
              <w:bottom w:val="single" w:sz="4" w:space="0" w:color="auto"/>
              <w:right w:val="single" w:sz="4" w:space="0" w:color="auto"/>
            </w:tcBorders>
            <w:noWrap/>
            <w:vAlign w:val="center"/>
            <w:hideMark/>
          </w:tcPr>
          <w:p w14:paraId="45B802ED"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18,87</w:t>
            </w:r>
          </w:p>
        </w:tc>
        <w:tc>
          <w:tcPr>
            <w:tcW w:w="2268" w:type="dxa"/>
            <w:tcBorders>
              <w:top w:val="nil"/>
              <w:left w:val="nil"/>
              <w:bottom w:val="single" w:sz="4" w:space="0" w:color="auto"/>
              <w:right w:val="single" w:sz="4" w:space="0" w:color="auto"/>
            </w:tcBorders>
            <w:noWrap/>
            <w:vAlign w:val="center"/>
            <w:hideMark/>
          </w:tcPr>
          <w:p w14:paraId="3F550DF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13,83</w:t>
            </w:r>
          </w:p>
        </w:tc>
      </w:tr>
      <w:tr w:rsidR="00E7359F" w:rsidRPr="00E7359F" w14:paraId="3C7D8A24"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23CB84DB" w14:textId="77777777" w:rsidR="00E7359F" w:rsidRPr="00E7359F" w:rsidRDefault="00E7359F" w:rsidP="00E7359F">
            <w:pPr>
              <w:rPr>
                <w:rFonts w:ascii="Aptos Narrow" w:hAnsi="Aptos Narrow"/>
                <w:color w:val="000000"/>
              </w:rPr>
            </w:pPr>
            <w:r w:rsidRPr="00E7359F">
              <w:rPr>
                <w:rFonts w:ascii="Aptos Narrow" w:hAnsi="Aptos Narrow"/>
                <w:color w:val="000000"/>
              </w:rPr>
              <w:t>FHS</w:t>
            </w:r>
          </w:p>
        </w:tc>
        <w:tc>
          <w:tcPr>
            <w:tcW w:w="2268" w:type="dxa"/>
            <w:tcBorders>
              <w:top w:val="nil"/>
              <w:left w:val="nil"/>
              <w:bottom w:val="single" w:sz="4" w:space="0" w:color="auto"/>
              <w:right w:val="single" w:sz="4" w:space="0" w:color="auto"/>
            </w:tcBorders>
            <w:noWrap/>
            <w:vAlign w:val="center"/>
            <w:hideMark/>
          </w:tcPr>
          <w:p w14:paraId="51B4885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7,43</w:t>
            </w:r>
          </w:p>
        </w:tc>
        <w:tc>
          <w:tcPr>
            <w:tcW w:w="2268" w:type="dxa"/>
            <w:tcBorders>
              <w:top w:val="nil"/>
              <w:left w:val="nil"/>
              <w:bottom w:val="single" w:sz="4" w:space="0" w:color="auto"/>
              <w:right w:val="single" w:sz="4" w:space="0" w:color="auto"/>
            </w:tcBorders>
            <w:noWrap/>
            <w:vAlign w:val="center"/>
            <w:hideMark/>
          </w:tcPr>
          <w:p w14:paraId="15DE859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5,21</w:t>
            </w:r>
          </w:p>
        </w:tc>
        <w:tc>
          <w:tcPr>
            <w:tcW w:w="2268" w:type="dxa"/>
            <w:tcBorders>
              <w:top w:val="nil"/>
              <w:left w:val="nil"/>
              <w:bottom w:val="single" w:sz="4" w:space="0" w:color="auto"/>
              <w:right w:val="single" w:sz="4" w:space="0" w:color="auto"/>
            </w:tcBorders>
            <w:noWrap/>
            <w:vAlign w:val="center"/>
            <w:hideMark/>
          </w:tcPr>
          <w:p w14:paraId="14B69BA3"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7,10</w:t>
            </w:r>
          </w:p>
        </w:tc>
      </w:tr>
      <w:tr w:rsidR="00E7359F" w:rsidRPr="00E7359F" w14:paraId="2BD299D8"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37295D52" w14:textId="77777777" w:rsidR="00E7359F" w:rsidRPr="00E7359F" w:rsidRDefault="00E7359F" w:rsidP="00E7359F">
            <w:pPr>
              <w:rPr>
                <w:rFonts w:ascii="Aptos Narrow" w:hAnsi="Aptos Narrow"/>
                <w:color w:val="000000"/>
              </w:rPr>
            </w:pPr>
            <w:r w:rsidRPr="00E7359F">
              <w:rPr>
                <w:rFonts w:ascii="Aptos Narrow" w:hAnsi="Aptos Narrow"/>
                <w:color w:val="000000"/>
              </w:rPr>
              <w:t>UNI</w:t>
            </w:r>
          </w:p>
        </w:tc>
        <w:tc>
          <w:tcPr>
            <w:tcW w:w="2268" w:type="dxa"/>
            <w:tcBorders>
              <w:top w:val="nil"/>
              <w:left w:val="nil"/>
              <w:bottom w:val="single" w:sz="4" w:space="0" w:color="auto"/>
              <w:right w:val="single" w:sz="4" w:space="0" w:color="auto"/>
            </w:tcBorders>
            <w:noWrap/>
            <w:vAlign w:val="center"/>
            <w:hideMark/>
          </w:tcPr>
          <w:p w14:paraId="48EDEF4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33,81</w:t>
            </w:r>
          </w:p>
        </w:tc>
        <w:tc>
          <w:tcPr>
            <w:tcW w:w="2268" w:type="dxa"/>
            <w:tcBorders>
              <w:top w:val="nil"/>
              <w:left w:val="nil"/>
              <w:bottom w:val="single" w:sz="4" w:space="0" w:color="auto"/>
              <w:right w:val="single" w:sz="4" w:space="0" w:color="auto"/>
            </w:tcBorders>
            <w:noWrap/>
            <w:vAlign w:val="center"/>
            <w:hideMark/>
          </w:tcPr>
          <w:p w14:paraId="6B0049A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34,37</w:t>
            </w:r>
          </w:p>
        </w:tc>
        <w:tc>
          <w:tcPr>
            <w:tcW w:w="2268" w:type="dxa"/>
            <w:tcBorders>
              <w:top w:val="nil"/>
              <w:left w:val="nil"/>
              <w:bottom w:val="single" w:sz="4" w:space="0" w:color="auto"/>
              <w:right w:val="single" w:sz="4" w:space="0" w:color="auto"/>
            </w:tcBorders>
            <w:noWrap/>
            <w:vAlign w:val="center"/>
            <w:hideMark/>
          </w:tcPr>
          <w:p w14:paraId="0515AE7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33,90</w:t>
            </w:r>
          </w:p>
        </w:tc>
      </w:tr>
      <w:tr w:rsidR="00E7359F" w:rsidRPr="00E7359F" w14:paraId="7803DECD"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0B333A6B" w14:textId="77777777" w:rsidR="00E7359F" w:rsidRPr="00E7359F" w:rsidRDefault="00E7359F" w:rsidP="00E7359F">
            <w:pPr>
              <w:rPr>
                <w:rFonts w:ascii="Aptos Narrow" w:hAnsi="Aptos Narrow"/>
                <w:color w:val="000000"/>
              </w:rPr>
            </w:pPr>
            <w:r w:rsidRPr="00E7359F">
              <w:rPr>
                <w:rFonts w:ascii="Aptos Narrow" w:hAnsi="Aptos Narrow"/>
                <w:color w:val="000000"/>
              </w:rPr>
              <w:t>Knihovna</w:t>
            </w:r>
          </w:p>
        </w:tc>
        <w:tc>
          <w:tcPr>
            <w:tcW w:w="2268" w:type="dxa"/>
            <w:tcBorders>
              <w:top w:val="nil"/>
              <w:left w:val="nil"/>
              <w:bottom w:val="single" w:sz="4" w:space="0" w:color="auto"/>
              <w:right w:val="single" w:sz="4" w:space="0" w:color="auto"/>
            </w:tcBorders>
            <w:noWrap/>
            <w:vAlign w:val="center"/>
            <w:hideMark/>
          </w:tcPr>
          <w:p w14:paraId="4754D58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0,48</w:t>
            </w:r>
          </w:p>
        </w:tc>
        <w:tc>
          <w:tcPr>
            <w:tcW w:w="2268" w:type="dxa"/>
            <w:tcBorders>
              <w:top w:val="nil"/>
              <w:left w:val="nil"/>
              <w:bottom w:val="single" w:sz="4" w:space="0" w:color="auto"/>
              <w:right w:val="single" w:sz="4" w:space="0" w:color="auto"/>
            </w:tcBorders>
            <w:noWrap/>
            <w:vAlign w:val="center"/>
            <w:hideMark/>
          </w:tcPr>
          <w:p w14:paraId="1C90F19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0,11</w:t>
            </w:r>
          </w:p>
        </w:tc>
        <w:tc>
          <w:tcPr>
            <w:tcW w:w="2268" w:type="dxa"/>
            <w:tcBorders>
              <w:top w:val="nil"/>
              <w:left w:val="nil"/>
              <w:bottom w:val="single" w:sz="4" w:space="0" w:color="auto"/>
              <w:right w:val="single" w:sz="4" w:space="0" w:color="auto"/>
            </w:tcBorders>
            <w:noWrap/>
            <w:vAlign w:val="center"/>
            <w:hideMark/>
          </w:tcPr>
          <w:p w14:paraId="7F90FB4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0,43</w:t>
            </w:r>
          </w:p>
        </w:tc>
      </w:tr>
      <w:tr w:rsidR="00E7359F" w:rsidRPr="00E7359F" w14:paraId="028F1F32"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78757C8" w14:textId="77777777" w:rsidR="00E7359F" w:rsidRPr="00E7359F" w:rsidRDefault="00E7359F" w:rsidP="00E7359F">
            <w:pPr>
              <w:rPr>
                <w:rFonts w:ascii="Aptos Narrow" w:hAnsi="Aptos Narrow"/>
                <w:color w:val="000000"/>
              </w:rPr>
            </w:pPr>
            <w:r w:rsidRPr="00E7359F">
              <w:rPr>
                <w:rFonts w:ascii="Aptos Narrow" w:hAnsi="Aptos Narrow"/>
                <w:color w:val="000000"/>
              </w:rPr>
              <w:t>KMZ</w:t>
            </w:r>
          </w:p>
        </w:tc>
        <w:tc>
          <w:tcPr>
            <w:tcW w:w="2268" w:type="dxa"/>
            <w:tcBorders>
              <w:top w:val="nil"/>
              <w:left w:val="nil"/>
              <w:bottom w:val="single" w:sz="4" w:space="0" w:color="auto"/>
              <w:right w:val="single" w:sz="4" w:space="0" w:color="auto"/>
            </w:tcBorders>
            <w:noWrap/>
            <w:vAlign w:val="center"/>
            <w:hideMark/>
          </w:tcPr>
          <w:p w14:paraId="2E3F707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c>
          <w:tcPr>
            <w:tcW w:w="2268" w:type="dxa"/>
            <w:tcBorders>
              <w:top w:val="nil"/>
              <w:left w:val="nil"/>
              <w:bottom w:val="single" w:sz="4" w:space="0" w:color="auto"/>
              <w:right w:val="single" w:sz="4" w:space="0" w:color="auto"/>
            </w:tcBorders>
            <w:noWrap/>
            <w:vAlign w:val="center"/>
            <w:hideMark/>
          </w:tcPr>
          <w:p w14:paraId="52CB6DA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c>
          <w:tcPr>
            <w:tcW w:w="2268" w:type="dxa"/>
            <w:tcBorders>
              <w:top w:val="nil"/>
              <w:left w:val="nil"/>
              <w:bottom w:val="single" w:sz="4" w:space="0" w:color="auto"/>
              <w:right w:val="single" w:sz="4" w:space="0" w:color="auto"/>
            </w:tcBorders>
            <w:noWrap/>
            <w:vAlign w:val="center"/>
            <w:hideMark/>
          </w:tcPr>
          <w:p w14:paraId="6139D43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076DADA5" w14:textId="77777777" w:rsidTr="00E7359F">
        <w:trPr>
          <w:trHeight w:val="320"/>
        </w:trPr>
        <w:tc>
          <w:tcPr>
            <w:tcW w:w="2268" w:type="dxa"/>
            <w:tcBorders>
              <w:top w:val="nil"/>
              <w:left w:val="single" w:sz="4" w:space="0" w:color="auto"/>
              <w:bottom w:val="single" w:sz="4" w:space="0" w:color="auto"/>
              <w:right w:val="single" w:sz="4" w:space="0" w:color="auto"/>
            </w:tcBorders>
            <w:noWrap/>
            <w:vAlign w:val="center"/>
            <w:hideMark/>
          </w:tcPr>
          <w:p w14:paraId="47AC7324" w14:textId="77777777" w:rsidR="00E7359F" w:rsidRPr="00E7359F" w:rsidRDefault="00E7359F" w:rsidP="00E7359F">
            <w:pPr>
              <w:rPr>
                <w:rFonts w:ascii="Aptos Narrow" w:hAnsi="Aptos Narrow"/>
                <w:b/>
                <w:bCs/>
                <w:color w:val="000000"/>
              </w:rPr>
            </w:pPr>
            <w:r w:rsidRPr="00E7359F">
              <w:rPr>
                <w:rFonts w:ascii="Aptos Narrow" w:hAnsi="Aptos Narrow"/>
                <w:b/>
                <w:bCs/>
                <w:color w:val="000000"/>
              </w:rPr>
              <w:t>Celkem</w:t>
            </w:r>
          </w:p>
        </w:tc>
        <w:tc>
          <w:tcPr>
            <w:tcW w:w="2268" w:type="dxa"/>
            <w:tcBorders>
              <w:top w:val="nil"/>
              <w:left w:val="nil"/>
              <w:bottom w:val="single" w:sz="4" w:space="0" w:color="auto"/>
              <w:right w:val="single" w:sz="4" w:space="0" w:color="auto"/>
            </w:tcBorders>
            <w:noWrap/>
            <w:vAlign w:val="center"/>
            <w:hideMark/>
          </w:tcPr>
          <w:p w14:paraId="3DCA0BD7"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c>
          <w:tcPr>
            <w:tcW w:w="2268" w:type="dxa"/>
            <w:tcBorders>
              <w:top w:val="nil"/>
              <w:left w:val="nil"/>
              <w:bottom w:val="single" w:sz="4" w:space="0" w:color="auto"/>
              <w:right w:val="single" w:sz="4" w:space="0" w:color="auto"/>
            </w:tcBorders>
            <w:noWrap/>
            <w:vAlign w:val="center"/>
            <w:hideMark/>
          </w:tcPr>
          <w:p w14:paraId="0B3506D5"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c>
          <w:tcPr>
            <w:tcW w:w="2268" w:type="dxa"/>
            <w:tcBorders>
              <w:top w:val="nil"/>
              <w:left w:val="nil"/>
              <w:bottom w:val="single" w:sz="4" w:space="0" w:color="auto"/>
              <w:right w:val="single" w:sz="4" w:space="0" w:color="auto"/>
            </w:tcBorders>
            <w:noWrap/>
            <w:vAlign w:val="center"/>
            <w:hideMark/>
          </w:tcPr>
          <w:p w14:paraId="0C53D70C"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r>
    </w:tbl>
    <w:p w14:paraId="63278BEC" w14:textId="55451C79" w:rsidR="00E8532A" w:rsidRDefault="00E8532A">
      <w:pPr>
        <w:rPr>
          <w:rFonts w:asciiTheme="majorHAnsi" w:eastAsiaTheme="majorEastAsia" w:hAnsiTheme="majorHAnsi" w:cstheme="majorBidi"/>
          <w:color w:val="1F3763" w:themeColor="accent1" w:themeShade="7F"/>
        </w:rPr>
      </w:pPr>
    </w:p>
    <w:p w14:paraId="7F2FC4A8" w14:textId="77777777" w:rsidR="00DA3ED5" w:rsidRDefault="006B684F" w:rsidP="00DA3ED5">
      <w:pPr>
        <w:pStyle w:val="RozpoetNadpis3"/>
      </w:pPr>
      <w:bookmarkStart w:id="18" w:name="_Toc228824329"/>
      <w:r>
        <w:t xml:space="preserve">Indikátor </w:t>
      </w:r>
      <w:r w:rsidR="00DA3ED5">
        <w:t>RUV</w:t>
      </w:r>
      <w:bookmarkEnd w:id="18"/>
    </w:p>
    <w:p w14:paraId="416804B9" w14:textId="77777777" w:rsidR="00443546" w:rsidRPr="000A20AA" w:rsidRDefault="00443546" w:rsidP="00443546">
      <w:pPr>
        <w:pStyle w:val="RozpocetOdstavec"/>
      </w:pPr>
      <w:r w:rsidRPr="000A20AA">
        <w:t xml:space="preserve">Indikátor RUV představuje podíl součásti na bodové hodnotě výsledků umělecké činnosti UTB. Zdrojem dat jsou poslední dostupné výsledky tvůrčí umělecké činnosti evidované v Registru uměleckých výstupů, vedeného podle § 77c) zákona o vysokých školách. Jde </w:t>
      </w:r>
      <w:r w:rsidRPr="000A20AA">
        <w:br/>
        <w:t>o součtovou hodnotu výsledků za hodnocené předchozí pětileté období. Podle tohoto indikátoru bude mezi součásti rozdělena část ukazatele K přiděleného UTB podle RUV.</w:t>
      </w:r>
    </w:p>
    <w:p w14:paraId="32C4136E" w14:textId="77777777" w:rsidR="00E7359F" w:rsidRDefault="00E7359F" w:rsidP="00443546">
      <w:pPr>
        <w:pStyle w:val="RozpocetOdstavec"/>
        <w:rPr>
          <w:color w:val="00B050"/>
        </w:rPr>
      </w:pPr>
    </w:p>
    <w:tbl>
      <w:tblPr>
        <w:tblW w:w="9070" w:type="dxa"/>
        <w:tblLook w:val="04A0" w:firstRow="1" w:lastRow="0" w:firstColumn="1" w:lastColumn="0" w:noHBand="0" w:noVBand="1"/>
      </w:tblPr>
      <w:tblGrid>
        <w:gridCol w:w="2381"/>
        <w:gridCol w:w="907"/>
        <w:gridCol w:w="907"/>
        <w:gridCol w:w="907"/>
        <w:gridCol w:w="907"/>
        <w:gridCol w:w="907"/>
        <w:gridCol w:w="907"/>
        <w:gridCol w:w="1247"/>
      </w:tblGrid>
      <w:tr w:rsidR="00E7359F" w:rsidRPr="00E7359F" w14:paraId="4DBD02C8" w14:textId="77777777" w:rsidTr="00E7359F">
        <w:trPr>
          <w:trHeight w:val="320"/>
        </w:trPr>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9E3740" w14:textId="2735CDEA" w:rsidR="00E7359F" w:rsidRPr="00E7359F" w:rsidRDefault="00E7359F" w:rsidP="00E7359F">
            <w:pPr>
              <w:jc w:val="center"/>
              <w:rPr>
                <w:rFonts w:ascii="Aptos Narrow" w:hAnsi="Aptos Narrow"/>
                <w:b/>
                <w:bCs/>
                <w:color w:val="000000"/>
              </w:rPr>
            </w:pPr>
            <w:r>
              <w:rPr>
                <w:rFonts w:ascii="Aptos Narrow" w:hAnsi="Aptos Narrow"/>
                <w:b/>
                <w:bCs/>
                <w:color w:val="000000"/>
              </w:rPr>
              <w:t>Součást</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BA71A1"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2020</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0A63676"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2021</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8401D8"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2022</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477F0D"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2023</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3E21B49"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2024</w:t>
            </w:r>
          </w:p>
        </w:tc>
        <w:tc>
          <w:tcPr>
            <w:tcW w:w="9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3D7D7C"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RUV</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603E034" w14:textId="77777777" w:rsidR="00E7359F" w:rsidRPr="00E7359F" w:rsidRDefault="00E7359F" w:rsidP="00E7359F">
            <w:pPr>
              <w:jc w:val="center"/>
              <w:rPr>
                <w:rFonts w:ascii="Aptos Narrow" w:hAnsi="Aptos Narrow"/>
                <w:b/>
                <w:bCs/>
                <w:color w:val="000000"/>
              </w:rPr>
            </w:pPr>
            <w:r w:rsidRPr="00E7359F">
              <w:rPr>
                <w:rFonts w:ascii="Aptos Narrow" w:hAnsi="Aptos Narrow"/>
                <w:b/>
                <w:bCs/>
                <w:color w:val="000000"/>
              </w:rPr>
              <w:t>RUV v %</w:t>
            </w:r>
          </w:p>
        </w:tc>
      </w:tr>
      <w:tr w:rsidR="00E7359F" w:rsidRPr="00E7359F" w14:paraId="0B755185"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67208EF7" w14:textId="77777777" w:rsidR="00E7359F" w:rsidRPr="00E7359F" w:rsidRDefault="00E7359F" w:rsidP="00E7359F">
            <w:pPr>
              <w:rPr>
                <w:rFonts w:ascii="Aptos Narrow" w:hAnsi="Aptos Narrow"/>
                <w:color w:val="000000"/>
              </w:rPr>
            </w:pPr>
            <w:r w:rsidRPr="00E7359F">
              <w:rPr>
                <w:rFonts w:ascii="Aptos Narrow" w:hAnsi="Aptos Narrow"/>
                <w:color w:val="000000"/>
              </w:rPr>
              <w:t>FT</w:t>
            </w:r>
          </w:p>
        </w:tc>
        <w:tc>
          <w:tcPr>
            <w:tcW w:w="907" w:type="dxa"/>
            <w:tcBorders>
              <w:top w:val="nil"/>
              <w:left w:val="nil"/>
              <w:bottom w:val="single" w:sz="4" w:space="0" w:color="auto"/>
              <w:right w:val="single" w:sz="4" w:space="0" w:color="auto"/>
            </w:tcBorders>
            <w:noWrap/>
            <w:vAlign w:val="center"/>
            <w:hideMark/>
          </w:tcPr>
          <w:p w14:paraId="6719918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AF145FB"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51688C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C89DE8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02BEA7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FCFB5D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1E7F0F2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52E1091F"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EC50295" w14:textId="77777777" w:rsidR="00E7359F" w:rsidRPr="00E7359F" w:rsidRDefault="00E7359F" w:rsidP="00E7359F">
            <w:pPr>
              <w:rPr>
                <w:rFonts w:ascii="Aptos Narrow" w:hAnsi="Aptos Narrow"/>
                <w:color w:val="000000"/>
              </w:rPr>
            </w:pPr>
            <w:r w:rsidRPr="00E7359F">
              <w:rPr>
                <w:rFonts w:ascii="Aptos Narrow" w:hAnsi="Aptos Narrow"/>
                <w:color w:val="000000"/>
              </w:rPr>
              <w:t>FLKŘ</w:t>
            </w:r>
          </w:p>
        </w:tc>
        <w:tc>
          <w:tcPr>
            <w:tcW w:w="907" w:type="dxa"/>
            <w:tcBorders>
              <w:top w:val="nil"/>
              <w:left w:val="nil"/>
              <w:bottom w:val="single" w:sz="4" w:space="0" w:color="auto"/>
              <w:right w:val="single" w:sz="4" w:space="0" w:color="auto"/>
            </w:tcBorders>
            <w:noWrap/>
            <w:vAlign w:val="center"/>
            <w:hideMark/>
          </w:tcPr>
          <w:p w14:paraId="5700C87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4189D1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F4F0C83"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69FEE4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6085213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6E5710E4"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1D2FEE9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5DE9EE93"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1E27C42E" w14:textId="77777777" w:rsidR="00E7359F" w:rsidRPr="00E7359F" w:rsidRDefault="00E7359F" w:rsidP="00E7359F">
            <w:pPr>
              <w:rPr>
                <w:rFonts w:ascii="Aptos Narrow" w:hAnsi="Aptos Narrow"/>
                <w:color w:val="000000"/>
              </w:rPr>
            </w:pPr>
            <w:r w:rsidRPr="00E7359F">
              <w:rPr>
                <w:rFonts w:ascii="Aptos Narrow" w:hAnsi="Aptos Narrow"/>
                <w:color w:val="000000"/>
              </w:rPr>
              <w:t>FAI</w:t>
            </w:r>
          </w:p>
        </w:tc>
        <w:tc>
          <w:tcPr>
            <w:tcW w:w="907" w:type="dxa"/>
            <w:tcBorders>
              <w:top w:val="nil"/>
              <w:left w:val="nil"/>
              <w:bottom w:val="single" w:sz="4" w:space="0" w:color="auto"/>
              <w:right w:val="single" w:sz="4" w:space="0" w:color="auto"/>
            </w:tcBorders>
            <w:noWrap/>
            <w:vAlign w:val="center"/>
            <w:hideMark/>
          </w:tcPr>
          <w:p w14:paraId="769DCAF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E81212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AE2B04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592B54B"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841DBF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1A10EF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1AC6F67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5F38F166"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72725D58" w14:textId="77777777" w:rsidR="00E7359F" w:rsidRPr="00E7359F" w:rsidRDefault="00E7359F" w:rsidP="00E7359F">
            <w:pPr>
              <w:rPr>
                <w:rFonts w:ascii="Aptos Narrow" w:hAnsi="Aptos Narrow"/>
                <w:color w:val="000000"/>
              </w:rPr>
            </w:pPr>
            <w:r w:rsidRPr="00E7359F">
              <w:rPr>
                <w:rFonts w:ascii="Aptos Narrow" w:hAnsi="Aptos Narrow"/>
                <w:color w:val="000000"/>
              </w:rPr>
              <w:t>FMK</w:t>
            </w:r>
          </w:p>
        </w:tc>
        <w:tc>
          <w:tcPr>
            <w:tcW w:w="907" w:type="dxa"/>
            <w:tcBorders>
              <w:top w:val="nil"/>
              <w:left w:val="nil"/>
              <w:bottom w:val="single" w:sz="4" w:space="0" w:color="auto"/>
              <w:right w:val="single" w:sz="4" w:space="0" w:color="auto"/>
            </w:tcBorders>
            <w:noWrap/>
            <w:vAlign w:val="center"/>
            <w:hideMark/>
          </w:tcPr>
          <w:p w14:paraId="2873FCB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6 213</w:t>
            </w:r>
          </w:p>
        </w:tc>
        <w:tc>
          <w:tcPr>
            <w:tcW w:w="907" w:type="dxa"/>
            <w:tcBorders>
              <w:top w:val="nil"/>
              <w:left w:val="nil"/>
              <w:bottom w:val="single" w:sz="4" w:space="0" w:color="auto"/>
              <w:right w:val="single" w:sz="4" w:space="0" w:color="auto"/>
            </w:tcBorders>
            <w:noWrap/>
            <w:vAlign w:val="center"/>
            <w:hideMark/>
          </w:tcPr>
          <w:p w14:paraId="04B1F89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6 470</w:t>
            </w:r>
          </w:p>
        </w:tc>
        <w:tc>
          <w:tcPr>
            <w:tcW w:w="907" w:type="dxa"/>
            <w:tcBorders>
              <w:top w:val="nil"/>
              <w:left w:val="nil"/>
              <w:bottom w:val="single" w:sz="4" w:space="0" w:color="auto"/>
              <w:right w:val="single" w:sz="4" w:space="0" w:color="auto"/>
            </w:tcBorders>
            <w:noWrap/>
            <w:vAlign w:val="center"/>
            <w:hideMark/>
          </w:tcPr>
          <w:p w14:paraId="3A9A1D4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8 979</w:t>
            </w:r>
          </w:p>
        </w:tc>
        <w:tc>
          <w:tcPr>
            <w:tcW w:w="907" w:type="dxa"/>
            <w:tcBorders>
              <w:top w:val="nil"/>
              <w:left w:val="nil"/>
              <w:bottom w:val="single" w:sz="4" w:space="0" w:color="auto"/>
              <w:right w:val="single" w:sz="4" w:space="0" w:color="auto"/>
            </w:tcBorders>
            <w:noWrap/>
            <w:vAlign w:val="center"/>
            <w:hideMark/>
          </w:tcPr>
          <w:p w14:paraId="456232FD"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11 665</w:t>
            </w:r>
          </w:p>
        </w:tc>
        <w:tc>
          <w:tcPr>
            <w:tcW w:w="907" w:type="dxa"/>
            <w:tcBorders>
              <w:top w:val="nil"/>
              <w:left w:val="nil"/>
              <w:bottom w:val="single" w:sz="4" w:space="0" w:color="auto"/>
              <w:right w:val="single" w:sz="4" w:space="0" w:color="auto"/>
            </w:tcBorders>
            <w:noWrap/>
            <w:vAlign w:val="center"/>
            <w:hideMark/>
          </w:tcPr>
          <w:p w14:paraId="634AF9F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10 045</w:t>
            </w:r>
          </w:p>
        </w:tc>
        <w:tc>
          <w:tcPr>
            <w:tcW w:w="907" w:type="dxa"/>
            <w:tcBorders>
              <w:top w:val="nil"/>
              <w:left w:val="nil"/>
              <w:bottom w:val="single" w:sz="4" w:space="0" w:color="auto"/>
              <w:right w:val="single" w:sz="4" w:space="0" w:color="auto"/>
            </w:tcBorders>
            <w:noWrap/>
            <w:vAlign w:val="center"/>
            <w:hideMark/>
          </w:tcPr>
          <w:p w14:paraId="4E643B5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43 371</w:t>
            </w:r>
          </w:p>
        </w:tc>
        <w:tc>
          <w:tcPr>
            <w:tcW w:w="1247" w:type="dxa"/>
            <w:tcBorders>
              <w:top w:val="nil"/>
              <w:left w:val="nil"/>
              <w:bottom w:val="single" w:sz="4" w:space="0" w:color="auto"/>
              <w:right w:val="single" w:sz="4" w:space="0" w:color="auto"/>
            </w:tcBorders>
            <w:noWrap/>
            <w:vAlign w:val="center"/>
            <w:hideMark/>
          </w:tcPr>
          <w:p w14:paraId="764564CD"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98,74</w:t>
            </w:r>
          </w:p>
        </w:tc>
      </w:tr>
      <w:tr w:rsidR="00E7359F" w:rsidRPr="00E7359F" w14:paraId="3A8565E6"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691C9AC" w14:textId="77777777" w:rsidR="00E7359F" w:rsidRPr="00E7359F" w:rsidRDefault="00E7359F" w:rsidP="00E7359F">
            <w:pPr>
              <w:rPr>
                <w:rFonts w:ascii="Aptos Narrow" w:hAnsi="Aptos Narrow"/>
                <w:color w:val="000000"/>
              </w:rPr>
            </w:pPr>
            <w:r w:rsidRPr="00E7359F">
              <w:rPr>
                <w:rFonts w:ascii="Aptos Narrow" w:hAnsi="Aptos Narrow"/>
                <w:color w:val="000000"/>
              </w:rPr>
              <w:t>FaME</w:t>
            </w:r>
          </w:p>
        </w:tc>
        <w:tc>
          <w:tcPr>
            <w:tcW w:w="907" w:type="dxa"/>
            <w:tcBorders>
              <w:top w:val="nil"/>
              <w:left w:val="nil"/>
              <w:bottom w:val="single" w:sz="4" w:space="0" w:color="auto"/>
              <w:right w:val="single" w:sz="4" w:space="0" w:color="auto"/>
            </w:tcBorders>
            <w:noWrap/>
            <w:vAlign w:val="center"/>
            <w:hideMark/>
          </w:tcPr>
          <w:p w14:paraId="41F28960"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08D031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CBB58D4"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A4B729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B77DFD4"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0D27AB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75BBA3B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6EAA5F2F"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AA2F31C" w14:textId="77777777" w:rsidR="00E7359F" w:rsidRPr="00E7359F" w:rsidRDefault="00E7359F" w:rsidP="00E7359F">
            <w:pPr>
              <w:rPr>
                <w:rFonts w:ascii="Aptos Narrow" w:hAnsi="Aptos Narrow"/>
                <w:color w:val="000000"/>
              </w:rPr>
            </w:pPr>
            <w:r w:rsidRPr="00E7359F">
              <w:rPr>
                <w:rFonts w:ascii="Aptos Narrow" w:hAnsi="Aptos Narrow"/>
                <w:color w:val="000000"/>
              </w:rPr>
              <w:t>FHS</w:t>
            </w:r>
          </w:p>
        </w:tc>
        <w:tc>
          <w:tcPr>
            <w:tcW w:w="907" w:type="dxa"/>
            <w:tcBorders>
              <w:top w:val="nil"/>
              <w:left w:val="nil"/>
              <w:bottom w:val="single" w:sz="4" w:space="0" w:color="auto"/>
              <w:right w:val="single" w:sz="4" w:space="0" w:color="auto"/>
            </w:tcBorders>
            <w:noWrap/>
            <w:vAlign w:val="center"/>
            <w:hideMark/>
          </w:tcPr>
          <w:p w14:paraId="485548B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AD49D7C"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9AA463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45446E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030079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6DA0349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360EBE6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35DEF799"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19128703" w14:textId="77777777" w:rsidR="00E7359F" w:rsidRPr="00E7359F" w:rsidRDefault="00E7359F" w:rsidP="00E7359F">
            <w:pPr>
              <w:rPr>
                <w:rFonts w:ascii="Aptos Narrow" w:hAnsi="Aptos Narrow"/>
                <w:color w:val="000000"/>
              </w:rPr>
            </w:pPr>
            <w:r w:rsidRPr="00E7359F">
              <w:rPr>
                <w:rFonts w:ascii="Aptos Narrow" w:hAnsi="Aptos Narrow"/>
                <w:color w:val="000000"/>
              </w:rPr>
              <w:t>UNI</w:t>
            </w:r>
          </w:p>
        </w:tc>
        <w:tc>
          <w:tcPr>
            <w:tcW w:w="907" w:type="dxa"/>
            <w:tcBorders>
              <w:top w:val="nil"/>
              <w:left w:val="nil"/>
              <w:bottom w:val="single" w:sz="4" w:space="0" w:color="auto"/>
              <w:right w:val="single" w:sz="4" w:space="0" w:color="auto"/>
            </w:tcBorders>
            <w:noWrap/>
            <w:vAlign w:val="center"/>
            <w:hideMark/>
          </w:tcPr>
          <w:p w14:paraId="76D2380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22</w:t>
            </w:r>
          </w:p>
        </w:tc>
        <w:tc>
          <w:tcPr>
            <w:tcW w:w="907" w:type="dxa"/>
            <w:tcBorders>
              <w:top w:val="nil"/>
              <w:left w:val="nil"/>
              <w:bottom w:val="single" w:sz="4" w:space="0" w:color="auto"/>
              <w:right w:val="single" w:sz="4" w:space="0" w:color="auto"/>
            </w:tcBorders>
            <w:noWrap/>
            <w:vAlign w:val="center"/>
            <w:hideMark/>
          </w:tcPr>
          <w:p w14:paraId="79BB8E3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434</w:t>
            </w:r>
          </w:p>
        </w:tc>
        <w:tc>
          <w:tcPr>
            <w:tcW w:w="907" w:type="dxa"/>
            <w:tcBorders>
              <w:top w:val="nil"/>
              <w:left w:val="nil"/>
              <w:bottom w:val="single" w:sz="4" w:space="0" w:color="auto"/>
              <w:right w:val="single" w:sz="4" w:space="0" w:color="auto"/>
            </w:tcBorders>
            <w:noWrap/>
            <w:vAlign w:val="center"/>
            <w:hideMark/>
          </w:tcPr>
          <w:p w14:paraId="2B4C175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98</w:t>
            </w:r>
          </w:p>
        </w:tc>
        <w:tc>
          <w:tcPr>
            <w:tcW w:w="907" w:type="dxa"/>
            <w:tcBorders>
              <w:top w:val="nil"/>
              <w:left w:val="nil"/>
              <w:bottom w:val="single" w:sz="4" w:space="0" w:color="auto"/>
              <w:right w:val="single" w:sz="4" w:space="0" w:color="auto"/>
            </w:tcBorders>
            <w:noWrap/>
            <w:vAlign w:val="center"/>
            <w:hideMark/>
          </w:tcPr>
          <w:p w14:paraId="21276CF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08B56A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C89381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554</w:t>
            </w:r>
          </w:p>
        </w:tc>
        <w:tc>
          <w:tcPr>
            <w:tcW w:w="1247" w:type="dxa"/>
            <w:tcBorders>
              <w:top w:val="nil"/>
              <w:left w:val="nil"/>
              <w:bottom w:val="single" w:sz="4" w:space="0" w:color="auto"/>
              <w:right w:val="single" w:sz="4" w:space="0" w:color="auto"/>
            </w:tcBorders>
            <w:noWrap/>
            <w:vAlign w:val="center"/>
            <w:hideMark/>
          </w:tcPr>
          <w:p w14:paraId="37398CE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1,26</w:t>
            </w:r>
          </w:p>
        </w:tc>
      </w:tr>
      <w:tr w:rsidR="00E7359F" w:rsidRPr="00E7359F" w14:paraId="68AAF9B8"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45CD6A38" w14:textId="77777777" w:rsidR="00E7359F" w:rsidRPr="00E7359F" w:rsidRDefault="00E7359F" w:rsidP="00E7359F">
            <w:pPr>
              <w:rPr>
                <w:rFonts w:ascii="Aptos Narrow" w:hAnsi="Aptos Narrow"/>
                <w:color w:val="000000"/>
              </w:rPr>
            </w:pPr>
            <w:r w:rsidRPr="00E7359F">
              <w:rPr>
                <w:rFonts w:ascii="Aptos Narrow" w:hAnsi="Aptos Narrow"/>
                <w:color w:val="000000"/>
              </w:rPr>
              <w:t>CPS</w:t>
            </w:r>
          </w:p>
        </w:tc>
        <w:tc>
          <w:tcPr>
            <w:tcW w:w="907" w:type="dxa"/>
            <w:tcBorders>
              <w:top w:val="nil"/>
              <w:left w:val="nil"/>
              <w:bottom w:val="single" w:sz="4" w:space="0" w:color="auto"/>
              <w:right w:val="single" w:sz="4" w:space="0" w:color="auto"/>
            </w:tcBorders>
            <w:noWrap/>
            <w:vAlign w:val="center"/>
            <w:hideMark/>
          </w:tcPr>
          <w:p w14:paraId="7470C4AD" w14:textId="044844E8"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53614FD" w14:textId="57D1AD21"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6CFF638" w14:textId="6AF949D6"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32580B0" w14:textId="2900A752"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0C69836" w14:textId="7166E944"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DCA12E6"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4C44061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43835C84"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023B05BA" w14:textId="77777777" w:rsidR="00E7359F" w:rsidRPr="00E7359F" w:rsidRDefault="00E7359F" w:rsidP="00E7359F">
            <w:pPr>
              <w:rPr>
                <w:rFonts w:ascii="Aptos Narrow" w:hAnsi="Aptos Narrow"/>
                <w:color w:val="000000"/>
              </w:rPr>
            </w:pPr>
            <w:r w:rsidRPr="00E7359F">
              <w:rPr>
                <w:rFonts w:ascii="Aptos Narrow" w:hAnsi="Aptos Narrow"/>
                <w:color w:val="000000"/>
              </w:rPr>
              <w:t>CEBIA-Tech</w:t>
            </w:r>
          </w:p>
        </w:tc>
        <w:tc>
          <w:tcPr>
            <w:tcW w:w="907" w:type="dxa"/>
            <w:tcBorders>
              <w:top w:val="nil"/>
              <w:left w:val="nil"/>
              <w:bottom w:val="single" w:sz="4" w:space="0" w:color="auto"/>
              <w:right w:val="single" w:sz="4" w:space="0" w:color="auto"/>
            </w:tcBorders>
            <w:noWrap/>
            <w:vAlign w:val="center"/>
            <w:hideMark/>
          </w:tcPr>
          <w:p w14:paraId="2D576A0B" w14:textId="3B9CD8E9"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D8BE7B1" w14:textId="55FDFDE5"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B44248D" w14:textId="4AC3BAAB"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03B185B" w14:textId="274917BE"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46221A73" w14:textId="0D3D2833"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255D7AE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0E3FE00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134FC741"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21810F38" w14:textId="77777777" w:rsidR="00E7359F" w:rsidRPr="00E7359F" w:rsidRDefault="00E7359F" w:rsidP="00E7359F">
            <w:pPr>
              <w:rPr>
                <w:rFonts w:ascii="Aptos Narrow" w:hAnsi="Aptos Narrow"/>
                <w:color w:val="000000"/>
              </w:rPr>
            </w:pPr>
            <w:r w:rsidRPr="00E7359F">
              <w:rPr>
                <w:rFonts w:ascii="Aptos Narrow" w:hAnsi="Aptos Narrow"/>
                <w:color w:val="000000"/>
              </w:rPr>
              <w:t>Knihovna</w:t>
            </w:r>
          </w:p>
        </w:tc>
        <w:tc>
          <w:tcPr>
            <w:tcW w:w="907" w:type="dxa"/>
            <w:tcBorders>
              <w:top w:val="nil"/>
              <w:left w:val="nil"/>
              <w:bottom w:val="single" w:sz="4" w:space="0" w:color="auto"/>
              <w:right w:val="single" w:sz="4" w:space="0" w:color="auto"/>
            </w:tcBorders>
            <w:noWrap/>
            <w:vAlign w:val="center"/>
            <w:hideMark/>
          </w:tcPr>
          <w:p w14:paraId="6F3193F5"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C061C2F"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1740C6A"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0C0D3A7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287C52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DA39401"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6771C99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78DE0879"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769BC5D4" w14:textId="77777777" w:rsidR="00E7359F" w:rsidRPr="00E7359F" w:rsidRDefault="00E7359F" w:rsidP="00E7359F">
            <w:pPr>
              <w:rPr>
                <w:rFonts w:ascii="Aptos Narrow" w:hAnsi="Aptos Narrow"/>
                <w:color w:val="000000"/>
              </w:rPr>
            </w:pPr>
            <w:r w:rsidRPr="00E7359F">
              <w:rPr>
                <w:rFonts w:ascii="Aptos Narrow" w:hAnsi="Aptos Narrow"/>
                <w:color w:val="000000"/>
              </w:rPr>
              <w:t>KMZ</w:t>
            </w:r>
          </w:p>
        </w:tc>
        <w:tc>
          <w:tcPr>
            <w:tcW w:w="907" w:type="dxa"/>
            <w:tcBorders>
              <w:top w:val="nil"/>
              <w:left w:val="nil"/>
              <w:bottom w:val="single" w:sz="4" w:space="0" w:color="auto"/>
              <w:right w:val="single" w:sz="4" w:space="0" w:color="auto"/>
            </w:tcBorders>
            <w:noWrap/>
            <w:vAlign w:val="center"/>
            <w:hideMark/>
          </w:tcPr>
          <w:p w14:paraId="51013F37"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7E2FBB8"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19DF9A69"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32337C7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7C39F42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907" w:type="dxa"/>
            <w:tcBorders>
              <w:top w:val="nil"/>
              <w:left w:val="nil"/>
              <w:bottom w:val="single" w:sz="4" w:space="0" w:color="auto"/>
              <w:right w:val="single" w:sz="4" w:space="0" w:color="auto"/>
            </w:tcBorders>
            <w:noWrap/>
            <w:vAlign w:val="center"/>
            <w:hideMark/>
          </w:tcPr>
          <w:p w14:paraId="5657AA92"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w:t>
            </w:r>
          </w:p>
        </w:tc>
        <w:tc>
          <w:tcPr>
            <w:tcW w:w="1247" w:type="dxa"/>
            <w:tcBorders>
              <w:top w:val="nil"/>
              <w:left w:val="nil"/>
              <w:bottom w:val="single" w:sz="4" w:space="0" w:color="auto"/>
              <w:right w:val="single" w:sz="4" w:space="0" w:color="auto"/>
            </w:tcBorders>
            <w:noWrap/>
            <w:vAlign w:val="center"/>
            <w:hideMark/>
          </w:tcPr>
          <w:p w14:paraId="7C37845E" w14:textId="77777777" w:rsidR="00E7359F" w:rsidRPr="00E7359F" w:rsidRDefault="00E7359F" w:rsidP="00E7359F">
            <w:pPr>
              <w:jc w:val="right"/>
              <w:rPr>
                <w:rFonts w:ascii="Aptos Narrow" w:hAnsi="Aptos Narrow"/>
                <w:color w:val="000000"/>
              </w:rPr>
            </w:pPr>
            <w:r w:rsidRPr="00E7359F">
              <w:rPr>
                <w:rFonts w:ascii="Aptos Narrow" w:hAnsi="Aptos Narrow"/>
                <w:color w:val="000000"/>
              </w:rPr>
              <w:t>0,00</w:t>
            </w:r>
          </w:p>
        </w:tc>
      </w:tr>
      <w:tr w:rsidR="00E7359F" w:rsidRPr="00E7359F" w14:paraId="0DBD27B0" w14:textId="77777777" w:rsidTr="00E7359F">
        <w:trPr>
          <w:trHeight w:val="320"/>
        </w:trPr>
        <w:tc>
          <w:tcPr>
            <w:tcW w:w="2381" w:type="dxa"/>
            <w:tcBorders>
              <w:top w:val="nil"/>
              <w:left w:val="single" w:sz="4" w:space="0" w:color="auto"/>
              <w:bottom w:val="single" w:sz="4" w:space="0" w:color="auto"/>
              <w:right w:val="single" w:sz="4" w:space="0" w:color="auto"/>
            </w:tcBorders>
            <w:noWrap/>
            <w:vAlign w:val="center"/>
            <w:hideMark/>
          </w:tcPr>
          <w:p w14:paraId="78F81399" w14:textId="77777777" w:rsidR="00E7359F" w:rsidRPr="00E7359F" w:rsidRDefault="00E7359F" w:rsidP="00E7359F">
            <w:pPr>
              <w:rPr>
                <w:rFonts w:ascii="Aptos Narrow" w:hAnsi="Aptos Narrow"/>
                <w:b/>
                <w:bCs/>
                <w:color w:val="000000"/>
              </w:rPr>
            </w:pPr>
            <w:r w:rsidRPr="00E7359F">
              <w:rPr>
                <w:rFonts w:ascii="Aptos Narrow" w:hAnsi="Aptos Narrow"/>
                <w:b/>
                <w:bCs/>
                <w:color w:val="000000"/>
              </w:rPr>
              <w:t>Celkem</w:t>
            </w:r>
          </w:p>
        </w:tc>
        <w:tc>
          <w:tcPr>
            <w:tcW w:w="907" w:type="dxa"/>
            <w:tcBorders>
              <w:top w:val="nil"/>
              <w:left w:val="nil"/>
              <w:bottom w:val="single" w:sz="4" w:space="0" w:color="auto"/>
              <w:right w:val="single" w:sz="4" w:space="0" w:color="auto"/>
            </w:tcBorders>
            <w:noWrap/>
            <w:vAlign w:val="center"/>
            <w:hideMark/>
          </w:tcPr>
          <w:p w14:paraId="6014C858"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6 235</w:t>
            </w:r>
          </w:p>
        </w:tc>
        <w:tc>
          <w:tcPr>
            <w:tcW w:w="907" w:type="dxa"/>
            <w:tcBorders>
              <w:top w:val="nil"/>
              <w:left w:val="nil"/>
              <w:bottom w:val="single" w:sz="4" w:space="0" w:color="auto"/>
              <w:right w:val="single" w:sz="4" w:space="0" w:color="auto"/>
            </w:tcBorders>
            <w:noWrap/>
            <w:vAlign w:val="center"/>
            <w:hideMark/>
          </w:tcPr>
          <w:p w14:paraId="1856CA3D"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6 904</w:t>
            </w:r>
          </w:p>
        </w:tc>
        <w:tc>
          <w:tcPr>
            <w:tcW w:w="907" w:type="dxa"/>
            <w:tcBorders>
              <w:top w:val="nil"/>
              <w:left w:val="nil"/>
              <w:bottom w:val="single" w:sz="4" w:space="0" w:color="auto"/>
              <w:right w:val="single" w:sz="4" w:space="0" w:color="auto"/>
            </w:tcBorders>
            <w:noWrap/>
            <w:vAlign w:val="center"/>
            <w:hideMark/>
          </w:tcPr>
          <w:p w14:paraId="549939B6"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9 077</w:t>
            </w:r>
          </w:p>
        </w:tc>
        <w:tc>
          <w:tcPr>
            <w:tcW w:w="907" w:type="dxa"/>
            <w:tcBorders>
              <w:top w:val="nil"/>
              <w:left w:val="nil"/>
              <w:bottom w:val="single" w:sz="4" w:space="0" w:color="auto"/>
              <w:right w:val="single" w:sz="4" w:space="0" w:color="auto"/>
            </w:tcBorders>
            <w:noWrap/>
            <w:vAlign w:val="center"/>
            <w:hideMark/>
          </w:tcPr>
          <w:p w14:paraId="1547D3C3"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11 665</w:t>
            </w:r>
          </w:p>
        </w:tc>
        <w:tc>
          <w:tcPr>
            <w:tcW w:w="907" w:type="dxa"/>
            <w:tcBorders>
              <w:top w:val="nil"/>
              <w:left w:val="nil"/>
              <w:bottom w:val="single" w:sz="4" w:space="0" w:color="auto"/>
              <w:right w:val="single" w:sz="4" w:space="0" w:color="auto"/>
            </w:tcBorders>
            <w:noWrap/>
            <w:vAlign w:val="center"/>
            <w:hideMark/>
          </w:tcPr>
          <w:p w14:paraId="7F938EBE"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10 045</w:t>
            </w:r>
          </w:p>
        </w:tc>
        <w:tc>
          <w:tcPr>
            <w:tcW w:w="907" w:type="dxa"/>
            <w:tcBorders>
              <w:top w:val="nil"/>
              <w:left w:val="nil"/>
              <w:bottom w:val="single" w:sz="4" w:space="0" w:color="auto"/>
              <w:right w:val="single" w:sz="4" w:space="0" w:color="auto"/>
            </w:tcBorders>
            <w:noWrap/>
            <w:vAlign w:val="center"/>
            <w:hideMark/>
          </w:tcPr>
          <w:p w14:paraId="5AD803FC"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43 925</w:t>
            </w:r>
          </w:p>
        </w:tc>
        <w:tc>
          <w:tcPr>
            <w:tcW w:w="1247" w:type="dxa"/>
            <w:tcBorders>
              <w:top w:val="nil"/>
              <w:left w:val="nil"/>
              <w:bottom w:val="single" w:sz="4" w:space="0" w:color="auto"/>
              <w:right w:val="single" w:sz="4" w:space="0" w:color="auto"/>
            </w:tcBorders>
            <w:noWrap/>
            <w:vAlign w:val="center"/>
            <w:hideMark/>
          </w:tcPr>
          <w:p w14:paraId="2C1DC938" w14:textId="77777777" w:rsidR="00E7359F" w:rsidRPr="00E7359F" w:rsidRDefault="00E7359F" w:rsidP="00E7359F">
            <w:pPr>
              <w:jc w:val="right"/>
              <w:rPr>
                <w:rFonts w:ascii="Aptos Narrow" w:hAnsi="Aptos Narrow"/>
                <w:b/>
                <w:bCs/>
                <w:color w:val="000000"/>
              </w:rPr>
            </w:pPr>
            <w:r w:rsidRPr="00E7359F">
              <w:rPr>
                <w:rFonts w:ascii="Aptos Narrow" w:hAnsi="Aptos Narrow"/>
                <w:b/>
                <w:bCs/>
                <w:color w:val="000000"/>
              </w:rPr>
              <w:t>100,00</w:t>
            </w:r>
          </w:p>
        </w:tc>
      </w:tr>
    </w:tbl>
    <w:p w14:paraId="309A620B" w14:textId="77777777" w:rsidR="00B63612" w:rsidRDefault="00B63612" w:rsidP="001C01D7">
      <w:pPr>
        <w:pStyle w:val="RozpocetOdstavec"/>
      </w:pPr>
    </w:p>
    <w:p w14:paraId="2DB01B1C" w14:textId="77777777" w:rsidR="00DA3ED5" w:rsidRDefault="006B684F" w:rsidP="00DA3ED5">
      <w:pPr>
        <w:pStyle w:val="RozpoetNadpis3"/>
      </w:pPr>
      <w:bookmarkStart w:id="19" w:name="_Toc228824330"/>
      <w:r>
        <w:t>Indikátor e</w:t>
      </w:r>
      <w:r w:rsidR="00DA3ED5">
        <w:t>xterní příjmy</w:t>
      </w:r>
      <w:bookmarkEnd w:id="19"/>
    </w:p>
    <w:p w14:paraId="5004C4FC" w14:textId="77777777" w:rsidR="000A5C85" w:rsidRPr="000A20AA" w:rsidRDefault="000A5C85" w:rsidP="000A5C85">
      <w:pPr>
        <w:pStyle w:val="RozpocetOdstavec"/>
      </w:pPr>
      <w:r w:rsidRPr="000A20AA">
        <w:t>Indikátor externí příjmy představuje podíl součásti na součtu finančních prostředků UTB, zahrnujících:</w:t>
      </w:r>
    </w:p>
    <w:p w14:paraId="6205DC8C" w14:textId="77777777" w:rsidR="000A5C85" w:rsidRPr="000A20AA" w:rsidRDefault="000A5C85" w:rsidP="000A5C85">
      <w:pPr>
        <w:pStyle w:val="Odstavecseseznamem"/>
        <w:numPr>
          <w:ilvl w:val="0"/>
          <w:numId w:val="24"/>
        </w:numPr>
        <w:jc w:val="both"/>
      </w:pPr>
      <w:r w:rsidRPr="000A20AA">
        <w:t>účelovou neinvestiční podporu výzkumu, vývoje a inovací – výši účelových neinvestičních prostředků (včetně zahraničních) na výzkum a vývoj (vyjma prostředků získaných z programů strukturálních fondů EU a vyjma prostředků získaných v rámci Národních programů udržitelnosti MŠMT),</w:t>
      </w:r>
    </w:p>
    <w:p w14:paraId="15EAE15F" w14:textId="77777777" w:rsidR="000A5C85" w:rsidRPr="000A20AA" w:rsidRDefault="000A5C85" w:rsidP="000A5C85">
      <w:pPr>
        <w:pStyle w:val="Odstavecseseznamem"/>
        <w:numPr>
          <w:ilvl w:val="0"/>
          <w:numId w:val="24"/>
        </w:numPr>
        <w:jc w:val="both"/>
      </w:pPr>
      <w:r w:rsidRPr="000A20AA">
        <w:t>příjmy z celoživotního vzdělávání,</w:t>
      </w:r>
    </w:p>
    <w:p w14:paraId="6ED4AC50" w14:textId="77777777" w:rsidR="000A5C85" w:rsidRPr="000A20AA" w:rsidRDefault="000A5C85" w:rsidP="000A5C85">
      <w:pPr>
        <w:pStyle w:val="Odstavecseseznamem"/>
        <w:numPr>
          <w:ilvl w:val="0"/>
          <w:numId w:val="24"/>
        </w:numPr>
        <w:jc w:val="both"/>
      </w:pPr>
      <w:r w:rsidRPr="000A20AA">
        <w:t>výnosy z transferu znalostí.</w:t>
      </w:r>
    </w:p>
    <w:p w14:paraId="6FE358BE" w14:textId="77777777" w:rsidR="000A5C85" w:rsidRPr="000A20AA" w:rsidRDefault="000A5C85" w:rsidP="000A5C85">
      <w:pPr>
        <w:pStyle w:val="RozpocetOdstavec"/>
      </w:pPr>
    </w:p>
    <w:p w14:paraId="7FD06F93" w14:textId="77777777" w:rsidR="000A5C85" w:rsidRPr="000A20AA" w:rsidRDefault="000A5C85" w:rsidP="000A5C85">
      <w:pPr>
        <w:pStyle w:val="RozpocetOdstavec"/>
      </w:pPr>
      <w:r w:rsidRPr="000A20AA">
        <w:t xml:space="preserve">Zdrojem dat jsou výroční zprávy o hospodaření VVŠ za roky 2024, 2023, 2022 s váhami 5:3:2. Podle tohoto indikátoru bude mezi součásti rozdělena část ukazatele </w:t>
      </w:r>
      <w:r w:rsidRPr="000A20AA">
        <w:br/>
        <w:t>K přiděleného UTB podle externích příjmů.</w:t>
      </w:r>
    </w:p>
    <w:p w14:paraId="5298F571" w14:textId="77777777" w:rsidR="00A4164A" w:rsidRDefault="00A4164A" w:rsidP="000A5C85">
      <w:pPr>
        <w:pStyle w:val="RozpocetOdstavec"/>
        <w:rPr>
          <w:color w:val="00B050"/>
        </w:rPr>
      </w:pPr>
    </w:p>
    <w:tbl>
      <w:tblPr>
        <w:tblW w:w="9070" w:type="dxa"/>
        <w:tblLook w:val="04A0" w:firstRow="1" w:lastRow="0" w:firstColumn="1" w:lastColumn="0" w:noHBand="0" w:noVBand="1"/>
      </w:tblPr>
      <w:tblGrid>
        <w:gridCol w:w="2268"/>
        <w:gridCol w:w="1020"/>
        <w:gridCol w:w="1020"/>
        <w:gridCol w:w="1020"/>
        <w:gridCol w:w="1701"/>
        <w:gridCol w:w="2041"/>
      </w:tblGrid>
      <w:tr w:rsidR="00A4164A" w:rsidRPr="00A4164A" w14:paraId="557AE637" w14:textId="77777777" w:rsidTr="00A4164A">
        <w:trPr>
          <w:trHeight w:val="32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4DB3A3" w14:textId="565E1697" w:rsidR="00A4164A" w:rsidRPr="00A4164A" w:rsidRDefault="00A4164A" w:rsidP="00A4164A">
            <w:pPr>
              <w:jc w:val="center"/>
              <w:rPr>
                <w:rFonts w:ascii="Aptos Narrow" w:hAnsi="Aptos Narrow"/>
                <w:b/>
                <w:bCs/>
                <w:color w:val="000000"/>
              </w:rPr>
            </w:pPr>
            <w:r>
              <w:rPr>
                <w:rFonts w:ascii="Aptos Narrow" w:hAnsi="Aptos Narrow"/>
                <w:b/>
                <w:bCs/>
                <w:color w:val="000000"/>
              </w:rPr>
              <w:lastRenderedPageBreak/>
              <w:t>Součást</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F141D7"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2022</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77B5D6"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2023</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87BFB0"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2024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D1A0D3"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Externí příjmy</w:t>
            </w:r>
          </w:p>
        </w:tc>
        <w:tc>
          <w:tcPr>
            <w:tcW w:w="20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1388FC" w14:textId="77777777" w:rsidR="00A4164A" w:rsidRPr="00A4164A" w:rsidRDefault="00A4164A" w:rsidP="00A4164A">
            <w:pPr>
              <w:jc w:val="center"/>
              <w:rPr>
                <w:rFonts w:ascii="Aptos Narrow" w:hAnsi="Aptos Narrow"/>
                <w:b/>
                <w:bCs/>
                <w:color w:val="000000"/>
              </w:rPr>
            </w:pPr>
            <w:r w:rsidRPr="00A4164A">
              <w:rPr>
                <w:rFonts w:ascii="Aptos Narrow" w:hAnsi="Aptos Narrow"/>
                <w:b/>
                <w:bCs/>
                <w:color w:val="000000"/>
              </w:rPr>
              <w:t>Externí příjmy v %</w:t>
            </w:r>
          </w:p>
        </w:tc>
      </w:tr>
      <w:tr w:rsidR="00A4164A" w:rsidRPr="00A4164A" w14:paraId="66B82B97"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66DEAE6F" w14:textId="77777777" w:rsidR="00A4164A" w:rsidRPr="00A4164A" w:rsidRDefault="00A4164A" w:rsidP="00A4164A">
            <w:pPr>
              <w:rPr>
                <w:rFonts w:ascii="Aptos Narrow" w:hAnsi="Aptos Narrow"/>
                <w:color w:val="000000"/>
              </w:rPr>
            </w:pPr>
            <w:r w:rsidRPr="00A4164A">
              <w:rPr>
                <w:rFonts w:ascii="Aptos Narrow" w:hAnsi="Aptos Narrow"/>
                <w:color w:val="000000"/>
              </w:rPr>
              <w:t>FT</w:t>
            </w:r>
          </w:p>
        </w:tc>
        <w:tc>
          <w:tcPr>
            <w:tcW w:w="1020" w:type="dxa"/>
            <w:tcBorders>
              <w:top w:val="nil"/>
              <w:left w:val="nil"/>
              <w:bottom w:val="single" w:sz="4" w:space="0" w:color="auto"/>
              <w:right w:val="single" w:sz="4" w:space="0" w:color="auto"/>
            </w:tcBorders>
            <w:noWrap/>
            <w:vAlign w:val="center"/>
            <w:hideMark/>
          </w:tcPr>
          <w:p w14:paraId="07D6CC1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13 243</w:t>
            </w:r>
          </w:p>
        </w:tc>
        <w:tc>
          <w:tcPr>
            <w:tcW w:w="1020" w:type="dxa"/>
            <w:tcBorders>
              <w:top w:val="nil"/>
              <w:left w:val="nil"/>
              <w:bottom w:val="single" w:sz="4" w:space="0" w:color="auto"/>
              <w:right w:val="single" w:sz="4" w:space="0" w:color="auto"/>
            </w:tcBorders>
            <w:noWrap/>
            <w:vAlign w:val="center"/>
            <w:hideMark/>
          </w:tcPr>
          <w:p w14:paraId="56605A2F"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15 609</w:t>
            </w:r>
          </w:p>
        </w:tc>
        <w:tc>
          <w:tcPr>
            <w:tcW w:w="1020" w:type="dxa"/>
            <w:tcBorders>
              <w:top w:val="nil"/>
              <w:left w:val="nil"/>
              <w:bottom w:val="single" w:sz="4" w:space="0" w:color="auto"/>
              <w:right w:val="single" w:sz="4" w:space="0" w:color="auto"/>
            </w:tcBorders>
            <w:noWrap/>
            <w:vAlign w:val="center"/>
            <w:hideMark/>
          </w:tcPr>
          <w:p w14:paraId="4970900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14 347</w:t>
            </w:r>
          </w:p>
        </w:tc>
        <w:tc>
          <w:tcPr>
            <w:tcW w:w="1701" w:type="dxa"/>
            <w:tcBorders>
              <w:top w:val="nil"/>
              <w:left w:val="nil"/>
              <w:bottom w:val="single" w:sz="4" w:space="0" w:color="auto"/>
              <w:right w:val="single" w:sz="4" w:space="0" w:color="auto"/>
            </w:tcBorders>
            <w:noWrap/>
            <w:vAlign w:val="center"/>
            <w:hideMark/>
          </w:tcPr>
          <w:p w14:paraId="7E51EC9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14 504,80    </w:t>
            </w:r>
          </w:p>
        </w:tc>
        <w:tc>
          <w:tcPr>
            <w:tcW w:w="2041" w:type="dxa"/>
            <w:tcBorders>
              <w:top w:val="nil"/>
              <w:left w:val="nil"/>
              <w:bottom w:val="single" w:sz="4" w:space="0" w:color="auto"/>
              <w:right w:val="single" w:sz="4" w:space="0" w:color="auto"/>
            </w:tcBorders>
            <w:noWrap/>
            <w:vAlign w:val="center"/>
            <w:hideMark/>
          </w:tcPr>
          <w:p w14:paraId="27EDBEA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9,26</w:t>
            </w:r>
          </w:p>
        </w:tc>
      </w:tr>
      <w:tr w:rsidR="00A4164A" w:rsidRPr="00A4164A" w14:paraId="5EE3690F"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426D23A9" w14:textId="77777777" w:rsidR="00A4164A" w:rsidRPr="00A4164A" w:rsidRDefault="00A4164A" w:rsidP="00A4164A">
            <w:pPr>
              <w:rPr>
                <w:rFonts w:ascii="Aptos Narrow" w:hAnsi="Aptos Narrow"/>
                <w:color w:val="000000"/>
              </w:rPr>
            </w:pPr>
            <w:r w:rsidRPr="00A4164A">
              <w:rPr>
                <w:rFonts w:ascii="Aptos Narrow" w:hAnsi="Aptos Narrow"/>
                <w:color w:val="000000"/>
              </w:rPr>
              <w:t>FLKŘ</w:t>
            </w:r>
          </w:p>
        </w:tc>
        <w:tc>
          <w:tcPr>
            <w:tcW w:w="1020" w:type="dxa"/>
            <w:tcBorders>
              <w:top w:val="nil"/>
              <w:left w:val="nil"/>
              <w:bottom w:val="single" w:sz="4" w:space="0" w:color="auto"/>
              <w:right w:val="single" w:sz="4" w:space="0" w:color="auto"/>
            </w:tcBorders>
            <w:noWrap/>
            <w:vAlign w:val="center"/>
            <w:hideMark/>
          </w:tcPr>
          <w:p w14:paraId="6FFDE22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5 941</w:t>
            </w:r>
          </w:p>
        </w:tc>
        <w:tc>
          <w:tcPr>
            <w:tcW w:w="1020" w:type="dxa"/>
            <w:tcBorders>
              <w:top w:val="nil"/>
              <w:left w:val="nil"/>
              <w:bottom w:val="single" w:sz="4" w:space="0" w:color="auto"/>
              <w:right w:val="single" w:sz="4" w:space="0" w:color="auto"/>
            </w:tcBorders>
            <w:noWrap/>
            <w:vAlign w:val="center"/>
            <w:hideMark/>
          </w:tcPr>
          <w:p w14:paraId="79D92716"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3 280</w:t>
            </w:r>
          </w:p>
        </w:tc>
        <w:tc>
          <w:tcPr>
            <w:tcW w:w="1020" w:type="dxa"/>
            <w:tcBorders>
              <w:top w:val="nil"/>
              <w:left w:val="nil"/>
              <w:bottom w:val="single" w:sz="4" w:space="0" w:color="auto"/>
              <w:right w:val="single" w:sz="4" w:space="0" w:color="auto"/>
            </w:tcBorders>
            <w:noWrap/>
            <w:vAlign w:val="center"/>
            <w:hideMark/>
          </w:tcPr>
          <w:p w14:paraId="1ABD770C"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3 653</w:t>
            </w:r>
          </w:p>
        </w:tc>
        <w:tc>
          <w:tcPr>
            <w:tcW w:w="1701" w:type="dxa"/>
            <w:tcBorders>
              <w:top w:val="nil"/>
              <w:left w:val="nil"/>
              <w:bottom w:val="single" w:sz="4" w:space="0" w:color="auto"/>
              <w:right w:val="single" w:sz="4" w:space="0" w:color="auto"/>
            </w:tcBorders>
            <w:noWrap/>
            <w:vAlign w:val="center"/>
            <w:hideMark/>
          </w:tcPr>
          <w:p w14:paraId="718CCB2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3 998,70    </w:t>
            </w:r>
          </w:p>
        </w:tc>
        <w:tc>
          <w:tcPr>
            <w:tcW w:w="2041" w:type="dxa"/>
            <w:tcBorders>
              <w:top w:val="nil"/>
              <w:left w:val="nil"/>
              <w:bottom w:val="single" w:sz="4" w:space="0" w:color="auto"/>
              <w:right w:val="single" w:sz="4" w:space="0" w:color="auto"/>
            </w:tcBorders>
            <w:noWrap/>
            <w:vAlign w:val="center"/>
            <w:hideMark/>
          </w:tcPr>
          <w:p w14:paraId="415B193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2,55</w:t>
            </w:r>
          </w:p>
        </w:tc>
      </w:tr>
      <w:tr w:rsidR="00A4164A" w:rsidRPr="00A4164A" w14:paraId="05A2D5D0"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55425DFB" w14:textId="77777777" w:rsidR="00A4164A" w:rsidRPr="00A4164A" w:rsidRDefault="00A4164A" w:rsidP="00A4164A">
            <w:pPr>
              <w:rPr>
                <w:rFonts w:ascii="Aptos Narrow" w:hAnsi="Aptos Narrow"/>
                <w:color w:val="000000"/>
              </w:rPr>
            </w:pPr>
            <w:r w:rsidRPr="00A4164A">
              <w:rPr>
                <w:rFonts w:ascii="Aptos Narrow" w:hAnsi="Aptos Narrow"/>
                <w:color w:val="000000"/>
              </w:rPr>
              <w:t>FAI</w:t>
            </w:r>
          </w:p>
        </w:tc>
        <w:tc>
          <w:tcPr>
            <w:tcW w:w="1020" w:type="dxa"/>
            <w:tcBorders>
              <w:top w:val="nil"/>
              <w:left w:val="nil"/>
              <w:bottom w:val="single" w:sz="4" w:space="0" w:color="auto"/>
              <w:right w:val="single" w:sz="4" w:space="0" w:color="auto"/>
            </w:tcBorders>
            <w:noWrap/>
            <w:vAlign w:val="center"/>
            <w:hideMark/>
          </w:tcPr>
          <w:p w14:paraId="6E1C57D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21 511</w:t>
            </w:r>
          </w:p>
        </w:tc>
        <w:tc>
          <w:tcPr>
            <w:tcW w:w="1020" w:type="dxa"/>
            <w:tcBorders>
              <w:top w:val="nil"/>
              <w:left w:val="nil"/>
              <w:bottom w:val="single" w:sz="4" w:space="0" w:color="auto"/>
              <w:right w:val="single" w:sz="4" w:space="0" w:color="auto"/>
            </w:tcBorders>
            <w:noWrap/>
            <w:vAlign w:val="center"/>
            <w:hideMark/>
          </w:tcPr>
          <w:p w14:paraId="50630EBA"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19 681</w:t>
            </w:r>
          </w:p>
        </w:tc>
        <w:tc>
          <w:tcPr>
            <w:tcW w:w="1020" w:type="dxa"/>
            <w:tcBorders>
              <w:top w:val="nil"/>
              <w:left w:val="nil"/>
              <w:bottom w:val="single" w:sz="4" w:space="0" w:color="auto"/>
              <w:right w:val="single" w:sz="4" w:space="0" w:color="auto"/>
            </w:tcBorders>
            <w:noWrap/>
            <w:vAlign w:val="center"/>
            <w:hideMark/>
          </w:tcPr>
          <w:p w14:paraId="0338C8D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18 792</w:t>
            </w:r>
          </w:p>
        </w:tc>
        <w:tc>
          <w:tcPr>
            <w:tcW w:w="1701" w:type="dxa"/>
            <w:tcBorders>
              <w:top w:val="nil"/>
              <w:left w:val="nil"/>
              <w:bottom w:val="single" w:sz="4" w:space="0" w:color="auto"/>
              <w:right w:val="single" w:sz="4" w:space="0" w:color="auto"/>
            </w:tcBorders>
            <w:noWrap/>
            <w:vAlign w:val="center"/>
            <w:hideMark/>
          </w:tcPr>
          <w:p w14:paraId="347CCC3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19 602,50    </w:t>
            </w:r>
          </w:p>
        </w:tc>
        <w:tc>
          <w:tcPr>
            <w:tcW w:w="2041" w:type="dxa"/>
            <w:tcBorders>
              <w:top w:val="nil"/>
              <w:left w:val="nil"/>
              <w:bottom w:val="single" w:sz="4" w:space="0" w:color="auto"/>
              <w:right w:val="single" w:sz="4" w:space="0" w:color="auto"/>
            </w:tcBorders>
            <w:noWrap/>
            <w:vAlign w:val="center"/>
            <w:hideMark/>
          </w:tcPr>
          <w:p w14:paraId="32B284F1"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12,51</w:t>
            </w:r>
          </w:p>
        </w:tc>
      </w:tr>
      <w:tr w:rsidR="00A4164A" w:rsidRPr="00A4164A" w14:paraId="5B4ECEC1"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52F1523F" w14:textId="77777777" w:rsidR="00A4164A" w:rsidRPr="00A4164A" w:rsidRDefault="00A4164A" w:rsidP="00A4164A">
            <w:pPr>
              <w:rPr>
                <w:rFonts w:ascii="Aptos Narrow" w:hAnsi="Aptos Narrow"/>
                <w:color w:val="000000"/>
              </w:rPr>
            </w:pPr>
            <w:r w:rsidRPr="00A4164A">
              <w:rPr>
                <w:rFonts w:ascii="Aptos Narrow" w:hAnsi="Aptos Narrow"/>
                <w:color w:val="000000"/>
              </w:rPr>
              <w:t>FMK</w:t>
            </w:r>
          </w:p>
        </w:tc>
        <w:tc>
          <w:tcPr>
            <w:tcW w:w="1020" w:type="dxa"/>
            <w:tcBorders>
              <w:top w:val="nil"/>
              <w:left w:val="nil"/>
              <w:bottom w:val="single" w:sz="4" w:space="0" w:color="auto"/>
              <w:right w:val="single" w:sz="4" w:space="0" w:color="auto"/>
            </w:tcBorders>
            <w:noWrap/>
            <w:vAlign w:val="center"/>
            <w:hideMark/>
          </w:tcPr>
          <w:p w14:paraId="0EED11E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7 377</w:t>
            </w:r>
          </w:p>
        </w:tc>
        <w:tc>
          <w:tcPr>
            <w:tcW w:w="1020" w:type="dxa"/>
            <w:tcBorders>
              <w:top w:val="nil"/>
              <w:left w:val="nil"/>
              <w:bottom w:val="single" w:sz="4" w:space="0" w:color="auto"/>
              <w:right w:val="single" w:sz="4" w:space="0" w:color="auto"/>
            </w:tcBorders>
            <w:noWrap/>
            <w:vAlign w:val="center"/>
            <w:hideMark/>
          </w:tcPr>
          <w:p w14:paraId="37D3BA2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3 378</w:t>
            </w:r>
          </w:p>
        </w:tc>
        <w:tc>
          <w:tcPr>
            <w:tcW w:w="1020" w:type="dxa"/>
            <w:tcBorders>
              <w:top w:val="nil"/>
              <w:left w:val="nil"/>
              <w:bottom w:val="single" w:sz="4" w:space="0" w:color="auto"/>
              <w:right w:val="single" w:sz="4" w:space="0" w:color="auto"/>
            </w:tcBorders>
            <w:noWrap/>
            <w:vAlign w:val="center"/>
            <w:hideMark/>
          </w:tcPr>
          <w:p w14:paraId="50996D11"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4 048</w:t>
            </w:r>
          </w:p>
        </w:tc>
        <w:tc>
          <w:tcPr>
            <w:tcW w:w="1701" w:type="dxa"/>
            <w:tcBorders>
              <w:top w:val="nil"/>
              <w:left w:val="nil"/>
              <w:bottom w:val="single" w:sz="4" w:space="0" w:color="auto"/>
              <w:right w:val="single" w:sz="4" w:space="0" w:color="auto"/>
            </w:tcBorders>
            <w:noWrap/>
            <w:vAlign w:val="center"/>
            <w:hideMark/>
          </w:tcPr>
          <w:p w14:paraId="28FA0B8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4 512,80    </w:t>
            </w:r>
          </w:p>
        </w:tc>
        <w:tc>
          <w:tcPr>
            <w:tcW w:w="2041" w:type="dxa"/>
            <w:tcBorders>
              <w:top w:val="nil"/>
              <w:left w:val="nil"/>
              <w:bottom w:val="single" w:sz="4" w:space="0" w:color="auto"/>
              <w:right w:val="single" w:sz="4" w:space="0" w:color="auto"/>
            </w:tcBorders>
            <w:noWrap/>
            <w:vAlign w:val="center"/>
            <w:hideMark/>
          </w:tcPr>
          <w:p w14:paraId="1B99188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2,88</w:t>
            </w:r>
          </w:p>
        </w:tc>
      </w:tr>
      <w:tr w:rsidR="00A4164A" w:rsidRPr="00A4164A" w14:paraId="20289D06"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795EA889" w14:textId="77777777" w:rsidR="00A4164A" w:rsidRPr="00A4164A" w:rsidRDefault="00A4164A" w:rsidP="00A4164A">
            <w:pPr>
              <w:rPr>
                <w:rFonts w:ascii="Aptos Narrow" w:hAnsi="Aptos Narrow"/>
                <w:color w:val="000000"/>
              </w:rPr>
            </w:pPr>
            <w:r w:rsidRPr="00A4164A">
              <w:rPr>
                <w:rFonts w:ascii="Aptos Narrow" w:hAnsi="Aptos Narrow"/>
                <w:color w:val="000000"/>
              </w:rPr>
              <w:t>FaME</w:t>
            </w:r>
          </w:p>
        </w:tc>
        <w:tc>
          <w:tcPr>
            <w:tcW w:w="1020" w:type="dxa"/>
            <w:tcBorders>
              <w:top w:val="nil"/>
              <w:left w:val="nil"/>
              <w:bottom w:val="single" w:sz="4" w:space="0" w:color="auto"/>
              <w:right w:val="single" w:sz="4" w:space="0" w:color="auto"/>
            </w:tcBorders>
            <w:noWrap/>
            <w:vAlign w:val="center"/>
            <w:hideMark/>
          </w:tcPr>
          <w:p w14:paraId="3F749B96"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13 391</w:t>
            </w:r>
          </w:p>
        </w:tc>
        <w:tc>
          <w:tcPr>
            <w:tcW w:w="1020" w:type="dxa"/>
            <w:tcBorders>
              <w:top w:val="nil"/>
              <w:left w:val="nil"/>
              <w:bottom w:val="single" w:sz="4" w:space="0" w:color="auto"/>
              <w:right w:val="single" w:sz="4" w:space="0" w:color="auto"/>
            </w:tcBorders>
            <w:noWrap/>
            <w:vAlign w:val="center"/>
            <w:hideMark/>
          </w:tcPr>
          <w:p w14:paraId="7781A11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11 575</w:t>
            </w:r>
          </w:p>
        </w:tc>
        <w:tc>
          <w:tcPr>
            <w:tcW w:w="1020" w:type="dxa"/>
            <w:tcBorders>
              <w:top w:val="nil"/>
              <w:left w:val="nil"/>
              <w:bottom w:val="single" w:sz="4" w:space="0" w:color="auto"/>
              <w:right w:val="single" w:sz="4" w:space="0" w:color="auto"/>
            </w:tcBorders>
            <w:noWrap/>
            <w:vAlign w:val="center"/>
            <w:hideMark/>
          </w:tcPr>
          <w:p w14:paraId="430D896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11 301</w:t>
            </w:r>
          </w:p>
        </w:tc>
        <w:tc>
          <w:tcPr>
            <w:tcW w:w="1701" w:type="dxa"/>
            <w:tcBorders>
              <w:top w:val="nil"/>
              <w:left w:val="nil"/>
              <w:bottom w:val="single" w:sz="4" w:space="0" w:color="auto"/>
              <w:right w:val="single" w:sz="4" w:space="0" w:color="auto"/>
            </w:tcBorders>
            <w:noWrap/>
            <w:vAlign w:val="center"/>
            <w:hideMark/>
          </w:tcPr>
          <w:p w14:paraId="795E22E4"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11 801,20    </w:t>
            </w:r>
          </w:p>
        </w:tc>
        <w:tc>
          <w:tcPr>
            <w:tcW w:w="2041" w:type="dxa"/>
            <w:tcBorders>
              <w:top w:val="nil"/>
              <w:left w:val="nil"/>
              <w:bottom w:val="single" w:sz="4" w:space="0" w:color="auto"/>
              <w:right w:val="single" w:sz="4" w:space="0" w:color="auto"/>
            </w:tcBorders>
            <w:noWrap/>
            <w:vAlign w:val="center"/>
            <w:hideMark/>
          </w:tcPr>
          <w:p w14:paraId="2B6D6E2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7,53</w:t>
            </w:r>
          </w:p>
        </w:tc>
      </w:tr>
      <w:tr w:rsidR="00A4164A" w:rsidRPr="00A4164A" w14:paraId="5744661E"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511CBF81" w14:textId="77777777" w:rsidR="00A4164A" w:rsidRPr="00A4164A" w:rsidRDefault="00A4164A" w:rsidP="00A4164A">
            <w:pPr>
              <w:rPr>
                <w:rFonts w:ascii="Aptos Narrow" w:hAnsi="Aptos Narrow"/>
                <w:color w:val="000000"/>
              </w:rPr>
            </w:pPr>
            <w:r w:rsidRPr="00A4164A">
              <w:rPr>
                <w:rFonts w:ascii="Aptos Narrow" w:hAnsi="Aptos Narrow"/>
                <w:color w:val="000000"/>
              </w:rPr>
              <w:t>FHS</w:t>
            </w:r>
          </w:p>
        </w:tc>
        <w:tc>
          <w:tcPr>
            <w:tcW w:w="1020" w:type="dxa"/>
            <w:tcBorders>
              <w:top w:val="nil"/>
              <w:left w:val="nil"/>
              <w:bottom w:val="single" w:sz="4" w:space="0" w:color="auto"/>
              <w:right w:val="single" w:sz="4" w:space="0" w:color="auto"/>
            </w:tcBorders>
            <w:noWrap/>
            <w:vAlign w:val="center"/>
            <w:hideMark/>
          </w:tcPr>
          <w:p w14:paraId="56EB86E9"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3 725</w:t>
            </w:r>
          </w:p>
        </w:tc>
        <w:tc>
          <w:tcPr>
            <w:tcW w:w="1020" w:type="dxa"/>
            <w:tcBorders>
              <w:top w:val="nil"/>
              <w:left w:val="nil"/>
              <w:bottom w:val="single" w:sz="4" w:space="0" w:color="auto"/>
              <w:right w:val="single" w:sz="4" w:space="0" w:color="auto"/>
            </w:tcBorders>
            <w:noWrap/>
            <w:vAlign w:val="center"/>
            <w:hideMark/>
          </w:tcPr>
          <w:p w14:paraId="24A38AB0"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3 748</w:t>
            </w:r>
          </w:p>
        </w:tc>
        <w:tc>
          <w:tcPr>
            <w:tcW w:w="1020" w:type="dxa"/>
            <w:tcBorders>
              <w:top w:val="nil"/>
              <w:left w:val="nil"/>
              <w:bottom w:val="single" w:sz="4" w:space="0" w:color="auto"/>
              <w:right w:val="single" w:sz="4" w:space="0" w:color="auto"/>
            </w:tcBorders>
            <w:noWrap/>
            <w:vAlign w:val="center"/>
            <w:hideMark/>
          </w:tcPr>
          <w:p w14:paraId="310C46F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5 183</w:t>
            </w:r>
          </w:p>
        </w:tc>
        <w:tc>
          <w:tcPr>
            <w:tcW w:w="1701" w:type="dxa"/>
            <w:tcBorders>
              <w:top w:val="nil"/>
              <w:left w:val="nil"/>
              <w:bottom w:val="single" w:sz="4" w:space="0" w:color="auto"/>
              <w:right w:val="single" w:sz="4" w:space="0" w:color="auto"/>
            </w:tcBorders>
            <w:noWrap/>
            <w:vAlign w:val="center"/>
            <w:hideMark/>
          </w:tcPr>
          <w:p w14:paraId="3F0A96E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4 460,90    </w:t>
            </w:r>
          </w:p>
        </w:tc>
        <w:tc>
          <w:tcPr>
            <w:tcW w:w="2041" w:type="dxa"/>
            <w:tcBorders>
              <w:top w:val="nil"/>
              <w:left w:val="nil"/>
              <w:bottom w:val="single" w:sz="4" w:space="0" w:color="auto"/>
              <w:right w:val="single" w:sz="4" w:space="0" w:color="auto"/>
            </w:tcBorders>
            <w:noWrap/>
            <w:vAlign w:val="center"/>
            <w:hideMark/>
          </w:tcPr>
          <w:p w14:paraId="144C898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2,85</w:t>
            </w:r>
          </w:p>
        </w:tc>
      </w:tr>
      <w:tr w:rsidR="00A4164A" w:rsidRPr="00A4164A" w14:paraId="633B0C9E"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760E6C94" w14:textId="77777777" w:rsidR="00A4164A" w:rsidRPr="00A4164A" w:rsidRDefault="00A4164A" w:rsidP="00A4164A">
            <w:pPr>
              <w:rPr>
                <w:rFonts w:ascii="Aptos Narrow" w:hAnsi="Aptos Narrow"/>
                <w:color w:val="000000"/>
              </w:rPr>
            </w:pPr>
            <w:r w:rsidRPr="00A4164A">
              <w:rPr>
                <w:rFonts w:ascii="Aptos Narrow" w:hAnsi="Aptos Narrow"/>
                <w:color w:val="000000"/>
              </w:rPr>
              <w:t>UNI</w:t>
            </w:r>
          </w:p>
        </w:tc>
        <w:tc>
          <w:tcPr>
            <w:tcW w:w="1020" w:type="dxa"/>
            <w:tcBorders>
              <w:top w:val="nil"/>
              <w:left w:val="nil"/>
              <w:bottom w:val="single" w:sz="4" w:space="0" w:color="auto"/>
              <w:right w:val="single" w:sz="4" w:space="0" w:color="auto"/>
            </w:tcBorders>
            <w:noWrap/>
            <w:vAlign w:val="center"/>
            <w:hideMark/>
          </w:tcPr>
          <w:p w14:paraId="2268683F"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60 031</w:t>
            </w:r>
          </w:p>
        </w:tc>
        <w:tc>
          <w:tcPr>
            <w:tcW w:w="1020" w:type="dxa"/>
            <w:tcBorders>
              <w:top w:val="nil"/>
              <w:left w:val="nil"/>
              <w:bottom w:val="single" w:sz="4" w:space="0" w:color="auto"/>
              <w:right w:val="single" w:sz="4" w:space="0" w:color="auto"/>
            </w:tcBorders>
            <w:noWrap/>
            <w:vAlign w:val="center"/>
            <w:hideMark/>
          </w:tcPr>
          <w:p w14:paraId="1A7403B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96 474</w:t>
            </w:r>
          </w:p>
        </w:tc>
        <w:tc>
          <w:tcPr>
            <w:tcW w:w="1020" w:type="dxa"/>
            <w:tcBorders>
              <w:top w:val="nil"/>
              <w:left w:val="nil"/>
              <w:bottom w:val="single" w:sz="4" w:space="0" w:color="auto"/>
              <w:right w:val="single" w:sz="4" w:space="0" w:color="auto"/>
            </w:tcBorders>
            <w:noWrap/>
            <w:vAlign w:val="center"/>
            <w:hideMark/>
          </w:tcPr>
          <w:p w14:paraId="6FC0551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113 745</w:t>
            </w:r>
          </w:p>
        </w:tc>
        <w:tc>
          <w:tcPr>
            <w:tcW w:w="1701" w:type="dxa"/>
            <w:tcBorders>
              <w:top w:val="nil"/>
              <w:left w:val="nil"/>
              <w:bottom w:val="single" w:sz="4" w:space="0" w:color="auto"/>
              <w:right w:val="single" w:sz="4" w:space="0" w:color="auto"/>
            </w:tcBorders>
            <w:noWrap/>
            <w:vAlign w:val="center"/>
            <w:hideMark/>
          </w:tcPr>
          <w:p w14:paraId="408DD8C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 xml:space="preserve">       97 820,90    </w:t>
            </w:r>
          </w:p>
        </w:tc>
        <w:tc>
          <w:tcPr>
            <w:tcW w:w="2041" w:type="dxa"/>
            <w:tcBorders>
              <w:top w:val="nil"/>
              <w:left w:val="nil"/>
              <w:bottom w:val="single" w:sz="4" w:space="0" w:color="auto"/>
              <w:right w:val="single" w:sz="4" w:space="0" w:color="auto"/>
            </w:tcBorders>
            <w:noWrap/>
            <w:vAlign w:val="center"/>
            <w:hideMark/>
          </w:tcPr>
          <w:p w14:paraId="1CC240C2"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62,42</w:t>
            </w:r>
          </w:p>
        </w:tc>
      </w:tr>
      <w:tr w:rsidR="00A4164A" w:rsidRPr="00A4164A" w14:paraId="12040055"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2D6D87D6" w14:textId="77777777" w:rsidR="00A4164A" w:rsidRPr="00A4164A" w:rsidRDefault="00A4164A" w:rsidP="00A4164A">
            <w:pPr>
              <w:rPr>
                <w:rFonts w:ascii="Aptos Narrow" w:hAnsi="Aptos Narrow"/>
                <w:color w:val="000000"/>
              </w:rPr>
            </w:pPr>
            <w:r w:rsidRPr="00A4164A">
              <w:rPr>
                <w:rFonts w:ascii="Aptos Narrow" w:hAnsi="Aptos Narrow"/>
                <w:color w:val="000000"/>
              </w:rPr>
              <w:t>Knihovna</w:t>
            </w:r>
          </w:p>
        </w:tc>
        <w:tc>
          <w:tcPr>
            <w:tcW w:w="1020" w:type="dxa"/>
            <w:tcBorders>
              <w:top w:val="nil"/>
              <w:left w:val="nil"/>
              <w:bottom w:val="single" w:sz="4" w:space="0" w:color="auto"/>
              <w:right w:val="single" w:sz="4" w:space="0" w:color="auto"/>
            </w:tcBorders>
            <w:noWrap/>
            <w:vAlign w:val="center"/>
            <w:hideMark/>
          </w:tcPr>
          <w:p w14:paraId="5E00F588"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65D8459C"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34F35E65" w14:textId="714431C0"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701" w:type="dxa"/>
            <w:tcBorders>
              <w:top w:val="nil"/>
              <w:left w:val="nil"/>
              <w:bottom w:val="single" w:sz="4" w:space="0" w:color="auto"/>
              <w:right w:val="single" w:sz="4" w:space="0" w:color="auto"/>
            </w:tcBorders>
            <w:noWrap/>
            <w:vAlign w:val="center"/>
            <w:hideMark/>
          </w:tcPr>
          <w:p w14:paraId="777911AB"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2041" w:type="dxa"/>
            <w:tcBorders>
              <w:top w:val="nil"/>
              <w:left w:val="nil"/>
              <w:bottom w:val="single" w:sz="4" w:space="0" w:color="auto"/>
              <w:right w:val="single" w:sz="4" w:space="0" w:color="auto"/>
            </w:tcBorders>
            <w:noWrap/>
            <w:vAlign w:val="center"/>
            <w:hideMark/>
          </w:tcPr>
          <w:p w14:paraId="7AA7CA2C"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0,00</w:t>
            </w:r>
          </w:p>
        </w:tc>
      </w:tr>
      <w:tr w:rsidR="00A4164A" w:rsidRPr="00A4164A" w14:paraId="5C958723"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3E8D8A94" w14:textId="77777777" w:rsidR="00A4164A" w:rsidRPr="00A4164A" w:rsidRDefault="00A4164A" w:rsidP="00A4164A">
            <w:pPr>
              <w:rPr>
                <w:rFonts w:ascii="Aptos Narrow" w:hAnsi="Aptos Narrow"/>
                <w:color w:val="000000"/>
              </w:rPr>
            </w:pPr>
            <w:r w:rsidRPr="00A4164A">
              <w:rPr>
                <w:rFonts w:ascii="Aptos Narrow" w:hAnsi="Aptos Narrow"/>
                <w:color w:val="000000"/>
              </w:rPr>
              <w:t>KMZ</w:t>
            </w:r>
          </w:p>
        </w:tc>
        <w:tc>
          <w:tcPr>
            <w:tcW w:w="1020" w:type="dxa"/>
            <w:tcBorders>
              <w:top w:val="nil"/>
              <w:left w:val="nil"/>
              <w:bottom w:val="single" w:sz="4" w:space="0" w:color="auto"/>
              <w:right w:val="single" w:sz="4" w:space="0" w:color="auto"/>
            </w:tcBorders>
            <w:noWrap/>
            <w:vAlign w:val="center"/>
            <w:hideMark/>
          </w:tcPr>
          <w:p w14:paraId="570A3777"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3DFEB90E"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020" w:type="dxa"/>
            <w:tcBorders>
              <w:top w:val="nil"/>
              <w:left w:val="nil"/>
              <w:bottom w:val="single" w:sz="4" w:space="0" w:color="auto"/>
              <w:right w:val="single" w:sz="4" w:space="0" w:color="auto"/>
            </w:tcBorders>
            <w:noWrap/>
            <w:vAlign w:val="center"/>
            <w:hideMark/>
          </w:tcPr>
          <w:p w14:paraId="700E2C58" w14:textId="7EE993B3"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1701" w:type="dxa"/>
            <w:tcBorders>
              <w:top w:val="nil"/>
              <w:left w:val="nil"/>
              <w:bottom w:val="single" w:sz="4" w:space="0" w:color="auto"/>
              <w:right w:val="single" w:sz="4" w:space="0" w:color="auto"/>
            </w:tcBorders>
            <w:noWrap/>
            <w:vAlign w:val="center"/>
            <w:hideMark/>
          </w:tcPr>
          <w:p w14:paraId="6AC81923"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w:t>
            </w:r>
          </w:p>
        </w:tc>
        <w:tc>
          <w:tcPr>
            <w:tcW w:w="2041" w:type="dxa"/>
            <w:tcBorders>
              <w:top w:val="nil"/>
              <w:left w:val="nil"/>
              <w:bottom w:val="single" w:sz="4" w:space="0" w:color="auto"/>
              <w:right w:val="single" w:sz="4" w:space="0" w:color="auto"/>
            </w:tcBorders>
            <w:noWrap/>
            <w:vAlign w:val="center"/>
            <w:hideMark/>
          </w:tcPr>
          <w:p w14:paraId="19794695" w14:textId="77777777" w:rsidR="00A4164A" w:rsidRPr="00A4164A" w:rsidRDefault="00A4164A" w:rsidP="00A4164A">
            <w:pPr>
              <w:jc w:val="right"/>
              <w:rPr>
                <w:rFonts w:ascii="Aptos Narrow" w:hAnsi="Aptos Narrow"/>
                <w:color w:val="000000"/>
              </w:rPr>
            </w:pPr>
            <w:r w:rsidRPr="00A4164A">
              <w:rPr>
                <w:rFonts w:ascii="Aptos Narrow" w:hAnsi="Aptos Narrow"/>
                <w:color w:val="000000"/>
              </w:rPr>
              <w:t>0,00</w:t>
            </w:r>
          </w:p>
        </w:tc>
      </w:tr>
      <w:tr w:rsidR="00A4164A" w:rsidRPr="00A4164A" w14:paraId="583EDFB3" w14:textId="77777777" w:rsidTr="00A4164A">
        <w:trPr>
          <w:trHeight w:val="320"/>
        </w:trPr>
        <w:tc>
          <w:tcPr>
            <w:tcW w:w="2268" w:type="dxa"/>
            <w:tcBorders>
              <w:top w:val="nil"/>
              <w:left w:val="single" w:sz="4" w:space="0" w:color="auto"/>
              <w:bottom w:val="single" w:sz="4" w:space="0" w:color="auto"/>
              <w:right w:val="single" w:sz="4" w:space="0" w:color="auto"/>
            </w:tcBorders>
            <w:noWrap/>
            <w:vAlign w:val="center"/>
            <w:hideMark/>
          </w:tcPr>
          <w:p w14:paraId="6F6E2EB7" w14:textId="77777777" w:rsidR="00A4164A" w:rsidRPr="00A4164A" w:rsidRDefault="00A4164A" w:rsidP="00A4164A">
            <w:pPr>
              <w:rPr>
                <w:rFonts w:ascii="Aptos Narrow" w:hAnsi="Aptos Narrow"/>
                <w:b/>
                <w:bCs/>
                <w:color w:val="000000"/>
              </w:rPr>
            </w:pPr>
            <w:r w:rsidRPr="00A4164A">
              <w:rPr>
                <w:rFonts w:ascii="Aptos Narrow" w:hAnsi="Aptos Narrow"/>
                <w:b/>
                <w:bCs/>
                <w:color w:val="000000"/>
              </w:rPr>
              <w:t>Celkem</w:t>
            </w:r>
          </w:p>
        </w:tc>
        <w:tc>
          <w:tcPr>
            <w:tcW w:w="1020" w:type="dxa"/>
            <w:tcBorders>
              <w:top w:val="nil"/>
              <w:left w:val="nil"/>
              <w:bottom w:val="single" w:sz="4" w:space="0" w:color="auto"/>
              <w:right w:val="single" w:sz="4" w:space="0" w:color="auto"/>
            </w:tcBorders>
            <w:noWrap/>
            <w:vAlign w:val="center"/>
            <w:hideMark/>
          </w:tcPr>
          <w:p w14:paraId="71031CFC"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125 219</w:t>
            </w:r>
          </w:p>
        </w:tc>
        <w:tc>
          <w:tcPr>
            <w:tcW w:w="1020" w:type="dxa"/>
            <w:tcBorders>
              <w:top w:val="nil"/>
              <w:left w:val="nil"/>
              <w:bottom w:val="single" w:sz="4" w:space="0" w:color="auto"/>
              <w:right w:val="single" w:sz="4" w:space="0" w:color="auto"/>
            </w:tcBorders>
            <w:noWrap/>
            <w:vAlign w:val="center"/>
            <w:hideMark/>
          </w:tcPr>
          <w:p w14:paraId="1F7BEF27"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153 745</w:t>
            </w:r>
          </w:p>
        </w:tc>
        <w:tc>
          <w:tcPr>
            <w:tcW w:w="1020" w:type="dxa"/>
            <w:tcBorders>
              <w:top w:val="nil"/>
              <w:left w:val="nil"/>
              <w:bottom w:val="single" w:sz="4" w:space="0" w:color="auto"/>
              <w:right w:val="single" w:sz="4" w:space="0" w:color="auto"/>
            </w:tcBorders>
            <w:noWrap/>
            <w:vAlign w:val="center"/>
            <w:hideMark/>
          </w:tcPr>
          <w:p w14:paraId="70926B87"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171 069</w:t>
            </w:r>
          </w:p>
        </w:tc>
        <w:tc>
          <w:tcPr>
            <w:tcW w:w="1701" w:type="dxa"/>
            <w:tcBorders>
              <w:top w:val="nil"/>
              <w:left w:val="nil"/>
              <w:bottom w:val="single" w:sz="4" w:space="0" w:color="auto"/>
              <w:right w:val="single" w:sz="4" w:space="0" w:color="auto"/>
            </w:tcBorders>
            <w:noWrap/>
            <w:vAlign w:val="center"/>
            <w:hideMark/>
          </w:tcPr>
          <w:p w14:paraId="3C341B5F"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156 702</w:t>
            </w:r>
          </w:p>
        </w:tc>
        <w:tc>
          <w:tcPr>
            <w:tcW w:w="2041" w:type="dxa"/>
            <w:tcBorders>
              <w:top w:val="nil"/>
              <w:left w:val="nil"/>
              <w:bottom w:val="single" w:sz="4" w:space="0" w:color="auto"/>
              <w:right w:val="single" w:sz="4" w:space="0" w:color="auto"/>
            </w:tcBorders>
            <w:noWrap/>
            <w:vAlign w:val="center"/>
            <w:hideMark/>
          </w:tcPr>
          <w:p w14:paraId="360AD29F" w14:textId="77777777" w:rsidR="00A4164A" w:rsidRPr="00A4164A" w:rsidRDefault="00A4164A" w:rsidP="00A4164A">
            <w:pPr>
              <w:jc w:val="right"/>
              <w:rPr>
                <w:rFonts w:ascii="Aptos Narrow" w:hAnsi="Aptos Narrow"/>
                <w:b/>
                <w:bCs/>
                <w:color w:val="000000"/>
              </w:rPr>
            </w:pPr>
            <w:r w:rsidRPr="00A4164A">
              <w:rPr>
                <w:rFonts w:ascii="Aptos Narrow" w:hAnsi="Aptos Narrow"/>
                <w:b/>
                <w:bCs/>
                <w:color w:val="000000"/>
              </w:rPr>
              <w:t>100,00</w:t>
            </w:r>
          </w:p>
        </w:tc>
      </w:tr>
    </w:tbl>
    <w:p w14:paraId="6A99BA65" w14:textId="77777777" w:rsidR="006A3A46" w:rsidRDefault="006A3A46" w:rsidP="00EC7ECC">
      <w:pPr>
        <w:pStyle w:val="RozpoetNadpis3"/>
        <w:numPr>
          <w:ilvl w:val="0"/>
          <w:numId w:val="0"/>
        </w:numPr>
      </w:pPr>
    </w:p>
    <w:p w14:paraId="4B7EBACA" w14:textId="48045E12" w:rsidR="00DA3ED5" w:rsidRDefault="006B684F" w:rsidP="000A5C85">
      <w:pPr>
        <w:pStyle w:val="RozpoetNadpis3"/>
      </w:pPr>
      <w:bookmarkStart w:id="20" w:name="_Toc228824331"/>
      <w:r>
        <w:t>Indikátor s</w:t>
      </w:r>
      <w:r w:rsidR="00DA3ED5">
        <w:t>tudia v cizím jazyce</w:t>
      </w:r>
      <w:bookmarkEnd w:id="20"/>
    </w:p>
    <w:p w14:paraId="0060D4E2" w14:textId="77777777" w:rsidR="00301F5B" w:rsidRPr="000A20AA" w:rsidRDefault="00301F5B" w:rsidP="00301F5B">
      <w:pPr>
        <w:pStyle w:val="RozpocetOdstavec"/>
      </w:pPr>
      <w:r w:rsidRPr="000A20AA">
        <w:t>Indikátor studia v cizím jazyce představuje podíl součásti na:</w:t>
      </w:r>
    </w:p>
    <w:p w14:paraId="1DD3A53D" w14:textId="77777777" w:rsidR="00301F5B" w:rsidRPr="000A20AA" w:rsidRDefault="00301F5B" w:rsidP="00301F5B">
      <w:pPr>
        <w:pStyle w:val="Odstavecseseznamem"/>
        <w:numPr>
          <w:ilvl w:val="0"/>
          <w:numId w:val="25"/>
        </w:numPr>
        <w:jc w:val="both"/>
      </w:pPr>
      <w:r w:rsidRPr="000A20AA">
        <w:t>příjmech z poplatků za studia v cizím jazyce (váha 4),</w:t>
      </w:r>
    </w:p>
    <w:p w14:paraId="5B76E569" w14:textId="77777777" w:rsidR="00301F5B" w:rsidRPr="000A20AA" w:rsidRDefault="00301F5B" w:rsidP="00301F5B">
      <w:pPr>
        <w:pStyle w:val="Odstavecseseznamem"/>
        <w:numPr>
          <w:ilvl w:val="0"/>
          <w:numId w:val="25"/>
        </w:numPr>
        <w:jc w:val="both"/>
      </w:pPr>
      <w:r w:rsidRPr="000A20AA">
        <w:t>počet studentů studujících SP uskutečňované v cizím jazyce (váha 6),</w:t>
      </w:r>
    </w:p>
    <w:p w14:paraId="7B4BC39C" w14:textId="77777777" w:rsidR="00301F5B" w:rsidRPr="000A20AA" w:rsidRDefault="00301F5B" w:rsidP="00301F5B">
      <w:pPr>
        <w:pStyle w:val="Odstavecseseznamem"/>
        <w:numPr>
          <w:ilvl w:val="0"/>
          <w:numId w:val="25"/>
        </w:numPr>
        <w:jc w:val="both"/>
      </w:pPr>
      <w:r w:rsidRPr="000A20AA">
        <w:t>počítáno zvlášť pro studenty bakalářských, magisterských a doktorských studijních programů.</w:t>
      </w:r>
    </w:p>
    <w:p w14:paraId="249C290A" w14:textId="77777777" w:rsidR="00301F5B" w:rsidRPr="000A20AA" w:rsidRDefault="00301F5B" w:rsidP="00301F5B">
      <w:pPr>
        <w:pStyle w:val="RozpocetOdstavec"/>
      </w:pPr>
    </w:p>
    <w:p w14:paraId="15DF37BB" w14:textId="77777777" w:rsidR="00301F5B" w:rsidRPr="000A20AA" w:rsidRDefault="00301F5B" w:rsidP="00301F5B">
      <w:pPr>
        <w:pStyle w:val="RozpocetOdstavec"/>
      </w:pPr>
      <w:r w:rsidRPr="000A20AA">
        <w:t>Zdrojem dat je výstup SIMS k 31. 10. v letech 2024, 2023, 2022 s váhami 5:3:2. Podle tohoto indikátoru bude mezi součásti rozdělena část ukazatele K přiděleného UTB podle studií v cizím jazyce.</w:t>
      </w:r>
    </w:p>
    <w:p w14:paraId="0E94F4BC" w14:textId="77777777" w:rsidR="00EC7ECC" w:rsidRDefault="00EC7ECC" w:rsidP="00301F5B">
      <w:pPr>
        <w:pStyle w:val="RozpocetOdstavec"/>
        <w:rPr>
          <w:color w:val="00B050"/>
        </w:rPr>
      </w:pPr>
    </w:p>
    <w:tbl>
      <w:tblPr>
        <w:tblW w:w="9130" w:type="dxa"/>
        <w:tblLook w:val="04A0" w:firstRow="1" w:lastRow="0" w:firstColumn="1" w:lastColumn="0" w:noHBand="0" w:noVBand="1"/>
      </w:tblPr>
      <w:tblGrid>
        <w:gridCol w:w="1098"/>
        <w:gridCol w:w="863"/>
        <w:gridCol w:w="863"/>
        <w:gridCol w:w="863"/>
        <w:gridCol w:w="794"/>
        <w:gridCol w:w="794"/>
        <w:gridCol w:w="794"/>
        <w:gridCol w:w="1474"/>
        <w:gridCol w:w="1587"/>
      </w:tblGrid>
      <w:tr w:rsidR="00777BC1" w:rsidRPr="00777BC1" w14:paraId="2CC609C7" w14:textId="77777777" w:rsidTr="00777BC1">
        <w:trPr>
          <w:trHeight w:val="320"/>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78DD6D" w14:textId="779764F5" w:rsidR="00777BC1" w:rsidRPr="00777BC1" w:rsidRDefault="00777BC1" w:rsidP="00777BC1">
            <w:pPr>
              <w:jc w:val="center"/>
              <w:rPr>
                <w:rFonts w:ascii="Aptos Narrow" w:hAnsi="Aptos Narrow"/>
                <w:b/>
                <w:bCs/>
                <w:color w:val="000000"/>
              </w:rPr>
            </w:pPr>
            <w:r>
              <w:rPr>
                <w:rFonts w:ascii="Aptos Narrow" w:hAnsi="Aptos Narrow"/>
                <w:b/>
                <w:bCs/>
                <w:color w:val="000000"/>
              </w:rPr>
              <w:t>Součást</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D3548D"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Příjem 2022</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5F504F"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Příjem 2023</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98AB2F"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Příjem 2024</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EC04AA"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2022</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7BB863"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2023</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5D8481"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2024</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B14132"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Studia v cizím jazyce</w:t>
            </w: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21F106D"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Studia v cizím jazyce v %</w:t>
            </w:r>
          </w:p>
        </w:tc>
      </w:tr>
      <w:tr w:rsidR="00777BC1" w:rsidRPr="00777BC1" w14:paraId="2D11F350"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4471EB96" w14:textId="77777777" w:rsidR="00777BC1" w:rsidRPr="00777BC1" w:rsidRDefault="00777BC1" w:rsidP="00777BC1">
            <w:pPr>
              <w:rPr>
                <w:rFonts w:ascii="Aptos Narrow" w:hAnsi="Aptos Narrow"/>
                <w:color w:val="000000"/>
              </w:rPr>
            </w:pPr>
            <w:r w:rsidRPr="00777BC1">
              <w:rPr>
                <w:rFonts w:ascii="Aptos Narrow" w:hAnsi="Aptos Narrow"/>
                <w:color w:val="000000"/>
              </w:rPr>
              <w:t>FT</w:t>
            </w:r>
          </w:p>
        </w:tc>
        <w:tc>
          <w:tcPr>
            <w:tcW w:w="863" w:type="dxa"/>
            <w:tcBorders>
              <w:top w:val="nil"/>
              <w:left w:val="nil"/>
              <w:bottom w:val="single" w:sz="4" w:space="0" w:color="auto"/>
              <w:right w:val="single" w:sz="4" w:space="0" w:color="auto"/>
            </w:tcBorders>
            <w:noWrap/>
            <w:vAlign w:val="center"/>
            <w:hideMark/>
          </w:tcPr>
          <w:p w14:paraId="6167C09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760</w:t>
            </w:r>
          </w:p>
        </w:tc>
        <w:tc>
          <w:tcPr>
            <w:tcW w:w="863" w:type="dxa"/>
            <w:tcBorders>
              <w:top w:val="nil"/>
              <w:left w:val="nil"/>
              <w:bottom w:val="single" w:sz="4" w:space="0" w:color="auto"/>
              <w:right w:val="single" w:sz="4" w:space="0" w:color="auto"/>
            </w:tcBorders>
            <w:noWrap/>
            <w:vAlign w:val="center"/>
            <w:hideMark/>
          </w:tcPr>
          <w:p w14:paraId="64545EA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929</w:t>
            </w:r>
          </w:p>
        </w:tc>
        <w:tc>
          <w:tcPr>
            <w:tcW w:w="863" w:type="dxa"/>
            <w:tcBorders>
              <w:top w:val="nil"/>
              <w:left w:val="nil"/>
              <w:bottom w:val="single" w:sz="4" w:space="0" w:color="auto"/>
              <w:right w:val="single" w:sz="4" w:space="0" w:color="auto"/>
            </w:tcBorders>
            <w:noWrap/>
            <w:vAlign w:val="center"/>
            <w:hideMark/>
          </w:tcPr>
          <w:p w14:paraId="13C05243"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932</w:t>
            </w:r>
          </w:p>
        </w:tc>
        <w:tc>
          <w:tcPr>
            <w:tcW w:w="794" w:type="dxa"/>
            <w:tcBorders>
              <w:top w:val="nil"/>
              <w:left w:val="nil"/>
              <w:bottom w:val="single" w:sz="4" w:space="0" w:color="auto"/>
              <w:right w:val="single" w:sz="4" w:space="0" w:color="auto"/>
            </w:tcBorders>
            <w:noWrap/>
            <w:vAlign w:val="center"/>
            <w:hideMark/>
          </w:tcPr>
          <w:p w14:paraId="5420982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19</w:t>
            </w:r>
          </w:p>
        </w:tc>
        <w:tc>
          <w:tcPr>
            <w:tcW w:w="794" w:type="dxa"/>
            <w:tcBorders>
              <w:top w:val="nil"/>
              <w:left w:val="nil"/>
              <w:bottom w:val="single" w:sz="4" w:space="0" w:color="auto"/>
              <w:right w:val="single" w:sz="4" w:space="0" w:color="auto"/>
            </w:tcBorders>
            <w:noWrap/>
            <w:vAlign w:val="center"/>
            <w:hideMark/>
          </w:tcPr>
          <w:p w14:paraId="0179D26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20</w:t>
            </w:r>
          </w:p>
        </w:tc>
        <w:tc>
          <w:tcPr>
            <w:tcW w:w="794" w:type="dxa"/>
            <w:tcBorders>
              <w:top w:val="nil"/>
              <w:left w:val="nil"/>
              <w:bottom w:val="single" w:sz="4" w:space="0" w:color="auto"/>
              <w:right w:val="single" w:sz="4" w:space="0" w:color="auto"/>
            </w:tcBorders>
            <w:noWrap/>
            <w:vAlign w:val="center"/>
            <w:hideMark/>
          </w:tcPr>
          <w:p w14:paraId="3989A923"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13</w:t>
            </w:r>
          </w:p>
        </w:tc>
        <w:tc>
          <w:tcPr>
            <w:tcW w:w="1474" w:type="dxa"/>
            <w:tcBorders>
              <w:top w:val="nil"/>
              <w:left w:val="nil"/>
              <w:bottom w:val="single" w:sz="4" w:space="0" w:color="auto"/>
              <w:right w:val="single" w:sz="4" w:space="0" w:color="auto"/>
            </w:tcBorders>
            <w:noWrap/>
            <w:vAlign w:val="center"/>
            <w:hideMark/>
          </w:tcPr>
          <w:p w14:paraId="712A76E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0,0901</w:t>
            </w:r>
          </w:p>
        </w:tc>
        <w:tc>
          <w:tcPr>
            <w:tcW w:w="1587" w:type="dxa"/>
            <w:tcBorders>
              <w:top w:val="nil"/>
              <w:left w:val="nil"/>
              <w:bottom w:val="single" w:sz="4" w:space="0" w:color="auto"/>
              <w:right w:val="single" w:sz="4" w:space="0" w:color="auto"/>
            </w:tcBorders>
            <w:noWrap/>
            <w:vAlign w:val="center"/>
            <w:hideMark/>
          </w:tcPr>
          <w:p w14:paraId="051FB93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9,01</w:t>
            </w:r>
          </w:p>
        </w:tc>
      </w:tr>
      <w:tr w:rsidR="00777BC1" w:rsidRPr="00777BC1" w14:paraId="3F088E90"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24B0069A" w14:textId="77777777" w:rsidR="00777BC1" w:rsidRPr="00777BC1" w:rsidRDefault="00777BC1" w:rsidP="00777BC1">
            <w:pPr>
              <w:rPr>
                <w:rFonts w:ascii="Aptos Narrow" w:hAnsi="Aptos Narrow"/>
                <w:color w:val="000000"/>
              </w:rPr>
            </w:pPr>
            <w:r w:rsidRPr="00777BC1">
              <w:rPr>
                <w:rFonts w:ascii="Aptos Narrow" w:hAnsi="Aptos Narrow"/>
                <w:color w:val="000000"/>
              </w:rPr>
              <w:t>FLKŘ</w:t>
            </w:r>
          </w:p>
        </w:tc>
        <w:tc>
          <w:tcPr>
            <w:tcW w:w="863" w:type="dxa"/>
            <w:tcBorders>
              <w:top w:val="nil"/>
              <w:left w:val="nil"/>
              <w:bottom w:val="single" w:sz="4" w:space="0" w:color="auto"/>
              <w:right w:val="single" w:sz="4" w:space="0" w:color="auto"/>
            </w:tcBorders>
            <w:noWrap/>
            <w:vAlign w:val="center"/>
            <w:hideMark/>
          </w:tcPr>
          <w:p w14:paraId="0FFA00D0"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04FDEE41" w14:textId="6A99DD4A"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1CA9DA0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3B1F058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3023FFF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701F33C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7811D74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5F7C4FA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431F3EC0"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4651FC6F" w14:textId="77777777" w:rsidR="00777BC1" w:rsidRPr="00777BC1" w:rsidRDefault="00777BC1" w:rsidP="00777BC1">
            <w:pPr>
              <w:rPr>
                <w:rFonts w:ascii="Aptos Narrow" w:hAnsi="Aptos Narrow"/>
                <w:color w:val="000000"/>
              </w:rPr>
            </w:pPr>
            <w:r w:rsidRPr="00777BC1">
              <w:rPr>
                <w:rFonts w:ascii="Aptos Narrow" w:hAnsi="Aptos Narrow"/>
                <w:color w:val="000000"/>
              </w:rPr>
              <w:t>FAI</w:t>
            </w:r>
          </w:p>
        </w:tc>
        <w:tc>
          <w:tcPr>
            <w:tcW w:w="863" w:type="dxa"/>
            <w:tcBorders>
              <w:top w:val="nil"/>
              <w:left w:val="nil"/>
              <w:bottom w:val="single" w:sz="4" w:space="0" w:color="auto"/>
              <w:right w:val="single" w:sz="4" w:space="0" w:color="auto"/>
            </w:tcBorders>
            <w:noWrap/>
            <w:vAlign w:val="center"/>
            <w:hideMark/>
          </w:tcPr>
          <w:p w14:paraId="524E0B2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1 949</w:t>
            </w:r>
          </w:p>
        </w:tc>
        <w:tc>
          <w:tcPr>
            <w:tcW w:w="863" w:type="dxa"/>
            <w:tcBorders>
              <w:top w:val="nil"/>
              <w:left w:val="nil"/>
              <w:bottom w:val="single" w:sz="4" w:space="0" w:color="auto"/>
              <w:right w:val="single" w:sz="4" w:space="0" w:color="auto"/>
            </w:tcBorders>
            <w:noWrap/>
            <w:vAlign w:val="center"/>
            <w:hideMark/>
          </w:tcPr>
          <w:p w14:paraId="170EFFC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2 625</w:t>
            </w:r>
          </w:p>
        </w:tc>
        <w:tc>
          <w:tcPr>
            <w:tcW w:w="863" w:type="dxa"/>
            <w:tcBorders>
              <w:top w:val="nil"/>
              <w:left w:val="nil"/>
              <w:bottom w:val="single" w:sz="4" w:space="0" w:color="auto"/>
              <w:right w:val="single" w:sz="4" w:space="0" w:color="auto"/>
            </w:tcBorders>
            <w:noWrap/>
            <w:vAlign w:val="center"/>
            <w:hideMark/>
          </w:tcPr>
          <w:p w14:paraId="3576837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2 568</w:t>
            </w:r>
          </w:p>
        </w:tc>
        <w:tc>
          <w:tcPr>
            <w:tcW w:w="794" w:type="dxa"/>
            <w:tcBorders>
              <w:top w:val="nil"/>
              <w:left w:val="nil"/>
              <w:bottom w:val="single" w:sz="4" w:space="0" w:color="auto"/>
              <w:right w:val="single" w:sz="4" w:space="0" w:color="auto"/>
            </w:tcBorders>
            <w:noWrap/>
            <w:vAlign w:val="center"/>
            <w:hideMark/>
          </w:tcPr>
          <w:p w14:paraId="1E9EBC8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74</w:t>
            </w:r>
          </w:p>
        </w:tc>
        <w:tc>
          <w:tcPr>
            <w:tcW w:w="794" w:type="dxa"/>
            <w:tcBorders>
              <w:top w:val="nil"/>
              <w:left w:val="nil"/>
              <w:bottom w:val="single" w:sz="4" w:space="0" w:color="auto"/>
              <w:right w:val="single" w:sz="4" w:space="0" w:color="auto"/>
            </w:tcBorders>
            <w:noWrap/>
            <w:vAlign w:val="center"/>
            <w:hideMark/>
          </w:tcPr>
          <w:p w14:paraId="4AB385B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71</w:t>
            </w:r>
          </w:p>
        </w:tc>
        <w:tc>
          <w:tcPr>
            <w:tcW w:w="794" w:type="dxa"/>
            <w:tcBorders>
              <w:top w:val="nil"/>
              <w:left w:val="nil"/>
              <w:bottom w:val="single" w:sz="4" w:space="0" w:color="auto"/>
              <w:right w:val="single" w:sz="4" w:space="0" w:color="auto"/>
            </w:tcBorders>
            <w:noWrap/>
            <w:vAlign w:val="center"/>
            <w:hideMark/>
          </w:tcPr>
          <w:p w14:paraId="641ED02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55</w:t>
            </w:r>
          </w:p>
        </w:tc>
        <w:tc>
          <w:tcPr>
            <w:tcW w:w="1474" w:type="dxa"/>
            <w:tcBorders>
              <w:top w:val="nil"/>
              <w:left w:val="nil"/>
              <w:bottom w:val="single" w:sz="4" w:space="0" w:color="auto"/>
              <w:right w:val="single" w:sz="4" w:space="0" w:color="auto"/>
            </w:tcBorders>
            <w:noWrap/>
            <w:vAlign w:val="center"/>
            <w:hideMark/>
          </w:tcPr>
          <w:p w14:paraId="0D23FA8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0,3027</w:t>
            </w:r>
          </w:p>
        </w:tc>
        <w:tc>
          <w:tcPr>
            <w:tcW w:w="1587" w:type="dxa"/>
            <w:tcBorders>
              <w:top w:val="nil"/>
              <w:left w:val="nil"/>
              <w:bottom w:val="single" w:sz="4" w:space="0" w:color="auto"/>
              <w:right w:val="single" w:sz="4" w:space="0" w:color="auto"/>
            </w:tcBorders>
            <w:noWrap/>
            <w:vAlign w:val="center"/>
            <w:hideMark/>
          </w:tcPr>
          <w:p w14:paraId="384ED3C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30,27</w:t>
            </w:r>
          </w:p>
        </w:tc>
      </w:tr>
      <w:tr w:rsidR="00777BC1" w:rsidRPr="00777BC1" w14:paraId="2407181D"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20B73434" w14:textId="77777777" w:rsidR="00777BC1" w:rsidRPr="00777BC1" w:rsidRDefault="00777BC1" w:rsidP="00777BC1">
            <w:pPr>
              <w:rPr>
                <w:rFonts w:ascii="Aptos Narrow" w:hAnsi="Aptos Narrow"/>
                <w:color w:val="000000"/>
              </w:rPr>
            </w:pPr>
            <w:r w:rsidRPr="00777BC1">
              <w:rPr>
                <w:rFonts w:ascii="Aptos Narrow" w:hAnsi="Aptos Narrow"/>
                <w:color w:val="000000"/>
              </w:rPr>
              <w:t>FMK</w:t>
            </w:r>
          </w:p>
        </w:tc>
        <w:tc>
          <w:tcPr>
            <w:tcW w:w="863" w:type="dxa"/>
            <w:tcBorders>
              <w:top w:val="nil"/>
              <w:left w:val="nil"/>
              <w:bottom w:val="single" w:sz="4" w:space="0" w:color="auto"/>
              <w:right w:val="single" w:sz="4" w:space="0" w:color="auto"/>
            </w:tcBorders>
            <w:noWrap/>
            <w:vAlign w:val="center"/>
            <w:hideMark/>
          </w:tcPr>
          <w:p w14:paraId="2F5A6A4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762</w:t>
            </w:r>
          </w:p>
        </w:tc>
        <w:tc>
          <w:tcPr>
            <w:tcW w:w="863" w:type="dxa"/>
            <w:tcBorders>
              <w:top w:val="nil"/>
              <w:left w:val="nil"/>
              <w:bottom w:val="single" w:sz="4" w:space="0" w:color="auto"/>
              <w:right w:val="single" w:sz="4" w:space="0" w:color="auto"/>
            </w:tcBorders>
            <w:noWrap/>
            <w:vAlign w:val="center"/>
            <w:hideMark/>
          </w:tcPr>
          <w:p w14:paraId="3AAD341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747</w:t>
            </w:r>
          </w:p>
        </w:tc>
        <w:tc>
          <w:tcPr>
            <w:tcW w:w="863" w:type="dxa"/>
            <w:tcBorders>
              <w:top w:val="nil"/>
              <w:left w:val="nil"/>
              <w:bottom w:val="single" w:sz="4" w:space="0" w:color="auto"/>
              <w:right w:val="single" w:sz="4" w:space="0" w:color="auto"/>
            </w:tcBorders>
            <w:noWrap/>
            <w:vAlign w:val="center"/>
            <w:hideMark/>
          </w:tcPr>
          <w:p w14:paraId="21B5071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456</w:t>
            </w:r>
          </w:p>
        </w:tc>
        <w:tc>
          <w:tcPr>
            <w:tcW w:w="794" w:type="dxa"/>
            <w:tcBorders>
              <w:top w:val="nil"/>
              <w:left w:val="nil"/>
              <w:bottom w:val="single" w:sz="4" w:space="0" w:color="auto"/>
              <w:right w:val="single" w:sz="4" w:space="0" w:color="auto"/>
            </w:tcBorders>
            <w:noWrap/>
            <w:vAlign w:val="center"/>
            <w:hideMark/>
          </w:tcPr>
          <w:p w14:paraId="38DDCCE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15</w:t>
            </w:r>
          </w:p>
        </w:tc>
        <w:tc>
          <w:tcPr>
            <w:tcW w:w="794" w:type="dxa"/>
            <w:tcBorders>
              <w:top w:val="nil"/>
              <w:left w:val="nil"/>
              <w:bottom w:val="single" w:sz="4" w:space="0" w:color="auto"/>
              <w:right w:val="single" w:sz="4" w:space="0" w:color="auto"/>
            </w:tcBorders>
            <w:noWrap/>
            <w:vAlign w:val="center"/>
            <w:hideMark/>
          </w:tcPr>
          <w:p w14:paraId="300B9C8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8</w:t>
            </w:r>
          </w:p>
        </w:tc>
        <w:tc>
          <w:tcPr>
            <w:tcW w:w="794" w:type="dxa"/>
            <w:tcBorders>
              <w:top w:val="nil"/>
              <w:left w:val="nil"/>
              <w:bottom w:val="single" w:sz="4" w:space="0" w:color="auto"/>
              <w:right w:val="single" w:sz="4" w:space="0" w:color="auto"/>
            </w:tcBorders>
            <w:noWrap/>
            <w:vAlign w:val="center"/>
            <w:hideMark/>
          </w:tcPr>
          <w:p w14:paraId="4881C21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8</w:t>
            </w:r>
          </w:p>
        </w:tc>
        <w:tc>
          <w:tcPr>
            <w:tcW w:w="1474" w:type="dxa"/>
            <w:tcBorders>
              <w:top w:val="nil"/>
              <w:left w:val="nil"/>
              <w:bottom w:val="single" w:sz="4" w:space="0" w:color="auto"/>
              <w:right w:val="single" w:sz="4" w:space="0" w:color="auto"/>
            </w:tcBorders>
            <w:noWrap/>
            <w:vAlign w:val="center"/>
            <w:hideMark/>
          </w:tcPr>
          <w:p w14:paraId="350093C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0,0563</w:t>
            </w:r>
          </w:p>
        </w:tc>
        <w:tc>
          <w:tcPr>
            <w:tcW w:w="1587" w:type="dxa"/>
            <w:tcBorders>
              <w:top w:val="nil"/>
              <w:left w:val="nil"/>
              <w:bottom w:val="single" w:sz="4" w:space="0" w:color="auto"/>
              <w:right w:val="single" w:sz="4" w:space="0" w:color="auto"/>
            </w:tcBorders>
            <w:noWrap/>
            <w:vAlign w:val="center"/>
            <w:hideMark/>
          </w:tcPr>
          <w:p w14:paraId="7232DAF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5,63</w:t>
            </w:r>
          </w:p>
        </w:tc>
      </w:tr>
      <w:tr w:rsidR="00777BC1" w:rsidRPr="00777BC1" w14:paraId="7B001CC8"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3F34D70B" w14:textId="77777777" w:rsidR="00777BC1" w:rsidRPr="00777BC1" w:rsidRDefault="00777BC1" w:rsidP="00777BC1">
            <w:pPr>
              <w:rPr>
                <w:rFonts w:ascii="Aptos Narrow" w:hAnsi="Aptos Narrow"/>
                <w:color w:val="000000"/>
              </w:rPr>
            </w:pPr>
            <w:r w:rsidRPr="00777BC1">
              <w:rPr>
                <w:rFonts w:ascii="Aptos Narrow" w:hAnsi="Aptos Narrow"/>
                <w:color w:val="000000"/>
              </w:rPr>
              <w:t>FaME</w:t>
            </w:r>
          </w:p>
        </w:tc>
        <w:tc>
          <w:tcPr>
            <w:tcW w:w="863" w:type="dxa"/>
            <w:tcBorders>
              <w:top w:val="nil"/>
              <w:left w:val="nil"/>
              <w:bottom w:val="single" w:sz="4" w:space="0" w:color="auto"/>
              <w:right w:val="single" w:sz="4" w:space="0" w:color="auto"/>
            </w:tcBorders>
            <w:noWrap/>
            <w:vAlign w:val="center"/>
            <w:hideMark/>
          </w:tcPr>
          <w:p w14:paraId="692A97E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4 376</w:t>
            </w:r>
          </w:p>
        </w:tc>
        <w:tc>
          <w:tcPr>
            <w:tcW w:w="863" w:type="dxa"/>
            <w:tcBorders>
              <w:top w:val="nil"/>
              <w:left w:val="nil"/>
              <w:bottom w:val="single" w:sz="4" w:space="0" w:color="auto"/>
              <w:right w:val="single" w:sz="4" w:space="0" w:color="auto"/>
            </w:tcBorders>
            <w:noWrap/>
            <w:vAlign w:val="center"/>
            <w:hideMark/>
          </w:tcPr>
          <w:p w14:paraId="2212BA7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3 120</w:t>
            </w:r>
          </w:p>
        </w:tc>
        <w:tc>
          <w:tcPr>
            <w:tcW w:w="863" w:type="dxa"/>
            <w:tcBorders>
              <w:top w:val="nil"/>
              <w:left w:val="nil"/>
              <w:bottom w:val="single" w:sz="4" w:space="0" w:color="auto"/>
              <w:right w:val="single" w:sz="4" w:space="0" w:color="auto"/>
            </w:tcBorders>
            <w:noWrap/>
            <w:vAlign w:val="center"/>
            <w:hideMark/>
          </w:tcPr>
          <w:p w14:paraId="4387FB2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3 624</w:t>
            </w:r>
          </w:p>
        </w:tc>
        <w:tc>
          <w:tcPr>
            <w:tcW w:w="794" w:type="dxa"/>
            <w:tcBorders>
              <w:top w:val="nil"/>
              <w:left w:val="nil"/>
              <w:bottom w:val="single" w:sz="4" w:space="0" w:color="auto"/>
              <w:right w:val="single" w:sz="4" w:space="0" w:color="auto"/>
            </w:tcBorders>
            <w:noWrap/>
            <w:vAlign w:val="center"/>
            <w:hideMark/>
          </w:tcPr>
          <w:p w14:paraId="52BB39D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120</w:t>
            </w:r>
          </w:p>
        </w:tc>
        <w:tc>
          <w:tcPr>
            <w:tcW w:w="794" w:type="dxa"/>
            <w:tcBorders>
              <w:top w:val="nil"/>
              <w:left w:val="nil"/>
              <w:bottom w:val="single" w:sz="4" w:space="0" w:color="auto"/>
              <w:right w:val="single" w:sz="4" w:space="0" w:color="auto"/>
            </w:tcBorders>
            <w:noWrap/>
            <w:vAlign w:val="center"/>
            <w:hideMark/>
          </w:tcPr>
          <w:p w14:paraId="73A8020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112</w:t>
            </w:r>
          </w:p>
        </w:tc>
        <w:tc>
          <w:tcPr>
            <w:tcW w:w="794" w:type="dxa"/>
            <w:tcBorders>
              <w:top w:val="nil"/>
              <w:left w:val="nil"/>
              <w:bottom w:val="single" w:sz="4" w:space="0" w:color="auto"/>
              <w:right w:val="single" w:sz="4" w:space="0" w:color="auto"/>
            </w:tcBorders>
            <w:noWrap/>
            <w:vAlign w:val="center"/>
            <w:hideMark/>
          </w:tcPr>
          <w:p w14:paraId="0F6243C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93</w:t>
            </w:r>
          </w:p>
        </w:tc>
        <w:tc>
          <w:tcPr>
            <w:tcW w:w="1474" w:type="dxa"/>
            <w:tcBorders>
              <w:top w:val="nil"/>
              <w:left w:val="nil"/>
              <w:bottom w:val="single" w:sz="4" w:space="0" w:color="auto"/>
              <w:right w:val="single" w:sz="4" w:space="0" w:color="auto"/>
            </w:tcBorders>
            <w:noWrap/>
            <w:vAlign w:val="center"/>
            <w:hideMark/>
          </w:tcPr>
          <w:p w14:paraId="47CEC13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0,4753</w:t>
            </w:r>
          </w:p>
        </w:tc>
        <w:tc>
          <w:tcPr>
            <w:tcW w:w="1587" w:type="dxa"/>
            <w:tcBorders>
              <w:top w:val="nil"/>
              <w:left w:val="nil"/>
              <w:bottom w:val="single" w:sz="4" w:space="0" w:color="auto"/>
              <w:right w:val="single" w:sz="4" w:space="0" w:color="auto"/>
            </w:tcBorders>
            <w:noWrap/>
            <w:vAlign w:val="center"/>
            <w:hideMark/>
          </w:tcPr>
          <w:p w14:paraId="61D672D4"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47,53</w:t>
            </w:r>
          </w:p>
        </w:tc>
      </w:tr>
      <w:tr w:rsidR="00777BC1" w:rsidRPr="00777BC1" w14:paraId="56F5778B"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4E5D28D4" w14:textId="77777777" w:rsidR="00777BC1" w:rsidRPr="00777BC1" w:rsidRDefault="00777BC1" w:rsidP="00777BC1">
            <w:pPr>
              <w:rPr>
                <w:rFonts w:ascii="Aptos Narrow" w:hAnsi="Aptos Narrow"/>
                <w:color w:val="000000"/>
              </w:rPr>
            </w:pPr>
            <w:r w:rsidRPr="00777BC1">
              <w:rPr>
                <w:rFonts w:ascii="Aptos Narrow" w:hAnsi="Aptos Narrow"/>
                <w:color w:val="000000"/>
              </w:rPr>
              <w:t>FHS</w:t>
            </w:r>
          </w:p>
        </w:tc>
        <w:tc>
          <w:tcPr>
            <w:tcW w:w="863" w:type="dxa"/>
            <w:tcBorders>
              <w:top w:val="nil"/>
              <w:left w:val="nil"/>
              <w:bottom w:val="single" w:sz="4" w:space="0" w:color="auto"/>
              <w:right w:val="single" w:sz="4" w:space="0" w:color="auto"/>
            </w:tcBorders>
            <w:noWrap/>
            <w:vAlign w:val="center"/>
            <w:hideMark/>
          </w:tcPr>
          <w:p w14:paraId="66F436B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41E4D5D0" w14:textId="0CD53689"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02EB6EA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1D0080D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375C7EB9"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727640EB"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3DA55CA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0BE1228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5735CE" w:rsidRPr="00777BC1" w14:paraId="5E0C9A42" w14:textId="77777777" w:rsidTr="003A016A">
        <w:trPr>
          <w:trHeight w:val="320"/>
        </w:trPr>
        <w:tc>
          <w:tcPr>
            <w:tcW w:w="1098" w:type="dxa"/>
            <w:tcBorders>
              <w:top w:val="nil"/>
              <w:left w:val="single" w:sz="4" w:space="0" w:color="auto"/>
              <w:bottom w:val="single" w:sz="4" w:space="0" w:color="auto"/>
              <w:right w:val="single" w:sz="4" w:space="0" w:color="auto"/>
            </w:tcBorders>
            <w:noWrap/>
            <w:vAlign w:val="center"/>
            <w:hideMark/>
          </w:tcPr>
          <w:p w14:paraId="21F7F0AE" w14:textId="77777777" w:rsidR="005735CE" w:rsidRPr="00777BC1" w:rsidRDefault="005735CE" w:rsidP="005735CE">
            <w:pPr>
              <w:rPr>
                <w:rFonts w:ascii="Aptos Narrow" w:hAnsi="Aptos Narrow"/>
                <w:color w:val="000000"/>
              </w:rPr>
            </w:pPr>
            <w:r w:rsidRPr="00777BC1">
              <w:rPr>
                <w:rFonts w:ascii="Aptos Narrow" w:hAnsi="Aptos Narrow"/>
                <w:color w:val="000000"/>
              </w:rPr>
              <w:t>UNI</w:t>
            </w:r>
          </w:p>
        </w:tc>
        <w:tc>
          <w:tcPr>
            <w:tcW w:w="863" w:type="dxa"/>
            <w:tcBorders>
              <w:top w:val="nil"/>
              <w:left w:val="nil"/>
              <w:bottom w:val="single" w:sz="4" w:space="0" w:color="auto"/>
              <w:right w:val="single" w:sz="4" w:space="0" w:color="auto"/>
            </w:tcBorders>
            <w:noWrap/>
            <w:vAlign w:val="center"/>
            <w:hideMark/>
          </w:tcPr>
          <w:p w14:paraId="3FD90D3E"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871</w:t>
            </w:r>
          </w:p>
        </w:tc>
        <w:tc>
          <w:tcPr>
            <w:tcW w:w="863" w:type="dxa"/>
            <w:tcBorders>
              <w:top w:val="nil"/>
              <w:left w:val="nil"/>
              <w:bottom w:val="single" w:sz="4" w:space="0" w:color="auto"/>
              <w:right w:val="single" w:sz="4" w:space="0" w:color="auto"/>
            </w:tcBorders>
            <w:noWrap/>
            <w:vAlign w:val="center"/>
            <w:hideMark/>
          </w:tcPr>
          <w:p w14:paraId="04DDC8B0" w14:textId="45ED9D6F" w:rsidR="005735CE" w:rsidRPr="00777BC1" w:rsidRDefault="005735CE" w:rsidP="005735CE">
            <w:pPr>
              <w:jc w:val="right"/>
              <w:rPr>
                <w:rFonts w:ascii="Aptos Narrow" w:hAnsi="Aptos Narrow"/>
                <w:color w:val="000000"/>
              </w:rPr>
            </w:pPr>
            <w:r w:rsidRPr="00777BC1">
              <w:rPr>
                <w:rFonts w:ascii="Aptos Narrow" w:hAnsi="Aptos Narrow"/>
                <w:color w:val="000000"/>
              </w:rPr>
              <w:t>388</w:t>
            </w:r>
          </w:p>
        </w:tc>
        <w:tc>
          <w:tcPr>
            <w:tcW w:w="863" w:type="dxa"/>
            <w:tcBorders>
              <w:top w:val="nil"/>
              <w:left w:val="nil"/>
              <w:bottom w:val="single" w:sz="4" w:space="0" w:color="auto"/>
              <w:right w:val="single" w:sz="4" w:space="0" w:color="auto"/>
            </w:tcBorders>
            <w:noWrap/>
            <w:vAlign w:val="center"/>
            <w:hideMark/>
          </w:tcPr>
          <w:p w14:paraId="4B68AE27" w14:textId="03FDC71A" w:rsidR="005735CE" w:rsidRPr="00777BC1" w:rsidRDefault="005735CE" w:rsidP="005735CE">
            <w:pPr>
              <w:jc w:val="right"/>
              <w:rPr>
                <w:rFonts w:ascii="Aptos Narrow" w:hAnsi="Aptos Narrow"/>
                <w:color w:val="000000"/>
              </w:rPr>
            </w:pPr>
            <w:r w:rsidRPr="00777BC1">
              <w:rPr>
                <w:rFonts w:ascii="Aptos Narrow" w:hAnsi="Aptos Narrow"/>
                <w:color w:val="000000"/>
              </w:rPr>
              <w:t>761</w:t>
            </w:r>
          </w:p>
        </w:tc>
        <w:tc>
          <w:tcPr>
            <w:tcW w:w="794" w:type="dxa"/>
            <w:tcBorders>
              <w:top w:val="nil"/>
              <w:left w:val="nil"/>
              <w:bottom w:val="single" w:sz="4" w:space="0" w:color="auto"/>
              <w:right w:val="single" w:sz="4" w:space="0" w:color="auto"/>
            </w:tcBorders>
            <w:noWrap/>
            <w:vAlign w:val="center"/>
            <w:hideMark/>
          </w:tcPr>
          <w:p w14:paraId="09EDDA13"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16</w:t>
            </w:r>
          </w:p>
        </w:tc>
        <w:tc>
          <w:tcPr>
            <w:tcW w:w="794" w:type="dxa"/>
            <w:tcBorders>
              <w:top w:val="nil"/>
              <w:left w:val="nil"/>
              <w:bottom w:val="single" w:sz="4" w:space="0" w:color="auto"/>
              <w:right w:val="single" w:sz="4" w:space="0" w:color="auto"/>
            </w:tcBorders>
            <w:noWrap/>
            <w:vAlign w:val="center"/>
            <w:hideMark/>
          </w:tcPr>
          <w:p w14:paraId="04D3BE75"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18</w:t>
            </w:r>
          </w:p>
        </w:tc>
        <w:tc>
          <w:tcPr>
            <w:tcW w:w="794" w:type="dxa"/>
            <w:tcBorders>
              <w:top w:val="nil"/>
              <w:left w:val="nil"/>
              <w:bottom w:val="single" w:sz="4" w:space="0" w:color="auto"/>
              <w:right w:val="single" w:sz="4" w:space="0" w:color="auto"/>
            </w:tcBorders>
            <w:noWrap/>
            <w:vAlign w:val="center"/>
            <w:hideMark/>
          </w:tcPr>
          <w:p w14:paraId="4A3E40C8" w14:textId="77777777" w:rsidR="005735CE" w:rsidRPr="00777BC1" w:rsidRDefault="005735CE" w:rsidP="005735CE">
            <w:pPr>
              <w:jc w:val="right"/>
              <w:rPr>
                <w:rFonts w:ascii="Aptos Narrow" w:hAnsi="Aptos Narrow"/>
                <w:color w:val="000000"/>
              </w:rPr>
            </w:pPr>
            <w:r w:rsidRPr="00777BC1">
              <w:rPr>
                <w:rFonts w:ascii="Aptos Narrow" w:hAnsi="Aptos Narrow"/>
                <w:color w:val="000000"/>
              </w:rPr>
              <w:t>13</w:t>
            </w:r>
          </w:p>
        </w:tc>
        <w:tc>
          <w:tcPr>
            <w:tcW w:w="1474" w:type="dxa"/>
            <w:tcBorders>
              <w:top w:val="nil"/>
              <w:left w:val="nil"/>
              <w:bottom w:val="single" w:sz="4" w:space="0" w:color="auto"/>
              <w:right w:val="single" w:sz="4" w:space="0" w:color="auto"/>
            </w:tcBorders>
            <w:noWrap/>
            <w:vAlign w:val="bottom"/>
            <w:hideMark/>
          </w:tcPr>
          <w:p w14:paraId="51480DED" w14:textId="2DFE6748" w:rsidR="005735CE" w:rsidRPr="00777BC1" w:rsidRDefault="005735CE" w:rsidP="005735CE">
            <w:pPr>
              <w:jc w:val="right"/>
              <w:rPr>
                <w:rFonts w:ascii="Aptos Narrow" w:hAnsi="Aptos Narrow"/>
                <w:color w:val="000000"/>
              </w:rPr>
            </w:pPr>
            <w:r>
              <w:rPr>
                <w:rFonts w:ascii="Aptos Narrow" w:hAnsi="Aptos Narrow"/>
                <w:color w:val="000000"/>
              </w:rPr>
              <w:t>0,0756</w:t>
            </w:r>
          </w:p>
        </w:tc>
        <w:tc>
          <w:tcPr>
            <w:tcW w:w="1587" w:type="dxa"/>
            <w:tcBorders>
              <w:top w:val="nil"/>
              <w:left w:val="nil"/>
              <w:bottom w:val="single" w:sz="4" w:space="0" w:color="auto"/>
              <w:right w:val="single" w:sz="4" w:space="0" w:color="auto"/>
            </w:tcBorders>
            <w:noWrap/>
            <w:vAlign w:val="bottom"/>
            <w:hideMark/>
          </w:tcPr>
          <w:p w14:paraId="544B0BB2" w14:textId="382D7334" w:rsidR="005735CE" w:rsidRPr="00777BC1" w:rsidRDefault="005735CE" w:rsidP="005735CE">
            <w:pPr>
              <w:jc w:val="right"/>
              <w:rPr>
                <w:rFonts w:ascii="Aptos Narrow" w:hAnsi="Aptos Narrow"/>
                <w:color w:val="000000"/>
              </w:rPr>
            </w:pPr>
            <w:r>
              <w:rPr>
                <w:rFonts w:ascii="Aptos Narrow" w:hAnsi="Aptos Narrow"/>
                <w:color w:val="000000"/>
              </w:rPr>
              <w:t>7,56</w:t>
            </w:r>
          </w:p>
        </w:tc>
      </w:tr>
      <w:tr w:rsidR="00777BC1" w:rsidRPr="00777BC1" w14:paraId="6E3DDB8E"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2ABBCD99" w14:textId="77777777" w:rsidR="00777BC1" w:rsidRPr="00777BC1" w:rsidRDefault="00777BC1" w:rsidP="00777BC1">
            <w:pPr>
              <w:rPr>
                <w:rFonts w:ascii="Aptos Narrow" w:hAnsi="Aptos Narrow"/>
                <w:color w:val="000000"/>
              </w:rPr>
            </w:pPr>
            <w:r w:rsidRPr="00777BC1">
              <w:rPr>
                <w:rFonts w:ascii="Aptos Narrow" w:hAnsi="Aptos Narrow"/>
                <w:color w:val="000000"/>
              </w:rPr>
              <w:t>Knihovna</w:t>
            </w:r>
          </w:p>
        </w:tc>
        <w:tc>
          <w:tcPr>
            <w:tcW w:w="863" w:type="dxa"/>
            <w:tcBorders>
              <w:top w:val="nil"/>
              <w:left w:val="nil"/>
              <w:bottom w:val="single" w:sz="4" w:space="0" w:color="auto"/>
              <w:right w:val="single" w:sz="4" w:space="0" w:color="auto"/>
            </w:tcBorders>
            <w:noWrap/>
            <w:vAlign w:val="center"/>
            <w:hideMark/>
          </w:tcPr>
          <w:p w14:paraId="01CB3B4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6CACE9D4" w14:textId="580D8DEF"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4093533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6EEC56A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7BC4E6D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4BD872FD" w14:textId="667ED12B"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49C0264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6B887D5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5A5A9F99"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561CCC26" w14:textId="77777777" w:rsidR="00777BC1" w:rsidRPr="00777BC1" w:rsidRDefault="00777BC1" w:rsidP="00777BC1">
            <w:pPr>
              <w:rPr>
                <w:rFonts w:ascii="Aptos Narrow" w:hAnsi="Aptos Narrow"/>
                <w:color w:val="000000"/>
              </w:rPr>
            </w:pPr>
            <w:r w:rsidRPr="00777BC1">
              <w:rPr>
                <w:rFonts w:ascii="Aptos Narrow" w:hAnsi="Aptos Narrow"/>
                <w:color w:val="000000"/>
              </w:rPr>
              <w:t>KMZ</w:t>
            </w:r>
          </w:p>
        </w:tc>
        <w:tc>
          <w:tcPr>
            <w:tcW w:w="863" w:type="dxa"/>
            <w:tcBorders>
              <w:top w:val="nil"/>
              <w:left w:val="nil"/>
              <w:bottom w:val="single" w:sz="4" w:space="0" w:color="auto"/>
              <w:right w:val="single" w:sz="4" w:space="0" w:color="auto"/>
            </w:tcBorders>
            <w:noWrap/>
            <w:vAlign w:val="center"/>
            <w:hideMark/>
          </w:tcPr>
          <w:p w14:paraId="29D0A77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44B676DF" w14:textId="1B0AEA8F"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863" w:type="dxa"/>
            <w:tcBorders>
              <w:top w:val="nil"/>
              <w:left w:val="nil"/>
              <w:bottom w:val="single" w:sz="4" w:space="0" w:color="auto"/>
              <w:right w:val="single" w:sz="4" w:space="0" w:color="auto"/>
            </w:tcBorders>
            <w:noWrap/>
            <w:vAlign w:val="center"/>
            <w:hideMark/>
          </w:tcPr>
          <w:p w14:paraId="26FB2AA5"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0C9FC96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68FEE0A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w:t>
            </w:r>
          </w:p>
        </w:tc>
        <w:tc>
          <w:tcPr>
            <w:tcW w:w="794" w:type="dxa"/>
            <w:tcBorders>
              <w:top w:val="nil"/>
              <w:left w:val="nil"/>
              <w:bottom w:val="single" w:sz="4" w:space="0" w:color="auto"/>
              <w:right w:val="single" w:sz="4" w:space="0" w:color="auto"/>
            </w:tcBorders>
            <w:noWrap/>
            <w:vAlign w:val="center"/>
            <w:hideMark/>
          </w:tcPr>
          <w:p w14:paraId="14FDCEF3" w14:textId="2A2B3E9B" w:rsidR="00777BC1" w:rsidRPr="00777BC1" w:rsidRDefault="00777BC1" w:rsidP="00777BC1">
            <w:pPr>
              <w:jc w:val="right"/>
              <w:rPr>
                <w:rFonts w:ascii="Aptos Narrow" w:hAnsi="Aptos Narrow"/>
                <w:color w:val="000000"/>
              </w:rPr>
            </w:pPr>
            <w:r w:rsidRPr="00777BC1">
              <w:rPr>
                <w:rFonts w:ascii="Aptos Narrow" w:hAnsi="Aptos Narrow"/>
                <w:color w:val="000000"/>
              </w:rPr>
              <w:t> </w:t>
            </w:r>
            <w:r>
              <w:rPr>
                <w:rFonts w:ascii="Aptos Narrow" w:hAnsi="Aptos Narrow"/>
                <w:color w:val="000000"/>
              </w:rPr>
              <w:t>0</w:t>
            </w:r>
          </w:p>
        </w:tc>
        <w:tc>
          <w:tcPr>
            <w:tcW w:w="1474" w:type="dxa"/>
            <w:tcBorders>
              <w:top w:val="nil"/>
              <w:left w:val="nil"/>
              <w:bottom w:val="single" w:sz="4" w:space="0" w:color="auto"/>
              <w:right w:val="single" w:sz="4" w:space="0" w:color="auto"/>
            </w:tcBorders>
            <w:noWrap/>
            <w:vAlign w:val="center"/>
            <w:hideMark/>
          </w:tcPr>
          <w:p w14:paraId="67F8F70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0,0000</w:t>
            </w:r>
          </w:p>
        </w:tc>
        <w:tc>
          <w:tcPr>
            <w:tcW w:w="1587" w:type="dxa"/>
            <w:tcBorders>
              <w:top w:val="nil"/>
              <w:left w:val="nil"/>
              <w:bottom w:val="single" w:sz="4" w:space="0" w:color="auto"/>
              <w:right w:val="single" w:sz="4" w:space="0" w:color="auto"/>
            </w:tcBorders>
            <w:noWrap/>
            <w:vAlign w:val="center"/>
            <w:hideMark/>
          </w:tcPr>
          <w:p w14:paraId="552A7F18"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7289F64F" w14:textId="77777777" w:rsidTr="00777BC1">
        <w:trPr>
          <w:trHeight w:val="320"/>
        </w:trPr>
        <w:tc>
          <w:tcPr>
            <w:tcW w:w="1098" w:type="dxa"/>
            <w:tcBorders>
              <w:top w:val="nil"/>
              <w:left w:val="single" w:sz="4" w:space="0" w:color="auto"/>
              <w:bottom w:val="single" w:sz="4" w:space="0" w:color="auto"/>
              <w:right w:val="single" w:sz="4" w:space="0" w:color="auto"/>
            </w:tcBorders>
            <w:noWrap/>
            <w:vAlign w:val="center"/>
            <w:hideMark/>
          </w:tcPr>
          <w:p w14:paraId="61A98F4A" w14:textId="77777777" w:rsidR="00777BC1" w:rsidRPr="00777BC1" w:rsidRDefault="00777BC1" w:rsidP="00777BC1">
            <w:pPr>
              <w:rPr>
                <w:rFonts w:ascii="Aptos Narrow" w:hAnsi="Aptos Narrow"/>
                <w:b/>
                <w:bCs/>
                <w:color w:val="000000"/>
              </w:rPr>
            </w:pPr>
            <w:r w:rsidRPr="00777BC1">
              <w:rPr>
                <w:rFonts w:ascii="Aptos Narrow" w:hAnsi="Aptos Narrow"/>
                <w:b/>
                <w:bCs/>
                <w:color w:val="000000"/>
              </w:rPr>
              <w:t>Celkem</w:t>
            </w:r>
          </w:p>
        </w:tc>
        <w:tc>
          <w:tcPr>
            <w:tcW w:w="863" w:type="dxa"/>
            <w:tcBorders>
              <w:top w:val="nil"/>
              <w:left w:val="nil"/>
              <w:bottom w:val="single" w:sz="4" w:space="0" w:color="auto"/>
              <w:right w:val="single" w:sz="4" w:space="0" w:color="auto"/>
            </w:tcBorders>
            <w:noWrap/>
            <w:vAlign w:val="center"/>
            <w:hideMark/>
          </w:tcPr>
          <w:p w14:paraId="40EAFA80"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8 718</w:t>
            </w:r>
          </w:p>
        </w:tc>
        <w:tc>
          <w:tcPr>
            <w:tcW w:w="863" w:type="dxa"/>
            <w:tcBorders>
              <w:top w:val="nil"/>
              <w:left w:val="nil"/>
              <w:bottom w:val="single" w:sz="4" w:space="0" w:color="auto"/>
              <w:right w:val="single" w:sz="4" w:space="0" w:color="auto"/>
            </w:tcBorders>
            <w:noWrap/>
            <w:vAlign w:val="center"/>
            <w:hideMark/>
          </w:tcPr>
          <w:p w14:paraId="1198DA91"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7 809</w:t>
            </w:r>
          </w:p>
        </w:tc>
        <w:tc>
          <w:tcPr>
            <w:tcW w:w="863" w:type="dxa"/>
            <w:tcBorders>
              <w:top w:val="nil"/>
              <w:left w:val="nil"/>
              <w:bottom w:val="single" w:sz="4" w:space="0" w:color="auto"/>
              <w:right w:val="single" w:sz="4" w:space="0" w:color="auto"/>
            </w:tcBorders>
            <w:noWrap/>
            <w:vAlign w:val="center"/>
            <w:hideMark/>
          </w:tcPr>
          <w:p w14:paraId="3005ACE4"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8 341</w:t>
            </w:r>
          </w:p>
        </w:tc>
        <w:tc>
          <w:tcPr>
            <w:tcW w:w="794" w:type="dxa"/>
            <w:tcBorders>
              <w:top w:val="nil"/>
              <w:left w:val="nil"/>
              <w:bottom w:val="single" w:sz="4" w:space="0" w:color="auto"/>
              <w:right w:val="single" w:sz="4" w:space="0" w:color="auto"/>
            </w:tcBorders>
            <w:noWrap/>
            <w:vAlign w:val="center"/>
            <w:hideMark/>
          </w:tcPr>
          <w:p w14:paraId="64C673DA"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244</w:t>
            </w:r>
          </w:p>
        </w:tc>
        <w:tc>
          <w:tcPr>
            <w:tcW w:w="794" w:type="dxa"/>
            <w:tcBorders>
              <w:top w:val="nil"/>
              <w:left w:val="nil"/>
              <w:bottom w:val="single" w:sz="4" w:space="0" w:color="auto"/>
              <w:right w:val="single" w:sz="4" w:space="0" w:color="auto"/>
            </w:tcBorders>
            <w:noWrap/>
            <w:vAlign w:val="center"/>
            <w:hideMark/>
          </w:tcPr>
          <w:p w14:paraId="2C5767E9"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229</w:t>
            </w:r>
          </w:p>
        </w:tc>
        <w:tc>
          <w:tcPr>
            <w:tcW w:w="794" w:type="dxa"/>
            <w:tcBorders>
              <w:top w:val="nil"/>
              <w:left w:val="nil"/>
              <w:bottom w:val="single" w:sz="4" w:space="0" w:color="auto"/>
              <w:right w:val="single" w:sz="4" w:space="0" w:color="auto"/>
            </w:tcBorders>
            <w:noWrap/>
            <w:vAlign w:val="center"/>
            <w:hideMark/>
          </w:tcPr>
          <w:p w14:paraId="303A16D5"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182</w:t>
            </w:r>
          </w:p>
        </w:tc>
        <w:tc>
          <w:tcPr>
            <w:tcW w:w="1474" w:type="dxa"/>
            <w:tcBorders>
              <w:top w:val="nil"/>
              <w:left w:val="nil"/>
              <w:bottom w:val="single" w:sz="4" w:space="0" w:color="auto"/>
              <w:right w:val="single" w:sz="4" w:space="0" w:color="auto"/>
            </w:tcBorders>
            <w:noWrap/>
            <w:vAlign w:val="center"/>
            <w:hideMark/>
          </w:tcPr>
          <w:p w14:paraId="3F8AC444"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1,0000</w:t>
            </w:r>
          </w:p>
        </w:tc>
        <w:tc>
          <w:tcPr>
            <w:tcW w:w="1587" w:type="dxa"/>
            <w:tcBorders>
              <w:top w:val="nil"/>
              <w:left w:val="nil"/>
              <w:bottom w:val="single" w:sz="4" w:space="0" w:color="auto"/>
              <w:right w:val="single" w:sz="4" w:space="0" w:color="auto"/>
            </w:tcBorders>
            <w:noWrap/>
            <w:vAlign w:val="center"/>
            <w:hideMark/>
          </w:tcPr>
          <w:p w14:paraId="49984B34"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100,00</w:t>
            </w:r>
          </w:p>
        </w:tc>
      </w:tr>
    </w:tbl>
    <w:p w14:paraId="45C69474" w14:textId="77777777" w:rsidR="009E0F6D" w:rsidRDefault="009E0F6D" w:rsidP="0012257E">
      <w:pPr>
        <w:pStyle w:val="RozpocetOdstavec"/>
      </w:pPr>
    </w:p>
    <w:p w14:paraId="6E39F1BE" w14:textId="77777777" w:rsidR="00DA3ED5" w:rsidRDefault="00390512" w:rsidP="00DA3ED5">
      <w:pPr>
        <w:pStyle w:val="RozpoetNadpis3"/>
      </w:pPr>
      <w:bookmarkStart w:id="21" w:name="_Toc228824332"/>
      <w:r>
        <w:t>Indikátor c</w:t>
      </w:r>
      <w:r w:rsidR="00DA3ED5">
        <w:t>izinci</w:t>
      </w:r>
      <w:bookmarkEnd w:id="21"/>
    </w:p>
    <w:p w14:paraId="76DFD0AD" w14:textId="77777777" w:rsidR="00106EDE" w:rsidRPr="000A20AA" w:rsidRDefault="00106EDE" w:rsidP="00106EDE">
      <w:pPr>
        <w:pStyle w:val="RozpocetOdstavec"/>
      </w:pPr>
      <w:r w:rsidRPr="000A20AA">
        <w:t>Indikátor cizinci představuje podíl součásti na celkovém počtu zahraničních akademických           a vědeckých pracovníků podílejících se na vzdělávací nebo tvůrčí činnosti UTB.</w:t>
      </w:r>
    </w:p>
    <w:p w14:paraId="03557869" w14:textId="77777777" w:rsidR="00106EDE" w:rsidRPr="000A20AA" w:rsidRDefault="00106EDE" w:rsidP="00106EDE">
      <w:pPr>
        <w:pStyle w:val="RozpocetOdstavec"/>
      </w:pPr>
    </w:p>
    <w:p w14:paraId="00F8F57E" w14:textId="77777777" w:rsidR="00106EDE" w:rsidRPr="000A20AA" w:rsidRDefault="00106EDE" w:rsidP="00106EDE">
      <w:pPr>
        <w:pStyle w:val="RozpocetOdstavec"/>
      </w:pPr>
      <w:r w:rsidRPr="000A20AA">
        <w:t xml:space="preserve">Za počet zahraničních akademických a vědeckých pracovníků se bere průměrný přepočtený počet pracovníků s cizím státním občanstvím, podílejících se na vzdělávací nebo tvůrčí činnosti VVŠ, kteří na VVŠ pracovali na základě pracovního poměru či dohody o pracovní činnosti. Průměrným přepočteným počtem se rozumí podíl celkového počtu skutečně odpracovaných </w:t>
      </w:r>
      <w:r w:rsidRPr="000A20AA">
        <w:lastRenderedPageBreak/>
        <w:t xml:space="preserve">hodin za sledované období od 1. 1. do 31. 12. všemi pracovníky ve sledované kategorii </w:t>
      </w:r>
      <w:r w:rsidRPr="000A20AA">
        <w:br/>
        <w:t>a celkového ročního fondu pracovní doby připadajícího na jednoho zaměstnance pracujícího na plnou pracovní dobu.</w:t>
      </w:r>
    </w:p>
    <w:p w14:paraId="69EE8FBA" w14:textId="77777777" w:rsidR="00106EDE" w:rsidRPr="000A20AA" w:rsidRDefault="00106EDE" w:rsidP="00106EDE">
      <w:pPr>
        <w:pStyle w:val="RozpocetOdstavec"/>
      </w:pPr>
    </w:p>
    <w:p w14:paraId="3E5D40B9" w14:textId="046D1ACB" w:rsidR="003E46D6" w:rsidRPr="000A20AA" w:rsidRDefault="00106EDE" w:rsidP="00106EDE">
      <w:pPr>
        <w:pStyle w:val="RozpocetOdstavec"/>
      </w:pPr>
      <w:r w:rsidRPr="000A20AA">
        <w:t xml:space="preserve">Zdrojem dat je výroční zpráva o činnosti veřejných vysokých škol za roky 2024, 2023, 2022 </w:t>
      </w:r>
      <w:r w:rsidRPr="000A20AA">
        <w:br/>
        <w:t>s váhami 5:3:2. Podle tohoto indikátoru bude mezi součásti rozdělena část ukazatele K přiděleného UTB podle cizinců.</w:t>
      </w:r>
    </w:p>
    <w:p w14:paraId="4A497F7E" w14:textId="77777777" w:rsidR="00D46B11" w:rsidRDefault="00D46B11" w:rsidP="00106EDE">
      <w:pPr>
        <w:pStyle w:val="RozpocetOdstavec"/>
        <w:rPr>
          <w:color w:val="00B05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1134"/>
        <w:gridCol w:w="1134"/>
        <w:gridCol w:w="1134"/>
        <w:gridCol w:w="1474"/>
        <w:gridCol w:w="1474"/>
      </w:tblGrid>
      <w:tr w:rsidR="00D46B11" w:rsidRPr="00D46B11" w14:paraId="18A646A1" w14:textId="77777777" w:rsidTr="00D46B11">
        <w:trPr>
          <w:trHeight w:val="320"/>
        </w:trPr>
        <w:tc>
          <w:tcPr>
            <w:tcW w:w="2721" w:type="dxa"/>
            <w:shd w:val="clear" w:color="auto" w:fill="D9D9D9" w:themeFill="background1" w:themeFillShade="D9"/>
            <w:noWrap/>
            <w:vAlign w:val="center"/>
            <w:hideMark/>
          </w:tcPr>
          <w:p w14:paraId="568BC559" w14:textId="1651C48D" w:rsidR="00D46B11" w:rsidRPr="00D46B11" w:rsidRDefault="00D46B11" w:rsidP="00D46B11">
            <w:pPr>
              <w:jc w:val="center"/>
              <w:rPr>
                <w:rFonts w:ascii="Aptos Narrow" w:hAnsi="Aptos Narrow"/>
                <w:b/>
                <w:bCs/>
                <w:color w:val="000000"/>
              </w:rPr>
            </w:pPr>
            <w:r>
              <w:rPr>
                <w:rFonts w:ascii="Aptos Narrow" w:hAnsi="Aptos Narrow"/>
                <w:b/>
                <w:bCs/>
                <w:color w:val="000000"/>
              </w:rPr>
              <w:t>Součást</w:t>
            </w:r>
          </w:p>
        </w:tc>
        <w:tc>
          <w:tcPr>
            <w:tcW w:w="1134" w:type="dxa"/>
            <w:shd w:val="clear" w:color="auto" w:fill="D9D9D9" w:themeFill="background1" w:themeFillShade="D9"/>
            <w:noWrap/>
            <w:vAlign w:val="center"/>
            <w:hideMark/>
          </w:tcPr>
          <w:p w14:paraId="4B1EBA0D"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2022</w:t>
            </w:r>
          </w:p>
        </w:tc>
        <w:tc>
          <w:tcPr>
            <w:tcW w:w="1134" w:type="dxa"/>
            <w:shd w:val="clear" w:color="auto" w:fill="D9D9D9" w:themeFill="background1" w:themeFillShade="D9"/>
            <w:noWrap/>
            <w:vAlign w:val="center"/>
            <w:hideMark/>
          </w:tcPr>
          <w:p w14:paraId="74D472F0"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2023</w:t>
            </w:r>
          </w:p>
        </w:tc>
        <w:tc>
          <w:tcPr>
            <w:tcW w:w="1134" w:type="dxa"/>
            <w:shd w:val="clear" w:color="auto" w:fill="D9D9D9" w:themeFill="background1" w:themeFillShade="D9"/>
            <w:noWrap/>
            <w:vAlign w:val="center"/>
            <w:hideMark/>
          </w:tcPr>
          <w:p w14:paraId="154A68D0"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2024</w:t>
            </w:r>
          </w:p>
        </w:tc>
        <w:tc>
          <w:tcPr>
            <w:tcW w:w="1474" w:type="dxa"/>
            <w:shd w:val="clear" w:color="auto" w:fill="D9D9D9" w:themeFill="background1" w:themeFillShade="D9"/>
            <w:noWrap/>
            <w:vAlign w:val="center"/>
            <w:hideMark/>
          </w:tcPr>
          <w:p w14:paraId="62A39E32"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Cizinci</w:t>
            </w:r>
          </w:p>
        </w:tc>
        <w:tc>
          <w:tcPr>
            <w:tcW w:w="1474" w:type="dxa"/>
            <w:shd w:val="clear" w:color="auto" w:fill="D9D9D9" w:themeFill="background1" w:themeFillShade="D9"/>
            <w:noWrap/>
            <w:vAlign w:val="center"/>
            <w:hideMark/>
          </w:tcPr>
          <w:p w14:paraId="39F8CB91" w14:textId="77777777" w:rsidR="00D46B11" w:rsidRPr="00D46B11" w:rsidRDefault="00D46B11" w:rsidP="00D46B11">
            <w:pPr>
              <w:jc w:val="center"/>
              <w:rPr>
                <w:rFonts w:ascii="Aptos Narrow" w:hAnsi="Aptos Narrow"/>
                <w:b/>
                <w:bCs/>
                <w:color w:val="000000"/>
              </w:rPr>
            </w:pPr>
            <w:r w:rsidRPr="00D46B11">
              <w:rPr>
                <w:rFonts w:ascii="Aptos Narrow" w:hAnsi="Aptos Narrow"/>
                <w:b/>
                <w:bCs/>
                <w:color w:val="000000"/>
              </w:rPr>
              <w:t>Cizinci v %</w:t>
            </w:r>
          </w:p>
        </w:tc>
      </w:tr>
      <w:tr w:rsidR="004A3E13" w:rsidRPr="00D46B11" w14:paraId="2AD29489" w14:textId="77777777" w:rsidTr="00BD134F">
        <w:trPr>
          <w:trHeight w:val="320"/>
        </w:trPr>
        <w:tc>
          <w:tcPr>
            <w:tcW w:w="2721" w:type="dxa"/>
            <w:noWrap/>
            <w:vAlign w:val="center"/>
            <w:hideMark/>
          </w:tcPr>
          <w:p w14:paraId="3DF056DF" w14:textId="77777777" w:rsidR="004A3E13" w:rsidRPr="00D46B11" w:rsidRDefault="004A3E13" w:rsidP="004A3E13">
            <w:pPr>
              <w:rPr>
                <w:rFonts w:ascii="Aptos Narrow" w:hAnsi="Aptos Narrow"/>
                <w:color w:val="000000"/>
              </w:rPr>
            </w:pPr>
            <w:r w:rsidRPr="00D46B11">
              <w:rPr>
                <w:rFonts w:ascii="Aptos Narrow" w:hAnsi="Aptos Narrow"/>
                <w:color w:val="000000"/>
              </w:rPr>
              <w:t>FT</w:t>
            </w:r>
          </w:p>
        </w:tc>
        <w:tc>
          <w:tcPr>
            <w:tcW w:w="1134" w:type="dxa"/>
            <w:noWrap/>
            <w:vAlign w:val="bottom"/>
            <w:hideMark/>
          </w:tcPr>
          <w:p w14:paraId="48416E52" w14:textId="2815586E" w:rsidR="004A3E13" w:rsidRPr="00D46B11" w:rsidRDefault="004A3E13" w:rsidP="004A3E13">
            <w:pPr>
              <w:jc w:val="right"/>
              <w:rPr>
                <w:rFonts w:ascii="Aptos Narrow" w:hAnsi="Aptos Narrow"/>
                <w:color w:val="000000"/>
              </w:rPr>
            </w:pPr>
            <w:r>
              <w:rPr>
                <w:rFonts w:ascii="Aptos Narrow" w:hAnsi="Aptos Narrow"/>
                <w:color w:val="000000"/>
              </w:rPr>
              <w:t>7,54</w:t>
            </w:r>
          </w:p>
        </w:tc>
        <w:tc>
          <w:tcPr>
            <w:tcW w:w="1134" w:type="dxa"/>
            <w:noWrap/>
            <w:vAlign w:val="bottom"/>
            <w:hideMark/>
          </w:tcPr>
          <w:p w14:paraId="11321A4E" w14:textId="31D54707" w:rsidR="004A3E13" w:rsidRPr="00D46B11" w:rsidRDefault="004A3E13" w:rsidP="004A3E13">
            <w:pPr>
              <w:jc w:val="right"/>
              <w:rPr>
                <w:rFonts w:ascii="Aptos Narrow" w:hAnsi="Aptos Narrow"/>
                <w:color w:val="000000"/>
              </w:rPr>
            </w:pPr>
            <w:r>
              <w:rPr>
                <w:rFonts w:ascii="Aptos Narrow" w:hAnsi="Aptos Narrow"/>
                <w:color w:val="000000"/>
              </w:rPr>
              <w:t>7,78</w:t>
            </w:r>
          </w:p>
        </w:tc>
        <w:tc>
          <w:tcPr>
            <w:tcW w:w="1134" w:type="dxa"/>
            <w:noWrap/>
            <w:vAlign w:val="bottom"/>
            <w:hideMark/>
          </w:tcPr>
          <w:p w14:paraId="4A27E5FF" w14:textId="09A28286" w:rsidR="004A3E13" w:rsidRPr="00D46B11" w:rsidRDefault="004A3E13" w:rsidP="004A3E13">
            <w:pPr>
              <w:jc w:val="right"/>
              <w:rPr>
                <w:rFonts w:ascii="Aptos Narrow" w:hAnsi="Aptos Narrow"/>
                <w:color w:val="000000"/>
              </w:rPr>
            </w:pPr>
            <w:r>
              <w:rPr>
                <w:rFonts w:ascii="Aptos Narrow" w:hAnsi="Aptos Narrow"/>
                <w:color w:val="000000"/>
              </w:rPr>
              <w:t>6,55</w:t>
            </w:r>
          </w:p>
        </w:tc>
        <w:tc>
          <w:tcPr>
            <w:tcW w:w="1474" w:type="dxa"/>
            <w:noWrap/>
            <w:vAlign w:val="bottom"/>
            <w:hideMark/>
          </w:tcPr>
          <w:p w14:paraId="77AF424C" w14:textId="5E76B098" w:rsidR="004A3E13" w:rsidRPr="00D46B11" w:rsidRDefault="004A3E13" w:rsidP="004A3E13">
            <w:pPr>
              <w:jc w:val="right"/>
              <w:rPr>
                <w:rFonts w:ascii="Aptos Narrow" w:hAnsi="Aptos Narrow"/>
                <w:color w:val="000000"/>
              </w:rPr>
            </w:pPr>
            <w:r>
              <w:rPr>
                <w:rFonts w:ascii="Aptos Narrow" w:hAnsi="Aptos Narrow"/>
                <w:color w:val="000000"/>
              </w:rPr>
              <w:t>7,12</w:t>
            </w:r>
          </w:p>
        </w:tc>
        <w:tc>
          <w:tcPr>
            <w:tcW w:w="1474" w:type="dxa"/>
            <w:noWrap/>
            <w:vAlign w:val="bottom"/>
            <w:hideMark/>
          </w:tcPr>
          <w:p w14:paraId="198F5592" w14:textId="60288E87" w:rsidR="004A3E13" w:rsidRPr="00D46B11" w:rsidRDefault="004A3E13" w:rsidP="004A3E13">
            <w:pPr>
              <w:jc w:val="right"/>
              <w:rPr>
                <w:rFonts w:ascii="Aptos Narrow" w:hAnsi="Aptos Narrow"/>
                <w:color w:val="000000"/>
              </w:rPr>
            </w:pPr>
            <w:r>
              <w:rPr>
                <w:rFonts w:ascii="Aptos Narrow" w:hAnsi="Aptos Narrow"/>
                <w:color w:val="000000"/>
              </w:rPr>
              <w:t>8,87</w:t>
            </w:r>
          </w:p>
        </w:tc>
      </w:tr>
      <w:tr w:rsidR="004A3E13" w:rsidRPr="00D46B11" w14:paraId="1104C4DD" w14:textId="77777777" w:rsidTr="00BD134F">
        <w:trPr>
          <w:trHeight w:val="320"/>
        </w:trPr>
        <w:tc>
          <w:tcPr>
            <w:tcW w:w="2721" w:type="dxa"/>
            <w:noWrap/>
            <w:vAlign w:val="center"/>
            <w:hideMark/>
          </w:tcPr>
          <w:p w14:paraId="6B992515" w14:textId="77777777" w:rsidR="004A3E13" w:rsidRPr="00D46B11" w:rsidRDefault="004A3E13" w:rsidP="004A3E13">
            <w:pPr>
              <w:rPr>
                <w:rFonts w:ascii="Aptos Narrow" w:hAnsi="Aptos Narrow"/>
                <w:color w:val="000000"/>
              </w:rPr>
            </w:pPr>
            <w:r w:rsidRPr="00D46B11">
              <w:rPr>
                <w:rFonts w:ascii="Aptos Narrow" w:hAnsi="Aptos Narrow"/>
                <w:color w:val="000000"/>
              </w:rPr>
              <w:t>FLKŘ</w:t>
            </w:r>
          </w:p>
        </w:tc>
        <w:tc>
          <w:tcPr>
            <w:tcW w:w="1134" w:type="dxa"/>
            <w:noWrap/>
            <w:vAlign w:val="bottom"/>
            <w:hideMark/>
          </w:tcPr>
          <w:p w14:paraId="6D30843F" w14:textId="44791383" w:rsidR="004A3E13" w:rsidRPr="00D46B11" w:rsidRDefault="004A3E13" w:rsidP="004A3E13">
            <w:pPr>
              <w:jc w:val="right"/>
              <w:rPr>
                <w:rFonts w:ascii="Aptos Narrow" w:hAnsi="Aptos Narrow"/>
                <w:color w:val="000000"/>
              </w:rPr>
            </w:pPr>
            <w:r>
              <w:rPr>
                <w:rFonts w:ascii="Aptos Narrow" w:hAnsi="Aptos Narrow"/>
                <w:color w:val="000000"/>
              </w:rPr>
              <w:t>3,45</w:t>
            </w:r>
          </w:p>
        </w:tc>
        <w:tc>
          <w:tcPr>
            <w:tcW w:w="1134" w:type="dxa"/>
            <w:noWrap/>
            <w:vAlign w:val="bottom"/>
            <w:hideMark/>
          </w:tcPr>
          <w:p w14:paraId="794E5B32" w14:textId="1A687177" w:rsidR="004A3E13" w:rsidRPr="00D46B11" w:rsidRDefault="004A3E13" w:rsidP="004A3E13">
            <w:pPr>
              <w:jc w:val="right"/>
              <w:rPr>
                <w:rFonts w:ascii="Aptos Narrow" w:hAnsi="Aptos Narrow"/>
                <w:color w:val="000000"/>
              </w:rPr>
            </w:pPr>
            <w:r>
              <w:rPr>
                <w:rFonts w:ascii="Aptos Narrow" w:hAnsi="Aptos Narrow"/>
                <w:color w:val="000000"/>
              </w:rPr>
              <w:t>3,50</w:t>
            </w:r>
          </w:p>
        </w:tc>
        <w:tc>
          <w:tcPr>
            <w:tcW w:w="1134" w:type="dxa"/>
            <w:noWrap/>
            <w:vAlign w:val="bottom"/>
            <w:hideMark/>
          </w:tcPr>
          <w:p w14:paraId="4E0D862C" w14:textId="24BD4857" w:rsidR="004A3E13" w:rsidRPr="00D46B11" w:rsidRDefault="004A3E13" w:rsidP="004A3E13">
            <w:pPr>
              <w:jc w:val="right"/>
              <w:rPr>
                <w:rFonts w:ascii="Aptos Narrow" w:hAnsi="Aptos Narrow"/>
                <w:color w:val="000000"/>
              </w:rPr>
            </w:pPr>
            <w:r>
              <w:rPr>
                <w:rFonts w:ascii="Aptos Narrow" w:hAnsi="Aptos Narrow"/>
                <w:color w:val="000000"/>
              </w:rPr>
              <w:t>5,25</w:t>
            </w:r>
          </w:p>
        </w:tc>
        <w:tc>
          <w:tcPr>
            <w:tcW w:w="1474" w:type="dxa"/>
            <w:noWrap/>
            <w:vAlign w:val="bottom"/>
            <w:hideMark/>
          </w:tcPr>
          <w:p w14:paraId="77E12D4F" w14:textId="17BDFFF4" w:rsidR="004A3E13" w:rsidRPr="00D46B11" w:rsidRDefault="004A3E13" w:rsidP="004A3E13">
            <w:pPr>
              <w:jc w:val="right"/>
              <w:rPr>
                <w:rFonts w:ascii="Aptos Narrow" w:hAnsi="Aptos Narrow"/>
                <w:color w:val="000000"/>
              </w:rPr>
            </w:pPr>
            <w:r>
              <w:rPr>
                <w:rFonts w:ascii="Aptos Narrow" w:hAnsi="Aptos Narrow"/>
                <w:color w:val="000000"/>
              </w:rPr>
              <w:t>4,37</w:t>
            </w:r>
          </w:p>
        </w:tc>
        <w:tc>
          <w:tcPr>
            <w:tcW w:w="1474" w:type="dxa"/>
            <w:noWrap/>
            <w:vAlign w:val="bottom"/>
            <w:hideMark/>
          </w:tcPr>
          <w:p w14:paraId="14941C0C" w14:textId="7936DC45" w:rsidR="004A3E13" w:rsidRPr="00D46B11" w:rsidRDefault="004A3E13" w:rsidP="004A3E13">
            <w:pPr>
              <w:jc w:val="right"/>
              <w:rPr>
                <w:rFonts w:ascii="Aptos Narrow" w:hAnsi="Aptos Narrow"/>
                <w:color w:val="000000"/>
              </w:rPr>
            </w:pPr>
            <w:r>
              <w:rPr>
                <w:rFonts w:ascii="Aptos Narrow" w:hAnsi="Aptos Narrow"/>
                <w:color w:val="000000"/>
              </w:rPr>
              <w:t>5,44</w:t>
            </w:r>
          </w:p>
        </w:tc>
      </w:tr>
      <w:tr w:rsidR="004A3E13" w:rsidRPr="00D46B11" w14:paraId="566DDAA6" w14:textId="77777777" w:rsidTr="00BD134F">
        <w:trPr>
          <w:trHeight w:val="320"/>
        </w:trPr>
        <w:tc>
          <w:tcPr>
            <w:tcW w:w="2721" w:type="dxa"/>
            <w:noWrap/>
            <w:vAlign w:val="center"/>
            <w:hideMark/>
          </w:tcPr>
          <w:p w14:paraId="7F011737" w14:textId="77777777" w:rsidR="004A3E13" w:rsidRPr="00D46B11" w:rsidRDefault="004A3E13" w:rsidP="004A3E13">
            <w:pPr>
              <w:rPr>
                <w:rFonts w:ascii="Aptos Narrow" w:hAnsi="Aptos Narrow"/>
                <w:color w:val="000000"/>
              </w:rPr>
            </w:pPr>
            <w:r w:rsidRPr="00D46B11">
              <w:rPr>
                <w:rFonts w:ascii="Aptos Narrow" w:hAnsi="Aptos Narrow"/>
                <w:color w:val="000000"/>
              </w:rPr>
              <w:t>FAI</w:t>
            </w:r>
          </w:p>
        </w:tc>
        <w:tc>
          <w:tcPr>
            <w:tcW w:w="1134" w:type="dxa"/>
            <w:noWrap/>
            <w:vAlign w:val="bottom"/>
            <w:hideMark/>
          </w:tcPr>
          <w:p w14:paraId="67E49D60" w14:textId="39EF0055" w:rsidR="004A3E13" w:rsidRPr="00D46B11" w:rsidRDefault="004A3E13" w:rsidP="004A3E13">
            <w:pPr>
              <w:jc w:val="right"/>
              <w:rPr>
                <w:rFonts w:ascii="Aptos Narrow" w:hAnsi="Aptos Narrow"/>
                <w:color w:val="000000"/>
              </w:rPr>
            </w:pPr>
            <w:r w:rsidRPr="004A3E13">
              <w:rPr>
                <w:rFonts w:ascii="Aptos Narrow" w:hAnsi="Aptos Narrow"/>
                <w:color w:val="000000"/>
              </w:rPr>
              <w:t>7,78</w:t>
            </w:r>
          </w:p>
        </w:tc>
        <w:tc>
          <w:tcPr>
            <w:tcW w:w="1134" w:type="dxa"/>
            <w:noWrap/>
            <w:vAlign w:val="bottom"/>
            <w:hideMark/>
          </w:tcPr>
          <w:p w14:paraId="48766A94" w14:textId="2D119D07" w:rsidR="004A3E13" w:rsidRPr="00D46B11" w:rsidRDefault="004A3E13" w:rsidP="004A3E13">
            <w:pPr>
              <w:jc w:val="right"/>
              <w:rPr>
                <w:rFonts w:ascii="Aptos Narrow" w:hAnsi="Aptos Narrow"/>
                <w:color w:val="000000"/>
              </w:rPr>
            </w:pPr>
            <w:r w:rsidRPr="004A3E13">
              <w:rPr>
                <w:rFonts w:ascii="Aptos Narrow" w:hAnsi="Aptos Narrow"/>
                <w:color w:val="000000"/>
              </w:rPr>
              <w:t>5,00</w:t>
            </w:r>
          </w:p>
        </w:tc>
        <w:tc>
          <w:tcPr>
            <w:tcW w:w="1134" w:type="dxa"/>
            <w:noWrap/>
            <w:vAlign w:val="bottom"/>
            <w:hideMark/>
          </w:tcPr>
          <w:p w14:paraId="01E38F87" w14:textId="0617B3A1" w:rsidR="004A3E13" w:rsidRPr="00D46B11" w:rsidRDefault="004A3E13" w:rsidP="004A3E13">
            <w:pPr>
              <w:jc w:val="right"/>
              <w:rPr>
                <w:rFonts w:ascii="Aptos Narrow" w:hAnsi="Aptos Narrow"/>
                <w:color w:val="000000"/>
              </w:rPr>
            </w:pPr>
            <w:r>
              <w:rPr>
                <w:rFonts w:ascii="Aptos Narrow" w:hAnsi="Aptos Narrow"/>
                <w:color w:val="000000"/>
              </w:rPr>
              <w:t>8,70</w:t>
            </w:r>
          </w:p>
        </w:tc>
        <w:tc>
          <w:tcPr>
            <w:tcW w:w="1474" w:type="dxa"/>
            <w:noWrap/>
            <w:vAlign w:val="bottom"/>
            <w:hideMark/>
          </w:tcPr>
          <w:p w14:paraId="1205E6C4" w14:textId="463F0987" w:rsidR="004A3E13" w:rsidRPr="00D46B11" w:rsidRDefault="004A3E13" w:rsidP="004A3E13">
            <w:pPr>
              <w:jc w:val="right"/>
              <w:rPr>
                <w:rFonts w:ascii="Aptos Narrow" w:hAnsi="Aptos Narrow"/>
                <w:color w:val="000000"/>
              </w:rPr>
            </w:pPr>
            <w:r>
              <w:rPr>
                <w:rFonts w:ascii="Aptos Narrow" w:hAnsi="Aptos Narrow"/>
                <w:color w:val="000000"/>
              </w:rPr>
              <w:t>7,41</w:t>
            </w:r>
          </w:p>
        </w:tc>
        <w:tc>
          <w:tcPr>
            <w:tcW w:w="1474" w:type="dxa"/>
            <w:noWrap/>
            <w:vAlign w:val="bottom"/>
            <w:hideMark/>
          </w:tcPr>
          <w:p w14:paraId="0772B3F1" w14:textId="484DD943" w:rsidR="004A3E13" w:rsidRPr="00D46B11" w:rsidRDefault="004A3E13" w:rsidP="004A3E13">
            <w:pPr>
              <w:jc w:val="right"/>
              <w:rPr>
                <w:rFonts w:ascii="Aptos Narrow" w:hAnsi="Aptos Narrow"/>
                <w:color w:val="000000"/>
              </w:rPr>
            </w:pPr>
            <w:r>
              <w:rPr>
                <w:rFonts w:ascii="Aptos Narrow" w:hAnsi="Aptos Narrow"/>
                <w:color w:val="000000"/>
              </w:rPr>
              <w:t>9,23</w:t>
            </w:r>
          </w:p>
        </w:tc>
      </w:tr>
      <w:tr w:rsidR="004A3E13" w:rsidRPr="00D46B11" w14:paraId="3C449329" w14:textId="77777777" w:rsidTr="00BD134F">
        <w:trPr>
          <w:trHeight w:val="320"/>
        </w:trPr>
        <w:tc>
          <w:tcPr>
            <w:tcW w:w="2721" w:type="dxa"/>
            <w:noWrap/>
            <w:vAlign w:val="center"/>
            <w:hideMark/>
          </w:tcPr>
          <w:p w14:paraId="4F69F1B0" w14:textId="77777777" w:rsidR="004A3E13" w:rsidRPr="00D46B11" w:rsidRDefault="004A3E13" w:rsidP="004A3E13">
            <w:pPr>
              <w:rPr>
                <w:rFonts w:ascii="Aptos Narrow" w:hAnsi="Aptos Narrow"/>
                <w:color w:val="000000"/>
              </w:rPr>
            </w:pPr>
            <w:r w:rsidRPr="00D46B11">
              <w:rPr>
                <w:rFonts w:ascii="Aptos Narrow" w:hAnsi="Aptos Narrow"/>
                <w:color w:val="000000"/>
              </w:rPr>
              <w:t>FMK</w:t>
            </w:r>
          </w:p>
        </w:tc>
        <w:tc>
          <w:tcPr>
            <w:tcW w:w="1134" w:type="dxa"/>
            <w:noWrap/>
            <w:vAlign w:val="bottom"/>
            <w:hideMark/>
          </w:tcPr>
          <w:p w14:paraId="2E69CF8B" w14:textId="00094EEF" w:rsidR="004A3E13" w:rsidRPr="00D46B11" w:rsidRDefault="004A3E13" w:rsidP="004A3E13">
            <w:pPr>
              <w:jc w:val="right"/>
              <w:rPr>
                <w:rFonts w:ascii="Aptos Narrow" w:hAnsi="Aptos Narrow"/>
                <w:color w:val="000000"/>
              </w:rPr>
            </w:pPr>
            <w:r w:rsidRPr="004A3E13">
              <w:rPr>
                <w:rFonts w:ascii="Aptos Narrow" w:hAnsi="Aptos Narrow"/>
                <w:color w:val="000000"/>
              </w:rPr>
              <w:t>10,27</w:t>
            </w:r>
          </w:p>
        </w:tc>
        <w:tc>
          <w:tcPr>
            <w:tcW w:w="1134" w:type="dxa"/>
            <w:noWrap/>
            <w:vAlign w:val="bottom"/>
            <w:hideMark/>
          </w:tcPr>
          <w:p w14:paraId="2C4BE2D6" w14:textId="493FB61C" w:rsidR="004A3E13" w:rsidRPr="00D46B11" w:rsidRDefault="004A3E13" w:rsidP="004A3E13">
            <w:pPr>
              <w:jc w:val="right"/>
              <w:rPr>
                <w:rFonts w:ascii="Aptos Narrow" w:hAnsi="Aptos Narrow"/>
                <w:color w:val="000000"/>
              </w:rPr>
            </w:pPr>
            <w:r w:rsidRPr="004A3E13">
              <w:rPr>
                <w:rFonts w:ascii="Aptos Narrow" w:hAnsi="Aptos Narrow"/>
                <w:color w:val="000000"/>
              </w:rPr>
              <w:t>12,04</w:t>
            </w:r>
          </w:p>
        </w:tc>
        <w:tc>
          <w:tcPr>
            <w:tcW w:w="1134" w:type="dxa"/>
            <w:noWrap/>
            <w:vAlign w:val="bottom"/>
            <w:hideMark/>
          </w:tcPr>
          <w:p w14:paraId="7649EF53" w14:textId="4D3A8826" w:rsidR="004A3E13" w:rsidRPr="00D46B11" w:rsidRDefault="004A3E13" w:rsidP="004A3E13">
            <w:pPr>
              <w:jc w:val="right"/>
              <w:rPr>
                <w:rFonts w:ascii="Aptos Narrow" w:hAnsi="Aptos Narrow"/>
                <w:color w:val="000000"/>
              </w:rPr>
            </w:pPr>
            <w:r>
              <w:rPr>
                <w:rFonts w:ascii="Aptos Narrow" w:hAnsi="Aptos Narrow"/>
                <w:color w:val="000000"/>
              </w:rPr>
              <w:t>13,33</w:t>
            </w:r>
          </w:p>
        </w:tc>
        <w:tc>
          <w:tcPr>
            <w:tcW w:w="1474" w:type="dxa"/>
            <w:noWrap/>
            <w:vAlign w:val="bottom"/>
            <w:hideMark/>
          </w:tcPr>
          <w:p w14:paraId="0D6F3D37" w14:textId="029615FB" w:rsidR="004A3E13" w:rsidRPr="00D46B11" w:rsidRDefault="004A3E13" w:rsidP="004A3E13">
            <w:pPr>
              <w:jc w:val="right"/>
              <w:rPr>
                <w:rFonts w:ascii="Aptos Narrow" w:hAnsi="Aptos Narrow"/>
                <w:color w:val="000000"/>
              </w:rPr>
            </w:pPr>
            <w:r>
              <w:rPr>
                <w:rFonts w:ascii="Aptos Narrow" w:hAnsi="Aptos Narrow"/>
                <w:color w:val="000000"/>
              </w:rPr>
              <w:t>12,33</w:t>
            </w:r>
          </w:p>
        </w:tc>
        <w:tc>
          <w:tcPr>
            <w:tcW w:w="1474" w:type="dxa"/>
            <w:noWrap/>
            <w:vAlign w:val="bottom"/>
            <w:hideMark/>
          </w:tcPr>
          <w:p w14:paraId="7F8C1668" w14:textId="7362C08D" w:rsidR="004A3E13" w:rsidRPr="00D46B11" w:rsidRDefault="004A3E13" w:rsidP="004A3E13">
            <w:pPr>
              <w:jc w:val="right"/>
              <w:rPr>
                <w:rFonts w:ascii="Aptos Narrow" w:hAnsi="Aptos Narrow"/>
                <w:color w:val="000000"/>
              </w:rPr>
            </w:pPr>
            <w:r>
              <w:rPr>
                <w:rFonts w:ascii="Aptos Narrow" w:hAnsi="Aptos Narrow"/>
                <w:color w:val="000000"/>
              </w:rPr>
              <w:t>15,37</w:t>
            </w:r>
          </w:p>
        </w:tc>
      </w:tr>
      <w:tr w:rsidR="004A3E13" w:rsidRPr="00D46B11" w14:paraId="158EA6ED" w14:textId="77777777" w:rsidTr="00BD134F">
        <w:trPr>
          <w:trHeight w:val="320"/>
        </w:trPr>
        <w:tc>
          <w:tcPr>
            <w:tcW w:w="2721" w:type="dxa"/>
            <w:noWrap/>
            <w:vAlign w:val="center"/>
            <w:hideMark/>
          </w:tcPr>
          <w:p w14:paraId="2DCE5DA5" w14:textId="77777777" w:rsidR="004A3E13" w:rsidRPr="00D46B11" w:rsidRDefault="004A3E13" w:rsidP="004A3E13">
            <w:pPr>
              <w:rPr>
                <w:rFonts w:ascii="Aptos Narrow" w:hAnsi="Aptos Narrow"/>
                <w:color w:val="000000"/>
              </w:rPr>
            </w:pPr>
            <w:r w:rsidRPr="00D46B11">
              <w:rPr>
                <w:rFonts w:ascii="Aptos Narrow" w:hAnsi="Aptos Narrow"/>
                <w:color w:val="000000"/>
              </w:rPr>
              <w:t>FaME</w:t>
            </w:r>
          </w:p>
        </w:tc>
        <w:tc>
          <w:tcPr>
            <w:tcW w:w="1134" w:type="dxa"/>
            <w:noWrap/>
            <w:vAlign w:val="bottom"/>
            <w:hideMark/>
          </w:tcPr>
          <w:p w14:paraId="60EB3CEF" w14:textId="45815D7D" w:rsidR="004A3E13" w:rsidRPr="00D46B11" w:rsidRDefault="004A3E13" w:rsidP="004A3E13">
            <w:pPr>
              <w:jc w:val="right"/>
              <w:rPr>
                <w:rFonts w:ascii="Aptos Narrow" w:hAnsi="Aptos Narrow"/>
                <w:color w:val="000000"/>
              </w:rPr>
            </w:pPr>
            <w:r w:rsidRPr="004A3E13">
              <w:rPr>
                <w:rFonts w:ascii="Aptos Narrow" w:hAnsi="Aptos Narrow"/>
                <w:color w:val="000000"/>
              </w:rPr>
              <w:t>10,93</w:t>
            </w:r>
          </w:p>
        </w:tc>
        <w:tc>
          <w:tcPr>
            <w:tcW w:w="1134" w:type="dxa"/>
            <w:noWrap/>
            <w:vAlign w:val="bottom"/>
            <w:hideMark/>
          </w:tcPr>
          <w:p w14:paraId="3B8D8D4B" w14:textId="1C89B331" w:rsidR="004A3E13" w:rsidRPr="00D46B11" w:rsidRDefault="004A3E13" w:rsidP="004A3E13">
            <w:pPr>
              <w:jc w:val="right"/>
              <w:rPr>
                <w:rFonts w:ascii="Aptos Narrow" w:hAnsi="Aptos Narrow"/>
                <w:color w:val="000000"/>
              </w:rPr>
            </w:pPr>
            <w:r w:rsidRPr="004A3E13">
              <w:rPr>
                <w:rFonts w:ascii="Aptos Narrow" w:hAnsi="Aptos Narrow"/>
                <w:color w:val="000000"/>
              </w:rPr>
              <w:t>11,95</w:t>
            </w:r>
          </w:p>
        </w:tc>
        <w:tc>
          <w:tcPr>
            <w:tcW w:w="1134" w:type="dxa"/>
            <w:noWrap/>
            <w:vAlign w:val="bottom"/>
            <w:hideMark/>
          </w:tcPr>
          <w:p w14:paraId="40724260" w14:textId="0C56BC2A" w:rsidR="004A3E13" w:rsidRPr="00D46B11" w:rsidRDefault="004A3E13" w:rsidP="004A3E13">
            <w:pPr>
              <w:jc w:val="right"/>
              <w:rPr>
                <w:rFonts w:ascii="Aptos Narrow" w:hAnsi="Aptos Narrow"/>
                <w:color w:val="000000"/>
              </w:rPr>
            </w:pPr>
            <w:r>
              <w:rPr>
                <w:rFonts w:ascii="Aptos Narrow" w:hAnsi="Aptos Narrow"/>
                <w:color w:val="000000"/>
              </w:rPr>
              <w:t>14,26</w:t>
            </w:r>
          </w:p>
        </w:tc>
        <w:tc>
          <w:tcPr>
            <w:tcW w:w="1474" w:type="dxa"/>
            <w:noWrap/>
            <w:vAlign w:val="bottom"/>
            <w:hideMark/>
          </w:tcPr>
          <w:p w14:paraId="7A692554" w14:textId="3DB79658" w:rsidR="004A3E13" w:rsidRPr="00D46B11" w:rsidRDefault="004A3E13" w:rsidP="004A3E13">
            <w:pPr>
              <w:jc w:val="right"/>
              <w:rPr>
                <w:rFonts w:ascii="Aptos Narrow" w:hAnsi="Aptos Narrow"/>
                <w:color w:val="000000"/>
              </w:rPr>
            </w:pPr>
            <w:r>
              <w:rPr>
                <w:rFonts w:ascii="Aptos Narrow" w:hAnsi="Aptos Narrow"/>
                <w:color w:val="000000"/>
              </w:rPr>
              <w:t>12,90</w:t>
            </w:r>
          </w:p>
        </w:tc>
        <w:tc>
          <w:tcPr>
            <w:tcW w:w="1474" w:type="dxa"/>
            <w:noWrap/>
            <w:vAlign w:val="bottom"/>
            <w:hideMark/>
          </w:tcPr>
          <w:p w14:paraId="2EC9FA28" w14:textId="37673E11" w:rsidR="004A3E13" w:rsidRPr="00D46B11" w:rsidRDefault="004A3E13" w:rsidP="004A3E13">
            <w:pPr>
              <w:jc w:val="right"/>
              <w:rPr>
                <w:rFonts w:ascii="Aptos Narrow" w:hAnsi="Aptos Narrow"/>
                <w:color w:val="000000"/>
              </w:rPr>
            </w:pPr>
            <w:r>
              <w:rPr>
                <w:rFonts w:ascii="Aptos Narrow" w:hAnsi="Aptos Narrow"/>
                <w:color w:val="000000"/>
              </w:rPr>
              <w:t>16,08</w:t>
            </w:r>
          </w:p>
        </w:tc>
      </w:tr>
      <w:tr w:rsidR="004A3E13" w:rsidRPr="00D46B11" w14:paraId="7D2CCFA0" w14:textId="77777777" w:rsidTr="00BD134F">
        <w:trPr>
          <w:trHeight w:val="320"/>
        </w:trPr>
        <w:tc>
          <w:tcPr>
            <w:tcW w:w="2721" w:type="dxa"/>
            <w:noWrap/>
            <w:vAlign w:val="center"/>
            <w:hideMark/>
          </w:tcPr>
          <w:p w14:paraId="1CA69623" w14:textId="77777777" w:rsidR="004A3E13" w:rsidRPr="00D46B11" w:rsidRDefault="004A3E13" w:rsidP="004A3E13">
            <w:pPr>
              <w:rPr>
                <w:rFonts w:ascii="Aptos Narrow" w:hAnsi="Aptos Narrow"/>
                <w:color w:val="000000"/>
              </w:rPr>
            </w:pPr>
            <w:r w:rsidRPr="00D46B11">
              <w:rPr>
                <w:rFonts w:ascii="Aptos Narrow" w:hAnsi="Aptos Narrow"/>
                <w:color w:val="000000"/>
              </w:rPr>
              <w:t>FHS</w:t>
            </w:r>
          </w:p>
        </w:tc>
        <w:tc>
          <w:tcPr>
            <w:tcW w:w="1134" w:type="dxa"/>
            <w:noWrap/>
            <w:vAlign w:val="bottom"/>
            <w:hideMark/>
          </w:tcPr>
          <w:p w14:paraId="3DDA6D7E" w14:textId="30354E71" w:rsidR="004A3E13" w:rsidRPr="00D46B11" w:rsidRDefault="004A3E13" w:rsidP="004A3E13">
            <w:pPr>
              <w:jc w:val="right"/>
              <w:rPr>
                <w:rFonts w:ascii="Aptos Narrow" w:hAnsi="Aptos Narrow"/>
                <w:color w:val="000000"/>
              </w:rPr>
            </w:pPr>
            <w:r w:rsidRPr="004A3E13">
              <w:rPr>
                <w:rFonts w:ascii="Aptos Narrow" w:hAnsi="Aptos Narrow"/>
                <w:color w:val="000000"/>
              </w:rPr>
              <w:t>14,42</w:t>
            </w:r>
          </w:p>
        </w:tc>
        <w:tc>
          <w:tcPr>
            <w:tcW w:w="1134" w:type="dxa"/>
            <w:noWrap/>
            <w:vAlign w:val="bottom"/>
            <w:hideMark/>
          </w:tcPr>
          <w:p w14:paraId="7FA75E20" w14:textId="4515BA0A" w:rsidR="004A3E13" w:rsidRPr="00D46B11" w:rsidRDefault="004A3E13" w:rsidP="004A3E13">
            <w:pPr>
              <w:jc w:val="right"/>
              <w:rPr>
                <w:rFonts w:ascii="Aptos Narrow" w:hAnsi="Aptos Narrow"/>
                <w:color w:val="000000"/>
              </w:rPr>
            </w:pPr>
            <w:r w:rsidRPr="004A3E13">
              <w:rPr>
                <w:rFonts w:ascii="Aptos Narrow" w:hAnsi="Aptos Narrow"/>
                <w:color w:val="000000"/>
              </w:rPr>
              <w:t>11,55</w:t>
            </w:r>
          </w:p>
        </w:tc>
        <w:tc>
          <w:tcPr>
            <w:tcW w:w="1134" w:type="dxa"/>
            <w:noWrap/>
            <w:vAlign w:val="bottom"/>
            <w:hideMark/>
          </w:tcPr>
          <w:p w14:paraId="52D2EC48" w14:textId="1C45F127" w:rsidR="004A3E13" w:rsidRPr="00D46B11" w:rsidRDefault="004A3E13" w:rsidP="004A3E13">
            <w:pPr>
              <w:jc w:val="right"/>
              <w:rPr>
                <w:rFonts w:ascii="Aptos Narrow" w:hAnsi="Aptos Narrow"/>
                <w:color w:val="000000"/>
              </w:rPr>
            </w:pPr>
            <w:r>
              <w:rPr>
                <w:rFonts w:ascii="Aptos Narrow" w:hAnsi="Aptos Narrow"/>
                <w:color w:val="000000"/>
              </w:rPr>
              <w:t>12,70</w:t>
            </w:r>
          </w:p>
        </w:tc>
        <w:tc>
          <w:tcPr>
            <w:tcW w:w="1474" w:type="dxa"/>
            <w:noWrap/>
            <w:vAlign w:val="bottom"/>
            <w:hideMark/>
          </w:tcPr>
          <w:p w14:paraId="00BF6D56" w14:textId="584F6D1C" w:rsidR="004A3E13" w:rsidRPr="00D46B11" w:rsidRDefault="004A3E13" w:rsidP="004A3E13">
            <w:pPr>
              <w:jc w:val="right"/>
              <w:rPr>
                <w:rFonts w:ascii="Aptos Narrow" w:hAnsi="Aptos Narrow"/>
                <w:color w:val="000000"/>
              </w:rPr>
            </w:pPr>
            <w:r>
              <w:rPr>
                <w:rFonts w:ascii="Aptos Narrow" w:hAnsi="Aptos Narrow"/>
                <w:color w:val="000000"/>
              </w:rPr>
              <w:t>12,70</w:t>
            </w:r>
          </w:p>
        </w:tc>
        <w:tc>
          <w:tcPr>
            <w:tcW w:w="1474" w:type="dxa"/>
            <w:noWrap/>
            <w:vAlign w:val="bottom"/>
            <w:hideMark/>
          </w:tcPr>
          <w:p w14:paraId="4AD2344A" w14:textId="4691221B" w:rsidR="004A3E13" w:rsidRPr="00D46B11" w:rsidRDefault="004A3E13" w:rsidP="004A3E13">
            <w:pPr>
              <w:jc w:val="right"/>
              <w:rPr>
                <w:rFonts w:ascii="Aptos Narrow" w:hAnsi="Aptos Narrow"/>
                <w:color w:val="000000"/>
              </w:rPr>
            </w:pPr>
            <w:r>
              <w:rPr>
                <w:rFonts w:ascii="Aptos Narrow" w:hAnsi="Aptos Narrow"/>
                <w:color w:val="000000"/>
              </w:rPr>
              <w:t>15,83</w:t>
            </w:r>
          </w:p>
        </w:tc>
      </w:tr>
      <w:tr w:rsidR="004A3E13" w:rsidRPr="00D46B11" w14:paraId="5965E36C" w14:textId="77777777" w:rsidTr="00BD134F">
        <w:trPr>
          <w:trHeight w:val="320"/>
        </w:trPr>
        <w:tc>
          <w:tcPr>
            <w:tcW w:w="2721" w:type="dxa"/>
            <w:noWrap/>
            <w:vAlign w:val="center"/>
            <w:hideMark/>
          </w:tcPr>
          <w:p w14:paraId="3B262323" w14:textId="77777777" w:rsidR="004A3E13" w:rsidRPr="00D46B11" w:rsidRDefault="004A3E13" w:rsidP="004A3E13">
            <w:pPr>
              <w:rPr>
                <w:rFonts w:ascii="Aptos Narrow" w:hAnsi="Aptos Narrow"/>
                <w:color w:val="000000"/>
              </w:rPr>
            </w:pPr>
            <w:r w:rsidRPr="00D46B11">
              <w:rPr>
                <w:rFonts w:ascii="Aptos Narrow" w:hAnsi="Aptos Narrow"/>
                <w:color w:val="000000"/>
              </w:rPr>
              <w:t>UNI</w:t>
            </w:r>
          </w:p>
        </w:tc>
        <w:tc>
          <w:tcPr>
            <w:tcW w:w="1134" w:type="dxa"/>
            <w:noWrap/>
            <w:vAlign w:val="bottom"/>
            <w:hideMark/>
          </w:tcPr>
          <w:p w14:paraId="411ED2DA" w14:textId="5C606B7A" w:rsidR="004A3E13" w:rsidRPr="00D46B11" w:rsidRDefault="004A3E13" w:rsidP="004A3E13">
            <w:pPr>
              <w:jc w:val="right"/>
              <w:rPr>
                <w:rFonts w:ascii="Aptos Narrow" w:hAnsi="Aptos Narrow"/>
                <w:color w:val="000000"/>
              </w:rPr>
            </w:pPr>
            <w:r w:rsidRPr="004A3E13">
              <w:rPr>
                <w:rFonts w:ascii="Aptos Narrow" w:hAnsi="Aptos Narrow"/>
                <w:color w:val="000000"/>
              </w:rPr>
              <w:t>21,62</w:t>
            </w:r>
          </w:p>
        </w:tc>
        <w:tc>
          <w:tcPr>
            <w:tcW w:w="1134" w:type="dxa"/>
            <w:noWrap/>
            <w:vAlign w:val="bottom"/>
            <w:hideMark/>
          </w:tcPr>
          <w:p w14:paraId="568BC691" w14:textId="2409A690" w:rsidR="004A3E13" w:rsidRPr="00D46B11" w:rsidRDefault="004A3E13" w:rsidP="004A3E13">
            <w:pPr>
              <w:jc w:val="right"/>
              <w:rPr>
                <w:rFonts w:ascii="Aptos Narrow" w:hAnsi="Aptos Narrow"/>
                <w:color w:val="000000"/>
              </w:rPr>
            </w:pPr>
            <w:r w:rsidRPr="004A3E13">
              <w:rPr>
                <w:rFonts w:ascii="Aptos Narrow" w:hAnsi="Aptos Narrow"/>
                <w:color w:val="000000"/>
              </w:rPr>
              <w:t>19,46</w:t>
            </w:r>
          </w:p>
        </w:tc>
        <w:tc>
          <w:tcPr>
            <w:tcW w:w="1134" w:type="dxa"/>
            <w:noWrap/>
            <w:vAlign w:val="bottom"/>
            <w:hideMark/>
          </w:tcPr>
          <w:p w14:paraId="4B4D8C8E" w14:textId="55C54FF6" w:rsidR="004A3E13" w:rsidRPr="00D46B11" w:rsidRDefault="004A3E13" w:rsidP="004A3E13">
            <w:pPr>
              <w:jc w:val="right"/>
              <w:rPr>
                <w:rFonts w:ascii="Aptos Narrow" w:hAnsi="Aptos Narrow"/>
                <w:color w:val="000000"/>
              </w:rPr>
            </w:pPr>
            <w:r>
              <w:rPr>
                <w:rFonts w:ascii="Aptos Narrow" w:hAnsi="Aptos Narrow"/>
                <w:color w:val="000000"/>
              </w:rPr>
              <w:t>24,47</w:t>
            </w:r>
          </w:p>
        </w:tc>
        <w:tc>
          <w:tcPr>
            <w:tcW w:w="1474" w:type="dxa"/>
            <w:noWrap/>
            <w:vAlign w:val="bottom"/>
            <w:hideMark/>
          </w:tcPr>
          <w:p w14:paraId="7916024B" w14:textId="55801767" w:rsidR="004A3E13" w:rsidRPr="00D46B11" w:rsidRDefault="004A3E13" w:rsidP="004A3E13">
            <w:pPr>
              <w:jc w:val="right"/>
              <w:rPr>
                <w:rFonts w:ascii="Aptos Narrow" w:hAnsi="Aptos Narrow"/>
                <w:color w:val="000000"/>
              </w:rPr>
            </w:pPr>
            <w:r>
              <w:rPr>
                <w:rFonts w:ascii="Aptos Narrow" w:hAnsi="Aptos Narrow"/>
                <w:color w:val="000000"/>
              </w:rPr>
              <w:t>22,40</w:t>
            </w:r>
          </w:p>
        </w:tc>
        <w:tc>
          <w:tcPr>
            <w:tcW w:w="1474" w:type="dxa"/>
            <w:noWrap/>
            <w:vAlign w:val="bottom"/>
            <w:hideMark/>
          </w:tcPr>
          <w:p w14:paraId="5C62E7DD" w14:textId="03C2FE03" w:rsidR="004A3E13" w:rsidRPr="00D46B11" w:rsidRDefault="004A3E13" w:rsidP="004A3E13">
            <w:pPr>
              <w:jc w:val="right"/>
              <w:rPr>
                <w:rFonts w:ascii="Aptos Narrow" w:hAnsi="Aptos Narrow"/>
                <w:color w:val="000000"/>
              </w:rPr>
            </w:pPr>
            <w:r>
              <w:rPr>
                <w:rFonts w:ascii="Aptos Narrow" w:hAnsi="Aptos Narrow"/>
                <w:color w:val="000000"/>
              </w:rPr>
              <w:t>27,92</w:t>
            </w:r>
          </w:p>
        </w:tc>
      </w:tr>
      <w:tr w:rsidR="004A3E13" w:rsidRPr="00D46B11" w14:paraId="23AB9B6F" w14:textId="77777777" w:rsidTr="00BD134F">
        <w:trPr>
          <w:trHeight w:val="320"/>
        </w:trPr>
        <w:tc>
          <w:tcPr>
            <w:tcW w:w="2721" w:type="dxa"/>
            <w:noWrap/>
            <w:vAlign w:val="center"/>
            <w:hideMark/>
          </w:tcPr>
          <w:p w14:paraId="19B1226D" w14:textId="77777777" w:rsidR="004A3E13" w:rsidRPr="00D46B11" w:rsidRDefault="004A3E13" w:rsidP="004A3E13">
            <w:pPr>
              <w:rPr>
                <w:rFonts w:ascii="Aptos Narrow" w:hAnsi="Aptos Narrow"/>
                <w:color w:val="000000"/>
              </w:rPr>
            </w:pPr>
            <w:r w:rsidRPr="00D46B11">
              <w:rPr>
                <w:rFonts w:ascii="Aptos Narrow" w:hAnsi="Aptos Narrow"/>
                <w:color w:val="000000"/>
              </w:rPr>
              <w:t>Knihovna</w:t>
            </w:r>
          </w:p>
        </w:tc>
        <w:tc>
          <w:tcPr>
            <w:tcW w:w="1134" w:type="dxa"/>
            <w:noWrap/>
            <w:vAlign w:val="bottom"/>
            <w:hideMark/>
          </w:tcPr>
          <w:p w14:paraId="3B826CD1" w14:textId="1B6547F9" w:rsidR="004A3E13" w:rsidRPr="00D46B11" w:rsidRDefault="004A3E13" w:rsidP="004A3E13">
            <w:pPr>
              <w:jc w:val="right"/>
              <w:rPr>
                <w:rFonts w:ascii="Aptos Narrow" w:hAnsi="Aptos Narrow"/>
                <w:color w:val="000000"/>
              </w:rPr>
            </w:pPr>
            <w:r>
              <w:rPr>
                <w:rFonts w:ascii="Aptos Narrow" w:hAnsi="Aptos Narrow"/>
                <w:color w:val="000000"/>
              </w:rPr>
              <w:t>1,00</w:t>
            </w:r>
          </w:p>
        </w:tc>
        <w:tc>
          <w:tcPr>
            <w:tcW w:w="1134" w:type="dxa"/>
            <w:noWrap/>
            <w:vAlign w:val="bottom"/>
            <w:hideMark/>
          </w:tcPr>
          <w:p w14:paraId="159550C4" w14:textId="2A5011E7" w:rsidR="004A3E13" w:rsidRPr="00D46B11" w:rsidRDefault="004A3E13" w:rsidP="004A3E13">
            <w:pPr>
              <w:jc w:val="right"/>
              <w:rPr>
                <w:rFonts w:ascii="Aptos Narrow" w:hAnsi="Aptos Narrow"/>
                <w:color w:val="000000"/>
              </w:rPr>
            </w:pPr>
            <w:r>
              <w:rPr>
                <w:rFonts w:ascii="Aptos Narrow" w:hAnsi="Aptos Narrow"/>
                <w:color w:val="000000"/>
              </w:rPr>
              <w:t>0,99</w:t>
            </w:r>
          </w:p>
        </w:tc>
        <w:tc>
          <w:tcPr>
            <w:tcW w:w="1134" w:type="dxa"/>
            <w:noWrap/>
            <w:vAlign w:val="bottom"/>
            <w:hideMark/>
          </w:tcPr>
          <w:p w14:paraId="1C482395" w14:textId="08AAF89D" w:rsidR="004A3E13" w:rsidRPr="00D46B11" w:rsidRDefault="004A3E13" w:rsidP="004A3E13">
            <w:pPr>
              <w:jc w:val="right"/>
              <w:rPr>
                <w:rFonts w:ascii="Aptos Narrow" w:hAnsi="Aptos Narrow"/>
                <w:color w:val="000000"/>
              </w:rPr>
            </w:pPr>
            <w:r>
              <w:rPr>
                <w:rFonts w:ascii="Aptos Narrow" w:hAnsi="Aptos Narrow"/>
                <w:color w:val="000000"/>
              </w:rPr>
              <w:t>1,00</w:t>
            </w:r>
          </w:p>
        </w:tc>
        <w:tc>
          <w:tcPr>
            <w:tcW w:w="1474" w:type="dxa"/>
            <w:noWrap/>
            <w:vAlign w:val="bottom"/>
            <w:hideMark/>
          </w:tcPr>
          <w:p w14:paraId="1689BD55" w14:textId="66F2607E" w:rsidR="004A3E13" w:rsidRPr="00D46B11" w:rsidRDefault="004A3E13" w:rsidP="004A3E13">
            <w:pPr>
              <w:jc w:val="right"/>
              <w:rPr>
                <w:rFonts w:ascii="Aptos Narrow" w:hAnsi="Aptos Narrow"/>
                <w:color w:val="000000"/>
              </w:rPr>
            </w:pPr>
            <w:r>
              <w:rPr>
                <w:rFonts w:ascii="Aptos Narrow" w:hAnsi="Aptos Narrow"/>
                <w:color w:val="000000"/>
              </w:rPr>
              <w:t>1,00</w:t>
            </w:r>
          </w:p>
        </w:tc>
        <w:tc>
          <w:tcPr>
            <w:tcW w:w="1474" w:type="dxa"/>
            <w:noWrap/>
            <w:vAlign w:val="bottom"/>
            <w:hideMark/>
          </w:tcPr>
          <w:p w14:paraId="3D31342E" w14:textId="147A5B18" w:rsidR="004A3E13" w:rsidRPr="00D46B11" w:rsidRDefault="004A3E13" w:rsidP="004A3E13">
            <w:pPr>
              <w:jc w:val="right"/>
              <w:rPr>
                <w:rFonts w:ascii="Aptos Narrow" w:hAnsi="Aptos Narrow"/>
                <w:color w:val="000000"/>
              </w:rPr>
            </w:pPr>
            <w:r>
              <w:rPr>
                <w:rFonts w:ascii="Aptos Narrow" w:hAnsi="Aptos Narrow"/>
                <w:color w:val="000000"/>
              </w:rPr>
              <w:t>1,24</w:t>
            </w:r>
          </w:p>
        </w:tc>
      </w:tr>
      <w:tr w:rsidR="004A3E13" w:rsidRPr="00D46B11" w14:paraId="3EDCDA47" w14:textId="77777777" w:rsidTr="00BD134F">
        <w:trPr>
          <w:trHeight w:val="320"/>
        </w:trPr>
        <w:tc>
          <w:tcPr>
            <w:tcW w:w="2721" w:type="dxa"/>
            <w:noWrap/>
            <w:vAlign w:val="center"/>
            <w:hideMark/>
          </w:tcPr>
          <w:p w14:paraId="0976B92F" w14:textId="77777777" w:rsidR="004A3E13" w:rsidRPr="00D46B11" w:rsidRDefault="004A3E13" w:rsidP="004A3E13">
            <w:pPr>
              <w:rPr>
                <w:rFonts w:ascii="Aptos Narrow" w:hAnsi="Aptos Narrow"/>
                <w:color w:val="000000"/>
              </w:rPr>
            </w:pPr>
            <w:r w:rsidRPr="00D46B11">
              <w:rPr>
                <w:rFonts w:ascii="Aptos Narrow" w:hAnsi="Aptos Narrow"/>
                <w:color w:val="000000"/>
              </w:rPr>
              <w:t>KMZ</w:t>
            </w:r>
          </w:p>
        </w:tc>
        <w:tc>
          <w:tcPr>
            <w:tcW w:w="1134" w:type="dxa"/>
            <w:noWrap/>
            <w:vAlign w:val="bottom"/>
            <w:hideMark/>
          </w:tcPr>
          <w:p w14:paraId="2AAAFAF8" w14:textId="1AA636E3"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134" w:type="dxa"/>
            <w:noWrap/>
            <w:vAlign w:val="bottom"/>
            <w:hideMark/>
          </w:tcPr>
          <w:p w14:paraId="7C6ACD16" w14:textId="594132BC"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134" w:type="dxa"/>
            <w:noWrap/>
            <w:vAlign w:val="bottom"/>
            <w:hideMark/>
          </w:tcPr>
          <w:p w14:paraId="284AD2C2" w14:textId="16D19F8A"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474" w:type="dxa"/>
            <w:noWrap/>
            <w:vAlign w:val="bottom"/>
            <w:hideMark/>
          </w:tcPr>
          <w:p w14:paraId="5984296D" w14:textId="3CAE17C9" w:rsidR="004A3E13" w:rsidRPr="00D46B11" w:rsidRDefault="004A3E13" w:rsidP="004A3E13">
            <w:pPr>
              <w:jc w:val="right"/>
              <w:rPr>
                <w:rFonts w:ascii="Aptos Narrow" w:hAnsi="Aptos Narrow"/>
                <w:color w:val="000000"/>
              </w:rPr>
            </w:pPr>
            <w:r>
              <w:rPr>
                <w:rFonts w:ascii="Aptos Narrow" w:hAnsi="Aptos Narrow"/>
                <w:color w:val="000000"/>
              </w:rPr>
              <w:t>0,00</w:t>
            </w:r>
          </w:p>
        </w:tc>
        <w:tc>
          <w:tcPr>
            <w:tcW w:w="1474" w:type="dxa"/>
            <w:noWrap/>
            <w:vAlign w:val="bottom"/>
            <w:hideMark/>
          </w:tcPr>
          <w:p w14:paraId="3E362958" w14:textId="3116B2A6" w:rsidR="004A3E13" w:rsidRPr="00D46B11" w:rsidRDefault="004A3E13" w:rsidP="004A3E13">
            <w:pPr>
              <w:jc w:val="right"/>
              <w:rPr>
                <w:rFonts w:ascii="Aptos Narrow" w:hAnsi="Aptos Narrow"/>
                <w:color w:val="000000"/>
              </w:rPr>
            </w:pPr>
            <w:r>
              <w:rPr>
                <w:rFonts w:ascii="Aptos Narrow" w:hAnsi="Aptos Narrow"/>
                <w:color w:val="000000"/>
              </w:rPr>
              <w:t>0,00</w:t>
            </w:r>
          </w:p>
        </w:tc>
      </w:tr>
      <w:tr w:rsidR="004A3E13" w:rsidRPr="00D46B11" w14:paraId="677A9074" w14:textId="77777777" w:rsidTr="00BD134F">
        <w:trPr>
          <w:trHeight w:val="340"/>
        </w:trPr>
        <w:tc>
          <w:tcPr>
            <w:tcW w:w="2721" w:type="dxa"/>
            <w:noWrap/>
            <w:vAlign w:val="center"/>
            <w:hideMark/>
          </w:tcPr>
          <w:p w14:paraId="39AEB04F" w14:textId="77777777" w:rsidR="004A3E13" w:rsidRPr="00D46B11" w:rsidRDefault="004A3E13" w:rsidP="004A3E13">
            <w:pPr>
              <w:rPr>
                <w:rFonts w:ascii="Aptos Narrow" w:hAnsi="Aptos Narrow"/>
                <w:b/>
                <w:bCs/>
                <w:color w:val="000000"/>
              </w:rPr>
            </w:pPr>
            <w:r w:rsidRPr="00D46B11">
              <w:rPr>
                <w:rFonts w:ascii="Aptos Narrow" w:hAnsi="Aptos Narrow"/>
                <w:b/>
                <w:bCs/>
                <w:color w:val="000000"/>
              </w:rPr>
              <w:t>Celkem</w:t>
            </w:r>
          </w:p>
        </w:tc>
        <w:tc>
          <w:tcPr>
            <w:tcW w:w="1134" w:type="dxa"/>
            <w:noWrap/>
            <w:vAlign w:val="bottom"/>
            <w:hideMark/>
          </w:tcPr>
          <w:p w14:paraId="7DAE8A5B" w14:textId="01394348" w:rsidR="004A3E13" w:rsidRPr="004A3E13" w:rsidRDefault="004A3E13" w:rsidP="004A3E13">
            <w:pPr>
              <w:jc w:val="right"/>
              <w:rPr>
                <w:rFonts w:ascii="Aptos Narrow" w:hAnsi="Aptos Narrow"/>
                <w:b/>
                <w:bCs/>
                <w:color w:val="000000"/>
              </w:rPr>
            </w:pPr>
            <w:r>
              <w:rPr>
                <w:rFonts w:ascii="Aptos Narrow" w:hAnsi="Aptos Narrow"/>
                <w:b/>
                <w:bCs/>
                <w:color w:val="000000"/>
              </w:rPr>
              <w:t>77,01</w:t>
            </w:r>
          </w:p>
        </w:tc>
        <w:tc>
          <w:tcPr>
            <w:tcW w:w="1134" w:type="dxa"/>
            <w:noWrap/>
            <w:vAlign w:val="bottom"/>
            <w:hideMark/>
          </w:tcPr>
          <w:p w14:paraId="2BFEC616" w14:textId="28859E14" w:rsidR="004A3E13" w:rsidRPr="004A3E13" w:rsidRDefault="004A3E13" w:rsidP="004A3E13">
            <w:pPr>
              <w:jc w:val="right"/>
              <w:rPr>
                <w:rFonts w:ascii="Aptos Narrow" w:hAnsi="Aptos Narrow"/>
                <w:b/>
                <w:bCs/>
                <w:color w:val="000000"/>
              </w:rPr>
            </w:pPr>
            <w:r>
              <w:rPr>
                <w:rFonts w:ascii="Aptos Narrow" w:hAnsi="Aptos Narrow"/>
                <w:b/>
                <w:bCs/>
                <w:color w:val="000000"/>
              </w:rPr>
              <w:t>72,27</w:t>
            </w:r>
          </w:p>
        </w:tc>
        <w:tc>
          <w:tcPr>
            <w:tcW w:w="1134" w:type="dxa"/>
            <w:noWrap/>
            <w:vAlign w:val="bottom"/>
            <w:hideMark/>
          </w:tcPr>
          <w:p w14:paraId="68020B96" w14:textId="20296C7B" w:rsidR="004A3E13" w:rsidRPr="004A3E13" w:rsidRDefault="004A3E13" w:rsidP="004A3E13">
            <w:pPr>
              <w:jc w:val="right"/>
              <w:rPr>
                <w:rFonts w:ascii="Aptos Narrow" w:hAnsi="Aptos Narrow"/>
                <w:b/>
                <w:bCs/>
                <w:color w:val="000000"/>
              </w:rPr>
            </w:pPr>
            <w:r>
              <w:rPr>
                <w:rFonts w:ascii="Aptos Narrow" w:hAnsi="Aptos Narrow"/>
                <w:b/>
                <w:bCs/>
                <w:color w:val="000000"/>
              </w:rPr>
              <w:t>86,26</w:t>
            </w:r>
          </w:p>
        </w:tc>
        <w:tc>
          <w:tcPr>
            <w:tcW w:w="1474" w:type="dxa"/>
            <w:noWrap/>
            <w:vAlign w:val="bottom"/>
            <w:hideMark/>
          </w:tcPr>
          <w:p w14:paraId="31837247" w14:textId="01F8BB3C" w:rsidR="004A3E13" w:rsidRPr="004A3E13" w:rsidRDefault="004A3E13" w:rsidP="004A3E13">
            <w:pPr>
              <w:jc w:val="right"/>
              <w:rPr>
                <w:rFonts w:ascii="Aptos Narrow" w:hAnsi="Aptos Narrow"/>
                <w:b/>
                <w:bCs/>
                <w:color w:val="000000"/>
              </w:rPr>
            </w:pPr>
            <w:r>
              <w:rPr>
                <w:rFonts w:ascii="Aptos Narrow" w:hAnsi="Aptos Narrow"/>
                <w:b/>
                <w:bCs/>
                <w:color w:val="000000"/>
              </w:rPr>
              <w:t>80,21</w:t>
            </w:r>
          </w:p>
        </w:tc>
        <w:tc>
          <w:tcPr>
            <w:tcW w:w="1474" w:type="dxa"/>
            <w:noWrap/>
            <w:vAlign w:val="bottom"/>
            <w:hideMark/>
          </w:tcPr>
          <w:p w14:paraId="1AC3E024" w14:textId="5AC40FB1" w:rsidR="004A3E13" w:rsidRPr="004A3E13" w:rsidRDefault="004A3E13" w:rsidP="004A3E13">
            <w:pPr>
              <w:jc w:val="right"/>
              <w:rPr>
                <w:rFonts w:ascii="Aptos Narrow" w:hAnsi="Aptos Narrow"/>
                <w:b/>
                <w:bCs/>
                <w:color w:val="000000"/>
              </w:rPr>
            </w:pPr>
            <w:r>
              <w:rPr>
                <w:rFonts w:ascii="Aptos Narrow" w:hAnsi="Aptos Narrow"/>
                <w:b/>
                <w:bCs/>
                <w:color w:val="000000"/>
              </w:rPr>
              <w:t>100,00</w:t>
            </w:r>
          </w:p>
        </w:tc>
      </w:tr>
    </w:tbl>
    <w:p w14:paraId="488915E7" w14:textId="6813876F" w:rsidR="007F5F38" w:rsidRDefault="007F5F38" w:rsidP="007D2735">
      <w:pPr>
        <w:pStyle w:val="RozpocetOdstavec"/>
      </w:pPr>
    </w:p>
    <w:p w14:paraId="4A6BFBE8" w14:textId="77777777" w:rsidR="00207E9A" w:rsidRDefault="00207E9A" w:rsidP="00F66FE8">
      <w:pPr>
        <w:pStyle w:val="RozpocetNadpis2"/>
      </w:pPr>
      <w:bookmarkStart w:id="22" w:name="_Toc228824333"/>
      <w:r>
        <w:t xml:space="preserve">Indikátory pro rozdělení </w:t>
      </w:r>
      <w:r w:rsidR="00F66FE8">
        <w:t>DKRVO</w:t>
      </w:r>
      <w:bookmarkEnd w:id="22"/>
    </w:p>
    <w:p w14:paraId="2C3AFD85" w14:textId="77777777" w:rsidR="00A124C8" w:rsidRPr="000A20AA" w:rsidRDefault="00A124C8" w:rsidP="00A124C8">
      <w:pPr>
        <w:pStyle w:val="RozpocetOdstavec"/>
      </w:pPr>
      <w:r w:rsidRPr="000A20AA">
        <w:t xml:space="preserve">Z DKRVO budou mezi organizační složky rozděleny obě části, tj. stabilizační část DKRVO </w:t>
      </w:r>
      <w:r w:rsidRPr="000A20AA">
        <w:br/>
        <w:t>a motivační část DKRVO.</w:t>
      </w:r>
    </w:p>
    <w:p w14:paraId="792DECD4" w14:textId="77777777" w:rsidR="004D1AEB" w:rsidRDefault="004D1AEB" w:rsidP="0012257E">
      <w:pPr>
        <w:pStyle w:val="RozpocetOdstavec"/>
      </w:pPr>
    </w:p>
    <w:p w14:paraId="71E36A96" w14:textId="77777777" w:rsidR="004D1AEB" w:rsidRDefault="00515288" w:rsidP="004D1AEB">
      <w:pPr>
        <w:pStyle w:val="RozpoetNadpis3"/>
      </w:pPr>
      <w:bookmarkStart w:id="23" w:name="_Toc228824334"/>
      <w:r>
        <w:t>P</w:t>
      </w:r>
      <w:r w:rsidR="004D1AEB">
        <w:t>očet pracovníků</w:t>
      </w:r>
      <w:bookmarkEnd w:id="23"/>
    </w:p>
    <w:p w14:paraId="1FAE879D" w14:textId="77777777" w:rsidR="001A56FF" w:rsidRPr="000A20AA" w:rsidRDefault="001A56FF" w:rsidP="001A56FF">
      <w:pPr>
        <w:pStyle w:val="RozpocetOdstavec"/>
      </w:pPr>
      <w:r w:rsidRPr="000A20AA">
        <w:t>Indikátor počet pracovníků představuje podíl součásti na celkovém počtu akademických                a vědeckých pracovníků UTB. Zdrojem dat bude přepočtený průměrný evidenční stav akademických a vědeckých pracovníků od 1. 1. do 31. 12. 2025.</w:t>
      </w:r>
    </w:p>
    <w:p w14:paraId="40481A5A" w14:textId="77777777" w:rsidR="00777BC1" w:rsidRDefault="00777BC1" w:rsidP="001A56FF">
      <w:pPr>
        <w:pStyle w:val="RozpocetOdstavec"/>
        <w:rPr>
          <w:color w:val="00B050"/>
        </w:rPr>
      </w:pPr>
    </w:p>
    <w:tbl>
      <w:tblPr>
        <w:tblW w:w="9071" w:type="dxa"/>
        <w:tblLook w:val="04A0" w:firstRow="1" w:lastRow="0" w:firstColumn="1" w:lastColumn="0" w:noHBand="0" w:noVBand="1"/>
      </w:tblPr>
      <w:tblGrid>
        <w:gridCol w:w="2835"/>
        <w:gridCol w:w="3118"/>
        <w:gridCol w:w="3118"/>
      </w:tblGrid>
      <w:tr w:rsidR="00777BC1" w:rsidRPr="00777BC1" w14:paraId="6EBD38B4" w14:textId="77777777" w:rsidTr="00777BC1">
        <w:trPr>
          <w:trHeight w:val="32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A5F9AA" w14:textId="6C6327C9" w:rsidR="00777BC1" w:rsidRPr="00777BC1" w:rsidRDefault="009270E5" w:rsidP="00777BC1">
            <w:pPr>
              <w:jc w:val="center"/>
              <w:rPr>
                <w:rFonts w:ascii="Aptos Narrow" w:hAnsi="Aptos Narrow"/>
                <w:b/>
                <w:bCs/>
                <w:color w:val="000000"/>
              </w:rPr>
            </w:pPr>
            <w:r>
              <w:rPr>
                <w:rFonts w:ascii="Aptos Narrow" w:hAnsi="Aptos Narrow"/>
                <w:b/>
                <w:bCs/>
                <w:color w:val="000000"/>
              </w:rPr>
              <w:t>Součást</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67C560"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pracovníků 2025</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0BCCD0" w14:textId="77777777" w:rsidR="00777BC1" w:rsidRPr="00777BC1" w:rsidRDefault="00777BC1" w:rsidP="00777BC1">
            <w:pPr>
              <w:jc w:val="center"/>
              <w:rPr>
                <w:rFonts w:ascii="Aptos Narrow" w:hAnsi="Aptos Narrow"/>
                <w:b/>
                <w:bCs/>
                <w:color w:val="000000"/>
              </w:rPr>
            </w:pPr>
            <w:r w:rsidRPr="00777BC1">
              <w:rPr>
                <w:rFonts w:ascii="Aptos Narrow" w:hAnsi="Aptos Narrow"/>
                <w:b/>
                <w:bCs/>
                <w:color w:val="000000"/>
              </w:rPr>
              <w:t>Počet pracovníků v %</w:t>
            </w:r>
          </w:p>
        </w:tc>
      </w:tr>
      <w:tr w:rsidR="00777BC1" w:rsidRPr="00777BC1" w14:paraId="253BF24F"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6C3535DE" w14:textId="77777777" w:rsidR="00777BC1" w:rsidRPr="00777BC1" w:rsidRDefault="00777BC1" w:rsidP="00777BC1">
            <w:pPr>
              <w:rPr>
                <w:rFonts w:ascii="Aptos Narrow" w:hAnsi="Aptos Narrow"/>
                <w:color w:val="000000"/>
              </w:rPr>
            </w:pPr>
            <w:r w:rsidRPr="00777BC1">
              <w:rPr>
                <w:rFonts w:ascii="Aptos Narrow" w:hAnsi="Aptos Narrow"/>
                <w:color w:val="000000"/>
              </w:rPr>
              <w:t>FT</w:t>
            </w:r>
          </w:p>
        </w:tc>
        <w:tc>
          <w:tcPr>
            <w:tcW w:w="3118" w:type="dxa"/>
            <w:tcBorders>
              <w:top w:val="nil"/>
              <w:left w:val="nil"/>
              <w:bottom w:val="single" w:sz="4" w:space="0" w:color="auto"/>
              <w:right w:val="single" w:sz="4" w:space="0" w:color="auto"/>
            </w:tcBorders>
            <w:noWrap/>
            <w:vAlign w:val="center"/>
            <w:hideMark/>
          </w:tcPr>
          <w:p w14:paraId="506075D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109,41</w:t>
            </w:r>
          </w:p>
        </w:tc>
        <w:tc>
          <w:tcPr>
            <w:tcW w:w="3118" w:type="dxa"/>
            <w:tcBorders>
              <w:top w:val="nil"/>
              <w:left w:val="nil"/>
              <w:bottom w:val="single" w:sz="4" w:space="0" w:color="auto"/>
              <w:right w:val="single" w:sz="4" w:space="0" w:color="auto"/>
            </w:tcBorders>
            <w:noWrap/>
            <w:vAlign w:val="center"/>
            <w:hideMark/>
          </w:tcPr>
          <w:p w14:paraId="1F94A99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19,21</w:t>
            </w:r>
          </w:p>
        </w:tc>
      </w:tr>
      <w:tr w:rsidR="00777BC1" w:rsidRPr="00777BC1" w14:paraId="1950DC64"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07CB875C" w14:textId="77777777" w:rsidR="00777BC1" w:rsidRPr="00777BC1" w:rsidRDefault="00777BC1" w:rsidP="00777BC1">
            <w:pPr>
              <w:rPr>
                <w:rFonts w:ascii="Aptos Narrow" w:hAnsi="Aptos Narrow"/>
                <w:color w:val="000000"/>
              </w:rPr>
            </w:pPr>
            <w:r w:rsidRPr="00777BC1">
              <w:rPr>
                <w:rFonts w:ascii="Aptos Narrow" w:hAnsi="Aptos Narrow"/>
                <w:color w:val="000000"/>
              </w:rPr>
              <w:t>FLKŘ</w:t>
            </w:r>
          </w:p>
        </w:tc>
        <w:tc>
          <w:tcPr>
            <w:tcW w:w="3118" w:type="dxa"/>
            <w:tcBorders>
              <w:top w:val="nil"/>
              <w:left w:val="nil"/>
              <w:bottom w:val="single" w:sz="4" w:space="0" w:color="auto"/>
              <w:right w:val="single" w:sz="4" w:space="0" w:color="auto"/>
            </w:tcBorders>
            <w:noWrap/>
            <w:vAlign w:val="center"/>
            <w:hideMark/>
          </w:tcPr>
          <w:p w14:paraId="261492E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43,57</w:t>
            </w:r>
          </w:p>
        </w:tc>
        <w:tc>
          <w:tcPr>
            <w:tcW w:w="3118" w:type="dxa"/>
            <w:tcBorders>
              <w:top w:val="nil"/>
              <w:left w:val="nil"/>
              <w:bottom w:val="single" w:sz="4" w:space="0" w:color="auto"/>
              <w:right w:val="single" w:sz="4" w:space="0" w:color="auto"/>
            </w:tcBorders>
            <w:noWrap/>
            <w:vAlign w:val="center"/>
            <w:hideMark/>
          </w:tcPr>
          <w:p w14:paraId="7E54E13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7,65</w:t>
            </w:r>
          </w:p>
        </w:tc>
      </w:tr>
      <w:tr w:rsidR="00777BC1" w:rsidRPr="00777BC1" w14:paraId="21A7846A"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4E23A0E6" w14:textId="77777777" w:rsidR="00777BC1" w:rsidRPr="00777BC1" w:rsidRDefault="00777BC1" w:rsidP="00777BC1">
            <w:pPr>
              <w:rPr>
                <w:rFonts w:ascii="Aptos Narrow" w:hAnsi="Aptos Narrow"/>
                <w:color w:val="000000"/>
              </w:rPr>
            </w:pPr>
            <w:r w:rsidRPr="00777BC1">
              <w:rPr>
                <w:rFonts w:ascii="Aptos Narrow" w:hAnsi="Aptos Narrow"/>
                <w:color w:val="000000"/>
              </w:rPr>
              <w:t>FAI</w:t>
            </w:r>
          </w:p>
        </w:tc>
        <w:tc>
          <w:tcPr>
            <w:tcW w:w="3118" w:type="dxa"/>
            <w:tcBorders>
              <w:top w:val="nil"/>
              <w:left w:val="nil"/>
              <w:bottom w:val="single" w:sz="4" w:space="0" w:color="auto"/>
              <w:right w:val="single" w:sz="4" w:space="0" w:color="auto"/>
            </w:tcBorders>
            <w:noWrap/>
            <w:vAlign w:val="center"/>
            <w:hideMark/>
          </w:tcPr>
          <w:p w14:paraId="47E076B7"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94,12</w:t>
            </w:r>
          </w:p>
        </w:tc>
        <w:tc>
          <w:tcPr>
            <w:tcW w:w="3118" w:type="dxa"/>
            <w:tcBorders>
              <w:top w:val="nil"/>
              <w:left w:val="nil"/>
              <w:bottom w:val="single" w:sz="4" w:space="0" w:color="auto"/>
              <w:right w:val="single" w:sz="4" w:space="0" w:color="auto"/>
            </w:tcBorders>
            <w:noWrap/>
            <w:vAlign w:val="center"/>
            <w:hideMark/>
          </w:tcPr>
          <w:p w14:paraId="0937182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16,53</w:t>
            </w:r>
          </w:p>
        </w:tc>
      </w:tr>
      <w:tr w:rsidR="00777BC1" w:rsidRPr="00777BC1" w14:paraId="151A7614"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328F98F8" w14:textId="77777777" w:rsidR="00777BC1" w:rsidRPr="00777BC1" w:rsidRDefault="00777BC1" w:rsidP="00777BC1">
            <w:pPr>
              <w:rPr>
                <w:rFonts w:ascii="Aptos Narrow" w:hAnsi="Aptos Narrow"/>
                <w:color w:val="000000"/>
              </w:rPr>
            </w:pPr>
            <w:r w:rsidRPr="00777BC1">
              <w:rPr>
                <w:rFonts w:ascii="Aptos Narrow" w:hAnsi="Aptos Narrow"/>
                <w:color w:val="000000"/>
              </w:rPr>
              <w:t>FMK</w:t>
            </w:r>
          </w:p>
        </w:tc>
        <w:tc>
          <w:tcPr>
            <w:tcW w:w="3118" w:type="dxa"/>
            <w:tcBorders>
              <w:top w:val="nil"/>
              <w:left w:val="nil"/>
              <w:bottom w:val="single" w:sz="4" w:space="0" w:color="auto"/>
              <w:right w:val="single" w:sz="4" w:space="0" w:color="auto"/>
            </w:tcBorders>
            <w:noWrap/>
            <w:vAlign w:val="center"/>
            <w:hideMark/>
          </w:tcPr>
          <w:p w14:paraId="49EC405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69,98</w:t>
            </w:r>
          </w:p>
        </w:tc>
        <w:tc>
          <w:tcPr>
            <w:tcW w:w="3118" w:type="dxa"/>
            <w:tcBorders>
              <w:top w:val="nil"/>
              <w:left w:val="nil"/>
              <w:bottom w:val="single" w:sz="4" w:space="0" w:color="auto"/>
              <w:right w:val="single" w:sz="4" w:space="0" w:color="auto"/>
            </w:tcBorders>
            <w:noWrap/>
            <w:vAlign w:val="center"/>
            <w:hideMark/>
          </w:tcPr>
          <w:p w14:paraId="076DA9D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12,29</w:t>
            </w:r>
          </w:p>
        </w:tc>
      </w:tr>
      <w:tr w:rsidR="00777BC1" w:rsidRPr="00777BC1" w14:paraId="498A5BB3"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33309B3C" w14:textId="77777777" w:rsidR="00777BC1" w:rsidRPr="00777BC1" w:rsidRDefault="00777BC1" w:rsidP="00777BC1">
            <w:pPr>
              <w:rPr>
                <w:rFonts w:ascii="Aptos Narrow" w:hAnsi="Aptos Narrow"/>
                <w:color w:val="000000"/>
              </w:rPr>
            </w:pPr>
            <w:r w:rsidRPr="00777BC1">
              <w:rPr>
                <w:rFonts w:ascii="Aptos Narrow" w:hAnsi="Aptos Narrow"/>
                <w:color w:val="000000"/>
              </w:rPr>
              <w:t>FaME</w:t>
            </w:r>
          </w:p>
        </w:tc>
        <w:tc>
          <w:tcPr>
            <w:tcW w:w="3118" w:type="dxa"/>
            <w:tcBorders>
              <w:top w:val="nil"/>
              <w:left w:val="nil"/>
              <w:bottom w:val="single" w:sz="4" w:space="0" w:color="auto"/>
              <w:right w:val="single" w:sz="4" w:space="0" w:color="auto"/>
            </w:tcBorders>
            <w:noWrap/>
            <w:vAlign w:val="center"/>
            <w:hideMark/>
          </w:tcPr>
          <w:p w14:paraId="6AC00896"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78,65</w:t>
            </w:r>
          </w:p>
        </w:tc>
        <w:tc>
          <w:tcPr>
            <w:tcW w:w="3118" w:type="dxa"/>
            <w:tcBorders>
              <w:top w:val="nil"/>
              <w:left w:val="nil"/>
              <w:bottom w:val="single" w:sz="4" w:space="0" w:color="auto"/>
              <w:right w:val="single" w:sz="4" w:space="0" w:color="auto"/>
            </w:tcBorders>
            <w:noWrap/>
            <w:vAlign w:val="center"/>
            <w:hideMark/>
          </w:tcPr>
          <w:p w14:paraId="641660B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13,81</w:t>
            </w:r>
          </w:p>
        </w:tc>
      </w:tr>
      <w:tr w:rsidR="00777BC1" w:rsidRPr="00777BC1" w14:paraId="63294039"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5BECB379" w14:textId="77777777" w:rsidR="00777BC1" w:rsidRPr="00777BC1" w:rsidRDefault="00777BC1" w:rsidP="00777BC1">
            <w:pPr>
              <w:rPr>
                <w:rFonts w:ascii="Aptos Narrow" w:hAnsi="Aptos Narrow"/>
                <w:color w:val="000000"/>
              </w:rPr>
            </w:pPr>
            <w:r w:rsidRPr="00777BC1">
              <w:rPr>
                <w:rFonts w:ascii="Aptos Narrow" w:hAnsi="Aptos Narrow"/>
                <w:color w:val="000000"/>
              </w:rPr>
              <w:t>FHS</w:t>
            </w:r>
          </w:p>
        </w:tc>
        <w:tc>
          <w:tcPr>
            <w:tcW w:w="3118" w:type="dxa"/>
            <w:tcBorders>
              <w:top w:val="nil"/>
              <w:left w:val="nil"/>
              <w:bottom w:val="single" w:sz="4" w:space="0" w:color="auto"/>
              <w:right w:val="single" w:sz="4" w:space="0" w:color="auto"/>
            </w:tcBorders>
            <w:noWrap/>
            <w:vAlign w:val="center"/>
            <w:hideMark/>
          </w:tcPr>
          <w:p w14:paraId="22AE13CF"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104,77</w:t>
            </w:r>
          </w:p>
        </w:tc>
        <w:tc>
          <w:tcPr>
            <w:tcW w:w="3118" w:type="dxa"/>
            <w:tcBorders>
              <w:top w:val="nil"/>
              <w:left w:val="nil"/>
              <w:bottom w:val="single" w:sz="4" w:space="0" w:color="auto"/>
              <w:right w:val="single" w:sz="4" w:space="0" w:color="auto"/>
            </w:tcBorders>
            <w:noWrap/>
            <w:vAlign w:val="center"/>
            <w:hideMark/>
          </w:tcPr>
          <w:p w14:paraId="0B3AA06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18,40</w:t>
            </w:r>
          </w:p>
        </w:tc>
      </w:tr>
      <w:tr w:rsidR="00777BC1" w:rsidRPr="00777BC1" w14:paraId="1879713B"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4091C79D" w14:textId="77777777" w:rsidR="00777BC1" w:rsidRPr="00777BC1" w:rsidRDefault="00777BC1" w:rsidP="00777BC1">
            <w:pPr>
              <w:rPr>
                <w:rFonts w:ascii="Aptos Narrow" w:hAnsi="Aptos Narrow"/>
                <w:color w:val="000000"/>
              </w:rPr>
            </w:pPr>
            <w:r w:rsidRPr="00777BC1">
              <w:rPr>
                <w:rFonts w:ascii="Aptos Narrow" w:hAnsi="Aptos Narrow"/>
                <w:color w:val="000000"/>
              </w:rPr>
              <w:t>UNI</w:t>
            </w:r>
          </w:p>
        </w:tc>
        <w:tc>
          <w:tcPr>
            <w:tcW w:w="3118" w:type="dxa"/>
            <w:tcBorders>
              <w:top w:val="nil"/>
              <w:left w:val="nil"/>
              <w:bottom w:val="single" w:sz="4" w:space="0" w:color="auto"/>
              <w:right w:val="single" w:sz="4" w:space="0" w:color="auto"/>
            </w:tcBorders>
            <w:noWrap/>
            <w:vAlign w:val="center"/>
            <w:hideMark/>
          </w:tcPr>
          <w:p w14:paraId="33A3A402"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67,90</w:t>
            </w:r>
          </w:p>
        </w:tc>
        <w:tc>
          <w:tcPr>
            <w:tcW w:w="3118" w:type="dxa"/>
            <w:tcBorders>
              <w:top w:val="nil"/>
              <w:left w:val="nil"/>
              <w:bottom w:val="single" w:sz="4" w:space="0" w:color="auto"/>
              <w:right w:val="single" w:sz="4" w:space="0" w:color="auto"/>
            </w:tcBorders>
            <w:noWrap/>
            <w:vAlign w:val="center"/>
            <w:hideMark/>
          </w:tcPr>
          <w:p w14:paraId="27D7AFA1"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11,92</w:t>
            </w:r>
          </w:p>
        </w:tc>
      </w:tr>
      <w:tr w:rsidR="00777BC1" w:rsidRPr="00777BC1" w14:paraId="5F277CBD"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4A76ACD9" w14:textId="77777777" w:rsidR="00777BC1" w:rsidRPr="00777BC1" w:rsidRDefault="00777BC1" w:rsidP="00777BC1">
            <w:pPr>
              <w:rPr>
                <w:rFonts w:ascii="Aptos Narrow" w:hAnsi="Aptos Narrow"/>
                <w:color w:val="000000"/>
              </w:rPr>
            </w:pPr>
            <w:r w:rsidRPr="00777BC1">
              <w:rPr>
                <w:rFonts w:ascii="Aptos Narrow" w:hAnsi="Aptos Narrow"/>
                <w:color w:val="000000"/>
              </w:rPr>
              <w:t>Knihovna</w:t>
            </w:r>
          </w:p>
        </w:tc>
        <w:tc>
          <w:tcPr>
            <w:tcW w:w="3118" w:type="dxa"/>
            <w:tcBorders>
              <w:top w:val="nil"/>
              <w:left w:val="nil"/>
              <w:bottom w:val="single" w:sz="4" w:space="0" w:color="auto"/>
              <w:right w:val="single" w:sz="4" w:space="0" w:color="auto"/>
            </w:tcBorders>
            <w:noWrap/>
            <w:vAlign w:val="center"/>
            <w:hideMark/>
          </w:tcPr>
          <w:p w14:paraId="45D1CB3D"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1,00</w:t>
            </w:r>
          </w:p>
        </w:tc>
        <w:tc>
          <w:tcPr>
            <w:tcW w:w="3118" w:type="dxa"/>
            <w:tcBorders>
              <w:top w:val="nil"/>
              <w:left w:val="nil"/>
              <w:bottom w:val="single" w:sz="4" w:space="0" w:color="auto"/>
              <w:right w:val="single" w:sz="4" w:space="0" w:color="auto"/>
            </w:tcBorders>
            <w:noWrap/>
            <w:vAlign w:val="center"/>
            <w:hideMark/>
          </w:tcPr>
          <w:p w14:paraId="1C6EBBCE"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0,18</w:t>
            </w:r>
          </w:p>
        </w:tc>
      </w:tr>
      <w:tr w:rsidR="00777BC1" w:rsidRPr="00777BC1" w14:paraId="7248BF93"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08E953A0" w14:textId="77777777" w:rsidR="00777BC1" w:rsidRPr="00777BC1" w:rsidRDefault="00777BC1" w:rsidP="00777BC1">
            <w:pPr>
              <w:rPr>
                <w:rFonts w:ascii="Aptos Narrow" w:hAnsi="Aptos Narrow"/>
                <w:color w:val="000000"/>
              </w:rPr>
            </w:pPr>
            <w:r w:rsidRPr="00777BC1">
              <w:rPr>
                <w:rFonts w:ascii="Aptos Narrow" w:hAnsi="Aptos Narrow"/>
                <w:color w:val="000000"/>
              </w:rPr>
              <w:t>KMZ</w:t>
            </w:r>
          </w:p>
        </w:tc>
        <w:tc>
          <w:tcPr>
            <w:tcW w:w="3118" w:type="dxa"/>
            <w:tcBorders>
              <w:top w:val="nil"/>
              <w:left w:val="nil"/>
              <w:bottom w:val="single" w:sz="4" w:space="0" w:color="auto"/>
              <w:right w:val="single" w:sz="4" w:space="0" w:color="auto"/>
            </w:tcBorders>
            <w:noWrap/>
            <w:vAlign w:val="center"/>
            <w:hideMark/>
          </w:tcPr>
          <w:p w14:paraId="7A39E95A"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c>
          <w:tcPr>
            <w:tcW w:w="3118" w:type="dxa"/>
            <w:tcBorders>
              <w:top w:val="nil"/>
              <w:left w:val="nil"/>
              <w:bottom w:val="single" w:sz="4" w:space="0" w:color="auto"/>
              <w:right w:val="single" w:sz="4" w:space="0" w:color="auto"/>
            </w:tcBorders>
            <w:noWrap/>
            <w:vAlign w:val="center"/>
            <w:hideMark/>
          </w:tcPr>
          <w:p w14:paraId="1ABA25CC" w14:textId="77777777" w:rsidR="00777BC1" w:rsidRPr="00777BC1" w:rsidRDefault="00777BC1" w:rsidP="00777BC1">
            <w:pPr>
              <w:jc w:val="right"/>
              <w:rPr>
                <w:rFonts w:ascii="Aptos Narrow" w:hAnsi="Aptos Narrow"/>
                <w:color w:val="000000"/>
              </w:rPr>
            </w:pPr>
            <w:r w:rsidRPr="00777BC1">
              <w:rPr>
                <w:rFonts w:ascii="Aptos Narrow" w:hAnsi="Aptos Narrow"/>
                <w:color w:val="000000"/>
              </w:rPr>
              <w:t>0,00</w:t>
            </w:r>
          </w:p>
        </w:tc>
      </w:tr>
      <w:tr w:rsidR="00777BC1" w:rsidRPr="00777BC1" w14:paraId="784F8D4E" w14:textId="77777777" w:rsidTr="00777BC1">
        <w:trPr>
          <w:trHeight w:val="320"/>
        </w:trPr>
        <w:tc>
          <w:tcPr>
            <w:tcW w:w="2835" w:type="dxa"/>
            <w:tcBorders>
              <w:top w:val="nil"/>
              <w:left w:val="single" w:sz="4" w:space="0" w:color="auto"/>
              <w:bottom w:val="single" w:sz="4" w:space="0" w:color="auto"/>
              <w:right w:val="single" w:sz="4" w:space="0" w:color="auto"/>
            </w:tcBorders>
            <w:noWrap/>
            <w:vAlign w:val="center"/>
            <w:hideMark/>
          </w:tcPr>
          <w:p w14:paraId="6BEA5AA4" w14:textId="77777777" w:rsidR="00777BC1" w:rsidRPr="00777BC1" w:rsidRDefault="00777BC1" w:rsidP="00777BC1">
            <w:pPr>
              <w:rPr>
                <w:rFonts w:ascii="Aptos Narrow" w:hAnsi="Aptos Narrow"/>
                <w:b/>
                <w:bCs/>
                <w:color w:val="000000"/>
              </w:rPr>
            </w:pPr>
            <w:r w:rsidRPr="00777BC1">
              <w:rPr>
                <w:rFonts w:ascii="Aptos Narrow" w:hAnsi="Aptos Narrow"/>
                <w:b/>
                <w:bCs/>
                <w:color w:val="000000"/>
              </w:rPr>
              <w:t>Celkem</w:t>
            </w:r>
          </w:p>
        </w:tc>
        <w:tc>
          <w:tcPr>
            <w:tcW w:w="3118" w:type="dxa"/>
            <w:tcBorders>
              <w:top w:val="nil"/>
              <w:left w:val="nil"/>
              <w:bottom w:val="single" w:sz="4" w:space="0" w:color="auto"/>
              <w:right w:val="single" w:sz="4" w:space="0" w:color="auto"/>
            </w:tcBorders>
            <w:noWrap/>
            <w:vAlign w:val="center"/>
            <w:hideMark/>
          </w:tcPr>
          <w:p w14:paraId="18A44988"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569,40</w:t>
            </w:r>
          </w:p>
        </w:tc>
        <w:tc>
          <w:tcPr>
            <w:tcW w:w="3118" w:type="dxa"/>
            <w:tcBorders>
              <w:top w:val="nil"/>
              <w:left w:val="nil"/>
              <w:bottom w:val="single" w:sz="4" w:space="0" w:color="auto"/>
              <w:right w:val="single" w:sz="4" w:space="0" w:color="auto"/>
            </w:tcBorders>
            <w:noWrap/>
            <w:vAlign w:val="center"/>
            <w:hideMark/>
          </w:tcPr>
          <w:p w14:paraId="71A594EF" w14:textId="77777777" w:rsidR="00777BC1" w:rsidRPr="00777BC1" w:rsidRDefault="00777BC1" w:rsidP="00777BC1">
            <w:pPr>
              <w:jc w:val="right"/>
              <w:rPr>
                <w:rFonts w:ascii="Aptos Narrow" w:hAnsi="Aptos Narrow"/>
                <w:b/>
                <w:bCs/>
                <w:color w:val="000000"/>
              </w:rPr>
            </w:pPr>
            <w:r w:rsidRPr="00777BC1">
              <w:rPr>
                <w:rFonts w:ascii="Aptos Narrow" w:hAnsi="Aptos Narrow"/>
                <w:b/>
                <w:bCs/>
                <w:color w:val="000000"/>
              </w:rPr>
              <w:t>100,00</w:t>
            </w:r>
          </w:p>
        </w:tc>
      </w:tr>
    </w:tbl>
    <w:p w14:paraId="1389B07C" w14:textId="77777777" w:rsidR="00CA59A5" w:rsidRDefault="00CA59A5" w:rsidP="004D1AEB">
      <w:pPr>
        <w:pStyle w:val="RozpocetOdstavec"/>
      </w:pPr>
    </w:p>
    <w:p w14:paraId="24442FC2" w14:textId="77777777" w:rsidR="009B5A5F" w:rsidRDefault="00390512" w:rsidP="009B5A5F">
      <w:pPr>
        <w:pStyle w:val="RozpoetNadpis3"/>
      </w:pPr>
      <w:bookmarkStart w:id="24" w:name="_Toc228824335"/>
      <w:r>
        <w:t xml:space="preserve">Indikátor </w:t>
      </w:r>
      <w:r w:rsidR="009B5A5F">
        <w:t>DKRVO stabilizační</w:t>
      </w:r>
      <w:bookmarkEnd w:id="24"/>
    </w:p>
    <w:p w14:paraId="010B55C9" w14:textId="77777777" w:rsidR="00025E8C" w:rsidRPr="000A20AA" w:rsidRDefault="00025E8C" w:rsidP="00025E8C">
      <w:pPr>
        <w:pStyle w:val="RozpocetOdstavec"/>
      </w:pPr>
      <w:r w:rsidRPr="000A20AA">
        <w:t xml:space="preserve">Indikátor DKRVO stabilizační je složen ze dvou dílčích částí, a to indikátoru DKRVO2025R, který je vypočten jako podíl součásti na ukazateli DKRVO přidělený Rozpisem rozpočtu UTB </w:t>
      </w:r>
      <w:r w:rsidRPr="000A20AA">
        <w:lastRenderedPageBreak/>
        <w:t>ve Zlíně v roce 2025 v rámci všech součástí a indikátoru počet pracovníků s váhami 9:1. Podle tohoto indikátoru bude mezi součásti rozděleno 100 % stabilizační části DKRVO.</w:t>
      </w:r>
    </w:p>
    <w:p w14:paraId="29CE2FE4" w14:textId="77777777" w:rsidR="009270E5" w:rsidRDefault="009270E5" w:rsidP="00025E8C">
      <w:pPr>
        <w:pStyle w:val="RozpocetOdstavec"/>
        <w:rPr>
          <w:color w:val="00B050"/>
        </w:rPr>
      </w:pPr>
    </w:p>
    <w:tbl>
      <w:tblPr>
        <w:tblW w:w="9071" w:type="dxa"/>
        <w:tblLook w:val="04A0" w:firstRow="1" w:lastRow="0" w:firstColumn="1" w:lastColumn="0" w:noHBand="0" w:noVBand="1"/>
      </w:tblPr>
      <w:tblGrid>
        <w:gridCol w:w="2211"/>
        <w:gridCol w:w="1928"/>
        <w:gridCol w:w="2381"/>
        <w:gridCol w:w="2551"/>
      </w:tblGrid>
      <w:tr w:rsidR="009270E5" w:rsidRPr="009270E5" w14:paraId="4F960EFC" w14:textId="77777777" w:rsidTr="009270E5">
        <w:trPr>
          <w:trHeight w:val="320"/>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0C0DE9" w14:textId="78A1ABAF" w:rsidR="009270E5" w:rsidRPr="009270E5" w:rsidRDefault="009270E5" w:rsidP="009270E5">
            <w:pPr>
              <w:jc w:val="center"/>
              <w:rPr>
                <w:rFonts w:ascii="Aptos Narrow" w:hAnsi="Aptos Narrow"/>
                <w:b/>
                <w:bCs/>
                <w:color w:val="000000"/>
              </w:rPr>
            </w:pPr>
            <w:r>
              <w:rPr>
                <w:rFonts w:ascii="Aptos Narrow" w:hAnsi="Aptos Narrow"/>
                <w:b/>
                <w:bCs/>
                <w:color w:val="000000"/>
              </w:rPr>
              <w:t>Součást</w:t>
            </w:r>
          </w:p>
        </w:tc>
        <w:tc>
          <w:tcPr>
            <w:tcW w:w="192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77E59F7" w14:textId="77777777" w:rsidR="009270E5" w:rsidRPr="009270E5" w:rsidRDefault="009270E5" w:rsidP="009270E5">
            <w:pPr>
              <w:jc w:val="center"/>
              <w:rPr>
                <w:rFonts w:ascii="Aptos Narrow" w:hAnsi="Aptos Narrow"/>
                <w:b/>
                <w:bCs/>
                <w:color w:val="000000"/>
              </w:rPr>
            </w:pPr>
            <w:r w:rsidRPr="009270E5">
              <w:rPr>
                <w:rFonts w:ascii="Aptos Narrow" w:hAnsi="Aptos Narrow"/>
                <w:b/>
                <w:bCs/>
                <w:color w:val="000000"/>
              </w:rPr>
              <w:t>DKRVO2025 v %</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4E4D04" w14:textId="77777777" w:rsidR="009270E5" w:rsidRPr="009270E5" w:rsidRDefault="009270E5" w:rsidP="009270E5">
            <w:pPr>
              <w:jc w:val="center"/>
              <w:rPr>
                <w:rFonts w:ascii="Aptos Narrow" w:hAnsi="Aptos Narrow"/>
                <w:b/>
                <w:bCs/>
                <w:color w:val="000000"/>
              </w:rPr>
            </w:pPr>
            <w:r w:rsidRPr="009270E5">
              <w:rPr>
                <w:rFonts w:ascii="Aptos Narrow" w:hAnsi="Aptos Narrow"/>
                <w:b/>
                <w:bCs/>
                <w:color w:val="000000"/>
              </w:rPr>
              <w:t>Počet pracovníků v %</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ED8F0F" w14:textId="77777777" w:rsidR="009270E5" w:rsidRPr="009270E5" w:rsidRDefault="009270E5" w:rsidP="009270E5">
            <w:pPr>
              <w:jc w:val="center"/>
              <w:rPr>
                <w:rFonts w:ascii="Aptos Narrow" w:hAnsi="Aptos Narrow"/>
                <w:b/>
                <w:bCs/>
                <w:color w:val="000000"/>
              </w:rPr>
            </w:pPr>
            <w:r w:rsidRPr="009270E5">
              <w:rPr>
                <w:rFonts w:ascii="Aptos Narrow" w:hAnsi="Aptos Narrow"/>
                <w:b/>
                <w:bCs/>
                <w:color w:val="000000"/>
              </w:rPr>
              <w:t>DKRVO stabilizační v %</w:t>
            </w:r>
          </w:p>
        </w:tc>
      </w:tr>
      <w:tr w:rsidR="009270E5" w:rsidRPr="009270E5" w14:paraId="0EF91626"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4AC9BFE6" w14:textId="77777777" w:rsidR="009270E5" w:rsidRPr="009270E5" w:rsidRDefault="009270E5" w:rsidP="009270E5">
            <w:pPr>
              <w:rPr>
                <w:rFonts w:ascii="Aptos Narrow" w:hAnsi="Aptos Narrow"/>
                <w:color w:val="000000"/>
              </w:rPr>
            </w:pPr>
            <w:r w:rsidRPr="009270E5">
              <w:rPr>
                <w:rFonts w:ascii="Aptos Narrow" w:hAnsi="Aptos Narrow"/>
                <w:color w:val="000000"/>
              </w:rPr>
              <w:t>FT</w:t>
            </w:r>
          </w:p>
        </w:tc>
        <w:tc>
          <w:tcPr>
            <w:tcW w:w="1928" w:type="dxa"/>
            <w:tcBorders>
              <w:top w:val="nil"/>
              <w:left w:val="nil"/>
              <w:bottom w:val="single" w:sz="4" w:space="0" w:color="auto"/>
              <w:right w:val="single" w:sz="4" w:space="0" w:color="auto"/>
            </w:tcBorders>
            <w:noWrap/>
            <w:vAlign w:val="center"/>
            <w:hideMark/>
          </w:tcPr>
          <w:p w14:paraId="38D3B90A"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21,42</w:t>
            </w:r>
          </w:p>
        </w:tc>
        <w:tc>
          <w:tcPr>
            <w:tcW w:w="2381" w:type="dxa"/>
            <w:tcBorders>
              <w:top w:val="nil"/>
              <w:left w:val="nil"/>
              <w:bottom w:val="single" w:sz="4" w:space="0" w:color="auto"/>
              <w:right w:val="single" w:sz="4" w:space="0" w:color="auto"/>
            </w:tcBorders>
            <w:noWrap/>
            <w:vAlign w:val="center"/>
            <w:hideMark/>
          </w:tcPr>
          <w:p w14:paraId="2D6E9059"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19,21</w:t>
            </w:r>
          </w:p>
        </w:tc>
        <w:tc>
          <w:tcPr>
            <w:tcW w:w="2551" w:type="dxa"/>
            <w:tcBorders>
              <w:top w:val="nil"/>
              <w:left w:val="nil"/>
              <w:bottom w:val="single" w:sz="4" w:space="0" w:color="auto"/>
              <w:right w:val="single" w:sz="4" w:space="0" w:color="auto"/>
            </w:tcBorders>
            <w:noWrap/>
            <w:vAlign w:val="center"/>
            <w:hideMark/>
          </w:tcPr>
          <w:p w14:paraId="05A46666"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21,20</w:t>
            </w:r>
          </w:p>
        </w:tc>
      </w:tr>
      <w:tr w:rsidR="009270E5" w:rsidRPr="009270E5" w14:paraId="24011769"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04D36109" w14:textId="77777777" w:rsidR="009270E5" w:rsidRPr="009270E5" w:rsidRDefault="009270E5" w:rsidP="009270E5">
            <w:pPr>
              <w:rPr>
                <w:rFonts w:ascii="Aptos Narrow" w:hAnsi="Aptos Narrow"/>
                <w:color w:val="000000"/>
              </w:rPr>
            </w:pPr>
            <w:r w:rsidRPr="009270E5">
              <w:rPr>
                <w:rFonts w:ascii="Aptos Narrow" w:hAnsi="Aptos Narrow"/>
                <w:color w:val="000000"/>
              </w:rPr>
              <w:t>FLKŘ</w:t>
            </w:r>
          </w:p>
        </w:tc>
        <w:tc>
          <w:tcPr>
            <w:tcW w:w="1928" w:type="dxa"/>
            <w:tcBorders>
              <w:top w:val="nil"/>
              <w:left w:val="nil"/>
              <w:bottom w:val="single" w:sz="4" w:space="0" w:color="auto"/>
              <w:right w:val="single" w:sz="4" w:space="0" w:color="auto"/>
            </w:tcBorders>
            <w:noWrap/>
            <w:vAlign w:val="center"/>
            <w:hideMark/>
          </w:tcPr>
          <w:p w14:paraId="3C3E56B5"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3,19</w:t>
            </w:r>
          </w:p>
        </w:tc>
        <w:tc>
          <w:tcPr>
            <w:tcW w:w="2381" w:type="dxa"/>
            <w:tcBorders>
              <w:top w:val="nil"/>
              <w:left w:val="nil"/>
              <w:bottom w:val="single" w:sz="4" w:space="0" w:color="auto"/>
              <w:right w:val="single" w:sz="4" w:space="0" w:color="auto"/>
            </w:tcBorders>
            <w:noWrap/>
            <w:vAlign w:val="center"/>
            <w:hideMark/>
          </w:tcPr>
          <w:p w14:paraId="3E913FB0"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7,65</w:t>
            </w:r>
          </w:p>
        </w:tc>
        <w:tc>
          <w:tcPr>
            <w:tcW w:w="2551" w:type="dxa"/>
            <w:tcBorders>
              <w:top w:val="nil"/>
              <w:left w:val="nil"/>
              <w:bottom w:val="single" w:sz="4" w:space="0" w:color="auto"/>
              <w:right w:val="single" w:sz="4" w:space="0" w:color="auto"/>
            </w:tcBorders>
            <w:noWrap/>
            <w:vAlign w:val="center"/>
            <w:hideMark/>
          </w:tcPr>
          <w:p w14:paraId="654505EC"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3,64</w:t>
            </w:r>
          </w:p>
        </w:tc>
      </w:tr>
      <w:tr w:rsidR="009270E5" w:rsidRPr="009270E5" w14:paraId="1A9E9893"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58EBE777" w14:textId="77777777" w:rsidR="009270E5" w:rsidRPr="009270E5" w:rsidRDefault="009270E5" w:rsidP="009270E5">
            <w:pPr>
              <w:rPr>
                <w:rFonts w:ascii="Aptos Narrow" w:hAnsi="Aptos Narrow"/>
                <w:color w:val="000000"/>
              </w:rPr>
            </w:pPr>
            <w:r w:rsidRPr="009270E5">
              <w:rPr>
                <w:rFonts w:ascii="Aptos Narrow" w:hAnsi="Aptos Narrow"/>
                <w:color w:val="000000"/>
              </w:rPr>
              <w:t>FAI</w:t>
            </w:r>
          </w:p>
        </w:tc>
        <w:tc>
          <w:tcPr>
            <w:tcW w:w="1928" w:type="dxa"/>
            <w:tcBorders>
              <w:top w:val="nil"/>
              <w:left w:val="nil"/>
              <w:bottom w:val="single" w:sz="4" w:space="0" w:color="auto"/>
              <w:right w:val="single" w:sz="4" w:space="0" w:color="auto"/>
            </w:tcBorders>
            <w:noWrap/>
            <w:vAlign w:val="center"/>
            <w:hideMark/>
          </w:tcPr>
          <w:p w14:paraId="6D1BB5A4"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16,64</w:t>
            </w:r>
          </w:p>
        </w:tc>
        <w:tc>
          <w:tcPr>
            <w:tcW w:w="2381" w:type="dxa"/>
            <w:tcBorders>
              <w:top w:val="nil"/>
              <w:left w:val="nil"/>
              <w:bottom w:val="single" w:sz="4" w:space="0" w:color="auto"/>
              <w:right w:val="single" w:sz="4" w:space="0" w:color="auto"/>
            </w:tcBorders>
            <w:noWrap/>
            <w:vAlign w:val="center"/>
            <w:hideMark/>
          </w:tcPr>
          <w:p w14:paraId="5B14469E"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16,53</w:t>
            </w:r>
          </w:p>
        </w:tc>
        <w:tc>
          <w:tcPr>
            <w:tcW w:w="2551" w:type="dxa"/>
            <w:tcBorders>
              <w:top w:val="nil"/>
              <w:left w:val="nil"/>
              <w:bottom w:val="single" w:sz="4" w:space="0" w:color="auto"/>
              <w:right w:val="single" w:sz="4" w:space="0" w:color="auto"/>
            </w:tcBorders>
            <w:noWrap/>
            <w:vAlign w:val="center"/>
            <w:hideMark/>
          </w:tcPr>
          <w:p w14:paraId="33E606C6"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16,63</w:t>
            </w:r>
          </w:p>
        </w:tc>
      </w:tr>
      <w:tr w:rsidR="009270E5" w:rsidRPr="009270E5" w14:paraId="1A32465A"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514FED2F" w14:textId="77777777" w:rsidR="009270E5" w:rsidRPr="009270E5" w:rsidRDefault="009270E5" w:rsidP="009270E5">
            <w:pPr>
              <w:rPr>
                <w:rFonts w:ascii="Aptos Narrow" w:hAnsi="Aptos Narrow"/>
                <w:color w:val="000000"/>
              </w:rPr>
            </w:pPr>
            <w:r w:rsidRPr="009270E5">
              <w:rPr>
                <w:rFonts w:ascii="Aptos Narrow" w:hAnsi="Aptos Narrow"/>
                <w:color w:val="000000"/>
              </w:rPr>
              <w:t>FMK</w:t>
            </w:r>
          </w:p>
        </w:tc>
        <w:tc>
          <w:tcPr>
            <w:tcW w:w="1928" w:type="dxa"/>
            <w:tcBorders>
              <w:top w:val="nil"/>
              <w:left w:val="nil"/>
              <w:bottom w:val="single" w:sz="4" w:space="0" w:color="auto"/>
              <w:right w:val="single" w:sz="4" w:space="0" w:color="auto"/>
            </w:tcBorders>
            <w:noWrap/>
            <w:vAlign w:val="center"/>
            <w:hideMark/>
          </w:tcPr>
          <w:p w14:paraId="024AFD3E"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4,07</w:t>
            </w:r>
          </w:p>
        </w:tc>
        <w:tc>
          <w:tcPr>
            <w:tcW w:w="2381" w:type="dxa"/>
            <w:tcBorders>
              <w:top w:val="nil"/>
              <w:left w:val="nil"/>
              <w:bottom w:val="single" w:sz="4" w:space="0" w:color="auto"/>
              <w:right w:val="single" w:sz="4" w:space="0" w:color="auto"/>
            </w:tcBorders>
            <w:noWrap/>
            <w:vAlign w:val="center"/>
            <w:hideMark/>
          </w:tcPr>
          <w:p w14:paraId="11E1ECD9"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12,29</w:t>
            </w:r>
          </w:p>
        </w:tc>
        <w:tc>
          <w:tcPr>
            <w:tcW w:w="2551" w:type="dxa"/>
            <w:tcBorders>
              <w:top w:val="nil"/>
              <w:left w:val="nil"/>
              <w:bottom w:val="single" w:sz="4" w:space="0" w:color="auto"/>
              <w:right w:val="single" w:sz="4" w:space="0" w:color="auto"/>
            </w:tcBorders>
            <w:noWrap/>
            <w:vAlign w:val="center"/>
            <w:hideMark/>
          </w:tcPr>
          <w:p w14:paraId="2347F297"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4,89</w:t>
            </w:r>
          </w:p>
        </w:tc>
      </w:tr>
      <w:tr w:rsidR="009270E5" w:rsidRPr="009270E5" w14:paraId="392A0CB0"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15C1A6B7" w14:textId="77777777" w:rsidR="009270E5" w:rsidRPr="009270E5" w:rsidRDefault="009270E5" w:rsidP="009270E5">
            <w:pPr>
              <w:rPr>
                <w:rFonts w:ascii="Aptos Narrow" w:hAnsi="Aptos Narrow"/>
                <w:color w:val="000000"/>
              </w:rPr>
            </w:pPr>
            <w:r w:rsidRPr="009270E5">
              <w:rPr>
                <w:rFonts w:ascii="Aptos Narrow" w:hAnsi="Aptos Narrow"/>
                <w:color w:val="000000"/>
              </w:rPr>
              <w:t>FaME</w:t>
            </w:r>
          </w:p>
        </w:tc>
        <w:tc>
          <w:tcPr>
            <w:tcW w:w="1928" w:type="dxa"/>
            <w:tcBorders>
              <w:top w:val="nil"/>
              <w:left w:val="nil"/>
              <w:bottom w:val="single" w:sz="4" w:space="0" w:color="auto"/>
              <w:right w:val="single" w:sz="4" w:space="0" w:color="auto"/>
            </w:tcBorders>
            <w:noWrap/>
            <w:vAlign w:val="center"/>
            <w:hideMark/>
          </w:tcPr>
          <w:p w14:paraId="412580EA"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12,95</w:t>
            </w:r>
          </w:p>
        </w:tc>
        <w:tc>
          <w:tcPr>
            <w:tcW w:w="2381" w:type="dxa"/>
            <w:tcBorders>
              <w:top w:val="nil"/>
              <w:left w:val="nil"/>
              <w:bottom w:val="single" w:sz="4" w:space="0" w:color="auto"/>
              <w:right w:val="single" w:sz="4" w:space="0" w:color="auto"/>
            </w:tcBorders>
            <w:noWrap/>
            <w:vAlign w:val="center"/>
            <w:hideMark/>
          </w:tcPr>
          <w:p w14:paraId="56CF60F5"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13,81</w:t>
            </w:r>
          </w:p>
        </w:tc>
        <w:tc>
          <w:tcPr>
            <w:tcW w:w="2551" w:type="dxa"/>
            <w:tcBorders>
              <w:top w:val="nil"/>
              <w:left w:val="nil"/>
              <w:bottom w:val="single" w:sz="4" w:space="0" w:color="auto"/>
              <w:right w:val="single" w:sz="4" w:space="0" w:color="auto"/>
            </w:tcBorders>
            <w:noWrap/>
            <w:vAlign w:val="center"/>
            <w:hideMark/>
          </w:tcPr>
          <w:p w14:paraId="6CC7699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13,03</w:t>
            </w:r>
          </w:p>
        </w:tc>
      </w:tr>
      <w:tr w:rsidR="009270E5" w:rsidRPr="009270E5" w14:paraId="7AF895B9"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1D357F27" w14:textId="77777777" w:rsidR="009270E5" w:rsidRPr="009270E5" w:rsidRDefault="009270E5" w:rsidP="009270E5">
            <w:pPr>
              <w:rPr>
                <w:rFonts w:ascii="Aptos Narrow" w:hAnsi="Aptos Narrow"/>
                <w:color w:val="000000"/>
              </w:rPr>
            </w:pPr>
            <w:r w:rsidRPr="009270E5">
              <w:rPr>
                <w:rFonts w:ascii="Aptos Narrow" w:hAnsi="Aptos Narrow"/>
                <w:color w:val="000000"/>
              </w:rPr>
              <w:t>FHS</w:t>
            </w:r>
          </w:p>
        </w:tc>
        <w:tc>
          <w:tcPr>
            <w:tcW w:w="1928" w:type="dxa"/>
            <w:tcBorders>
              <w:top w:val="nil"/>
              <w:left w:val="nil"/>
              <w:bottom w:val="single" w:sz="4" w:space="0" w:color="auto"/>
              <w:right w:val="single" w:sz="4" w:space="0" w:color="auto"/>
            </w:tcBorders>
            <w:noWrap/>
            <w:vAlign w:val="center"/>
            <w:hideMark/>
          </w:tcPr>
          <w:p w14:paraId="285BAC06"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7,43</w:t>
            </w:r>
          </w:p>
        </w:tc>
        <w:tc>
          <w:tcPr>
            <w:tcW w:w="2381" w:type="dxa"/>
            <w:tcBorders>
              <w:top w:val="nil"/>
              <w:left w:val="nil"/>
              <w:bottom w:val="single" w:sz="4" w:space="0" w:color="auto"/>
              <w:right w:val="single" w:sz="4" w:space="0" w:color="auto"/>
            </w:tcBorders>
            <w:noWrap/>
            <w:vAlign w:val="center"/>
            <w:hideMark/>
          </w:tcPr>
          <w:p w14:paraId="5FE3262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18,40</w:t>
            </w:r>
          </w:p>
        </w:tc>
        <w:tc>
          <w:tcPr>
            <w:tcW w:w="2551" w:type="dxa"/>
            <w:tcBorders>
              <w:top w:val="nil"/>
              <w:left w:val="nil"/>
              <w:bottom w:val="single" w:sz="4" w:space="0" w:color="auto"/>
              <w:right w:val="single" w:sz="4" w:space="0" w:color="auto"/>
            </w:tcBorders>
            <w:noWrap/>
            <w:vAlign w:val="center"/>
            <w:hideMark/>
          </w:tcPr>
          <w:p w14:paraId="283B0341"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8,53</w:t>
            </w:r>
          </w:p>
        </w:tc>
      </w:tr>
      <w:tr w:rsidR="009270E5" w:rsidRPr="009270E5" w14:paraId="08B86759"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2D94D47E" w14:textId="77777777" w:rsidR="009270E5" w:rsidRPr="009270E5" w:rsidRDefault="009270E5" w:rsidP="009270E5">
            <w:pPr>
              <w:rPr>
                <w:rFonts w:ascii="Aptos Narrow" w:hAnsi="Aptos Narrow"/>
                <w:color w:val="000000"/>
              </w:rPr>
            </w:pPr>
            <w:r w:rsidRPr="009270E5">
              <w:rPr>
                <w:rFonts w:ascii="Aptos Narrow" w:hAnsi="Aptos Narrow"/>
                <w:color w:val="000000"/>
              </w:rPr>
              <w:t>UNI</w:t>
            </w:r>
          </w:p>
        </w:tc>
        <w:tc>
          <w:tcPr>
            <w:tcW w:w="1928" w:type="dxa"/>
            <w:tcBorders>
              <w:top w:val="nil"/>
              <w:left w:val="nil"/>
              <w:bottom w:val="single" w:sz="4" w:space="0" w:color="auto"/>
              <w:right w:val="single" w:sz="4" w:space="0" w:color="auto"/>
            </w:tcBorders>
            <w:noWrap/>
            <w:vAlign w:val="center"/>
            <w:hideMark/>
          </w:tcPr>
          <w:p w14:paraId="41A8AA09"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33,81</w:t>
            </w:r>
          </w:p>
        </w:tc>
        <w:tc>
          <w:tcPr>
            <w:tcW w:w="2381" w:type="dxa"/>
            <w:tcBorders>
              <w:top w:val="nil"/>
              <w:left w:val="nil"/>
              <w:bottom w:val="single" w:sz="4" w:space="0" w:color="auto"/>
              <w:right w:val="single" w:sz="4" w:space="0" w:color="auto"/>
            </w:tcBorders>
            <w:noWrap/>
            <w:vAlign w:val="center"/>
            <w:hideMark/>
          </w:tcPr>
          <w:p w14:paraId="7E8FE0F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11,92</w:t>
            </w:r>
          </w:p>
        </w:tc>
        <w:tc>
          <w:tcPr>
            <w:tcW w:w="2551" w:type="dxa"/>
            <w:tcBorders>
              <w:top w:val="nil"/>
              <w:left w:val="nil"/>
              <w:bottom w:val="single" w:sz="4" w:space="0" w:color="auto"/>
              <w:right w:val="single" w:sz="4" w:space="0" w:color="auto"/>
            </w:tcBorders>
            <w:noWrap/>
            <w:vAlign w:val="center"/>
            <w:hideMark/>
          </w:tcPr>
          <w:p w14:paraId="70B5C7A1"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31,62</w:t>
            </w:r>
          </w:p>
        </w:tc>
      </w:tr>
      <w:tr w:rsidR="009270E5" w:rsidRPr="009270E5" w14:paraId="6B0ABF37"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6F77E389" w14:textId="77777777" w:rsidR="009270E5" w:rsidRPr="009270E5" w:rsidRDefault="009270E5" w:rsidP="009270E5">
            <w:pPr>
              <w:rPr>
                <w:rFonts w:ascii="Aptos Narrow" w:hAnsi="Aptos Narrow"/>
                <w:color w:val="000000"/>
              </w:rPr>
            </w:pPr>
            <w:r w:rsidRPr="009270E5">
              <w:rPr>
                <w:rFonts w:ascii="Aptos Narrow" w:hAnsi="Aptos Narrow"/>
                <w:color w:val="000000"/>
              </w:rPr>
              <w:t>Knihovna</w:t>
            </w:r>
          </w:p>
        </w:tc>
        <w:tc>
          <w:tcPr>
            <w:tcW w:w="1928" w:type="dxa"/>
            <w:tcBorders>
              <w:top w:val="nil"/>
              <w:left w:val="nil"/>
              <w:bottom w:val="single" w:sz="4" w:space="0" w:color="auto"/>
              <w:right w:val="single" w:sz="4" w:space="0" w:color="auto"/>
            </w:tcBorders>
            <w:noWrap/>
            <w:vAlign w:val="center"/>
            <w:hideMark/>
          </w:tcPr>
          <w:p w14:paraId="6560ED8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0,48</w:t>
            </w:r>
          </w:p>
        </w:tc>
        <w:tc>
          <w:tcPr>
            <w:tcW w:w="2381" w:type="dxa"/>
            <w:tcBorders>
              <w:top w:val="nil"/>
              <w:left w:val="nil"/>
              <w:bottom w:val="single" w:sz="4" w:space="0" w:color="auto"/>
              <w:right w:val="single" w:sz="4" w:space="0" w:color="auto"/>
            </w:tcBorders>
            <w:noWrap/>
            <w:vAlign w:val="center"/>
            <w:hideMark/>
          </w:tcPr>
          <w:p w14:paraId="5284A64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0,18</w:t>
            </w:r>
          </w:p>
        </w:tc>
        <w:tc>
          <w:tcPr>
            <w:tcW w:w="2551" w:type="dxa"/>
            <w:tcBorders>
              <w:top w:val="nil"/>
              <w:left w:val="nil"/>
              <w:bottom w:val="single" w:sz="4" w:space="0" w:color="auto"/>
              <w:right w:val="single" w:sz="4" w:space="0" w:color="auto"/>
            </w:tcBorders>
            <w:noWrap/>
            <w:vAlign w:val="center"/>
            <w:hideMark/>
          </w:tcPr>
          <w:p w14:paraId="45EB32DA"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0,45</w:t>
            </w:r>
          </w:p>
        </w:tc>
      </w:tr>
      <w:tr w:rsidR="009270E5" w:rsidRPr="009270E5" w14:paraId="26311021"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1656A203" w14:textId="77777777" w:rsidR="009270E5" w:rsidRPr="009270E5" w:rsidRDefault="009270E5" w:rsidP="009270E5">
            <w:pPr>
              <w:rPr>
                <w:rFonts w:ascii="Aptos Narrow" w:hAnsi="Aptos Narrow"/>
                <w:color w:val="000000"/>
              </w:rPr>
            </w:pPr>
            <w:r w:rsidRPr="009270E5">
              <w:rPr>
                <w:rFonts w:ascii="Aptos Narrow" w:hAnsi="Aptos Narrow"/>
                <w:color w:val="000000"/>
              </w:rPr>
              <w:t>KMZ</w:t>
            </w:r>
          </w:p>
        </w:tc>
        <w:tc>
          <w:tcPr>
            <w:tcW w:w="1928" w:type="dxa"/>
            <w:tcBorders>
              <w:top w:val="nil"/>
              <w:left w:val="nil"/>
              <w:bottom w:val="single" w:sz="4" w:space="0" w:color="auto"/>
              <w:right w:val="single" w:sz="4" w:space="0" w:color="auto"/>
            </w:tcBorders>
            <w:noWrap/>
            <w:vAlign w:val="center"/>
            <w:hideMark/>
          </w:tcPr>
          <w:p w14:paraId="1491F854"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0,00</w:t>
            </w:r>
          </w:p>
        </w:tc>
        <w:tc>
          <w:tcPr>
            <w:tcW w:w="2381" w:type="dxa"/>
            <w:tcBorders>
              <w:top w:val="nil"/>
              <w:left w:val="nil"/>
              <w:bottom w:val="single" w:sz="4" w:space="0" w:color="auto"/>
              <w:right w:val="single" w:sz="4" w:space="0" w:color="auto"/>
            </w:tcBorders>
            <w:noWrap/>
            <w:vAlign w:val="center"/>
            <w:hideMark/>
          </w:tcPr>
          <w:p w14:paraId="3EF05A93"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0,00</w:t>
            </w:r>
          </w:p>
        </w:tc>
        <w:tc>
          <w:tcPr>
            <w:tcW w:w="2551" w:type="dxa"/>
            <w:tcBorders>
              <w:top w:val="nil"/>
              <w:left w:val="nil"/>
              <w:bottom w:val="single" w:sz="4" w:space="0" w:color="auto"/>
              <w:right w:val="single" w:sz="4" w:space="0" w:color="auto"/>
            </w:tcBorders>
            <w:noWrap/>
            <w:vAlign w:val="center"/>
            <w:hideMark/>
          </w:tcPr>
          <w:p w14:paraId="25CF8BC0" w14:textId="77777777" w:rsidR="009270E5" w:rsidRPr="009270E5" w:rsidRDefault="009270E5" w:rsidP="009270E5">
            <w:pPr>
              <w:jc w:val="right"/>
              <w:rPr>
                <w:rFonts w:ascii="Aptos Narrow" w:hAnsi="Aptos Narrow"/>
                <w:color w:val="000000"/>
              </w:rPr>
            </w:pPr>
            <w:r w:rsidRPr="009270E5">
              <w:rPr>
                <w:rFonts w:ascii="Aptos Narrow" w:hAnsi="Aptos Narrow"/>
                <w:color w:val="000000"/>
              </w:rPr>
              <w:t>0,00</w:t>
            </w:r>
          </w:p>
        </w:tc>
      </w:tr>
      <w:tr w:rsidR="009270E5" w:rsidRPr="009270E5" w14:paraId="57D5B9DA" w14:textId="77777777" w:rsidTr="009270E5">
        <w:trPr>
          <w:trHeight w:val="320"/>
        </w:trPr>
        <w:tc>
          <w:tcPr>
            <w:tcW w:w="2211" w:type="dxa"/>
            <w:tcBorders>
              <w:top w:val="nil"/>
              <w:left w:val="single" w:sz="4" w:space="0" w:color="auto"/>
              <w:bottom w:val="single" w:sz="4" w:space="0" w:color="auto"/>
              <w:right w:val="single" w:sz="4" w:space="0" w:color="auto"/>
            </w:tcBorders>
            <w:noWrap/>
            <w:vAlign w:val="center"/>
            <w:hideMark/>
          </w:tcPr>
          <w:p w14:paraId="4344917D" w14:textId="77777777" w:rsidR="009270E5" w:rsidRPr="009270E5" w:rsidRDefault="009270E5" w:rsidP="009270E5">
            <w:pPr>
              <w:rPr>
                <w:rFonts w:ascii="Aptos Narrow" w:hAnsi="Aptos Narrow"/>
                <w:b/>
                <w:bCs/>
                <w:color w:val="000000"/>
              </w:rPr>
            </w:pPr>
            <w:r w:rsidRPr="009270E5">
              <w:rPr>
                <w:rFonts w:ascii="Aptos Narrow" w:hAnsi="Aptos Narrow"/>
                <w:b/>
                <w:bCs/>
                <w:color w:val="000000"/>
              </w:rPr>
              <w:t>Celkem</w:t>
            </w:r>
          </w:p>
        </w:tc>
        <w:tc>
          <w:tcPr>
            <w:tcW w:w="1928" w:type="dxa"/>
            <w:tcBorders>
              <w:top w:val="nil"/>
              <w:left w:val="nil"/>
              <w:bottom w:val="single" w:sz="4" w:space="0" w:color="auto"/>
              <w:right w:val="single" w:sz="4" w:space="0" w:color="auto"/>
            </w:tcBorders>
            <w:noWrap/>
            <w:vAlign w:val="center"/>
            <w:hideMark/>
          </w:tcPr>
          <w:p w14:paraId="388E3789" w14:textId="77777777" w:rsidR="009270E5" w:rsidRPr="009270E5" w:rsidRDefault="009270E5" w:rsidP="009270E5">
            <w:pPr>
              <w:jc w:val="right"/>
              <w:rPr>
                <w:rFonts w:ascii="Aptos Narrow" w:hAnsi="Aptos Narrow"/>
                <w:b/>
                <w:bCs/>
                <w:color w:val="000000"/>
              </w:rPr>
            </w:pPr>
            <w:r w:rsidRPr="009270E5">
              <w:rPr>
                <w:rFonts w:ascii="Aptos Narrow" w:hAnsi="Aptos Narrow"/>
                <w:b/>
                <w:bCs/>
                <w:color w:val="000000"/>
              </w:rPr>
              <w:t>100,00</w:t>
            </w:r>
          </w:p>
        </w:tc>
        <w:tc>
          <w:tcPr>
            <w:tcW w:w="2381" w:type="dxa"/>
            <w:tcBorders>
              <w:top w:val="nil"/>
              <w:left w:val="nil"/>
              <w:bottom w:val="single" w:sz="4" w:space="0" w:color="auto"/>
              <w:right w:val="single" w:sz="4" w:space="0" w:color="auto"/>
            </w:tcBorders>
            <w:noWrap/>
            <w:vAlign w:val="center"/>
            <w:hideMark/>
          </w:tcPr>
          <w:p w14:paraId="42F5556A" w14:textId="77777777" w:rsidR="009270E5" w:rsidRPr="009270E5" w:rsidRDefault="009270E5" w:rsidP="009270E5">
            <w:pPr>
              <w:jc w:val="right"/>
              <w:rPr>
                <w:rFonts w:ascii="Aptos Narrow" w:hAnsi="Aptos Narrow"/>
                <w:b/>
                <w:bCs/>
                <w:color w:val="000000"/>
              </w:rPr>
            </w:pPr>
            <w:r w:rsidRPr="009270E5">
              <w:rPr>
                <w:rFonts w:ascii="Aptos Narrow" w:hAnsi="Aptos Narrow"/>
                <w:b/>
                <w:bCs/>
                <w:color w:val="000000"/>
              </w:rPr>
              <w:t>100,00</w:t>
            </w:r>
          </w:p>
        </w:tc>
        <w:tc>
          <w:tcPr>
            <w:tcW w:w="2551" w:type="dxa"/>
            <w:tcBorders>
              <w:top w:val="nil"/>
              <w:left w:val="nil"/>
              <w:bottom w:val="single" w:sz="4" w:space="0" w:color="auto"/>
              <w:right w:val="single" w:sz="4" w:space="0" w:color="auto"/>
            </w:tcBorders>
            <w:noWrap/>
            <w:vAlign w:val="center"/>
            <w:hideMark/>
          </w:tcPr>
          <w:p w14:paraId="58DAAAC2" w14:textId="77777777" w:rsidR="009270E5" w:rsidRPr="009270E5" w:rsidRDefault="009270E5" w:rsidP="009270E5">
            <w:pPr>
              <w:jc w:val="right"/>
              <w:rPr>
                <w:rFonts w:ascii="Aptos Narrow" w:hAnsi="Aptos Narrow"/>
                <w:b/>
                <w:bCs/>
                <w:color w:val="000000"/>
              </w:rPr>
            </w:pPr>
            <w:r w:rsidRPr="009270E5">
              <w:rPr>
                <w:rFonts w:ascii="Aptos Narrow" w:hAnsi="Aptos Narrow"/>
                <w:b/>
                <w:bCs/>
                <w:color w:val="000000"/>
              </w:rPr>
              <w:t>100,00</w:t>
            </w:r>
          </w:p>
        </w:tc>
      </w:tr>
    </w:tbl>
    <w:p w14:paraId="1F392F33" w14:textId="77777777" w:rsidR="00E8532A" w:rsidRDefault="00E8532A">
      <w:pPr>
        <w:rPr>
          <w:rFonts w:asciiTheme="majorHAnsi" w:eastAsiaTheme="majorEastAsia" w:hAnsiTheme="majorHAnsi" w:cstheme="majorBidi"/>
          <w:color w:val="1F3763" w:themeColor="accent1" w:themeShade="7F"/>
        </w:rPr>
      </w:pPr>
      <w:r>
        <w:br w:type="page"/>
      </w:r>
    </w:p>
    <w:p w14:paraId="6FD46B26" w14:textId="77777777" w:rsidR="009B5A5F" w:rsidRDefault="00390512" w:rsidP="009B5A5F">
      <w:pPr>
        <w:pStyle w:val="RozpoetNadpis3"/>
      </w:pPr>
      <w:bookmarkStart w:id="25" w:name="_Toc228824336"/>
      <w:r>
        <w:lastRenderedPageBreak/>
        <w:t>Indikátor c</w:t>
      </w:r>
      <w:r w:rsidR="009B5A5F">
        <w:t>itace</w:t>
      </w:r>
      <w:bookmarkEnd w:id="25"/>
    </w:p>
    <w:p w14:paraId="6ACCD3DE" w14:textId="77777777" w:rsidR="0032122D" w:rsidRPr="000A20AA" w:rsidRDefault="0032122D" w:rsidP="0032122D">
      <w:pPr>
        <w:pStyle w:val="RozpocetOdstavec"/>
      </w:pPr>
      <w:r w:rsidRPr="000A20AA">
        <w:t>Indikátor citace představuje podíl součásti na citačních ohlasech publikovaných prací UTB. Záznamy jsou vztaženy k jednotlivým součástem na základě afiliace autorů uvedené ve fulltextu dokumentu. Pouze v případě, že v dokumentu není tento údaj dohledatelný, přistupuje se k určení afiliace dle údajů uvedených v systému OBD. Nestanovují se mentální podíly u jednotlivých publikací a citace se vždy přiřadí každé organizační jednotce, která má na výsledku jakýkoliv podíl.</w:t>
      </w:r>
    </w:p>
    <w:p w14:paraId="4EE8E987" w14:textId="77777777" w:rsidR="0032122D" w:rsidRPr="000A20AA" w:rsidRDefault="0032122D" w:rsidP="0032122D">
      <w:pPr>
        <w:pStyle w:val="RozpocetOdstavec"/>
      </w:pPr>
    </w:p>
    <w:p w14:paraId="5853BFE0" w14:textId="77777777" w:rsidR="0032122D" w:rsidRPr="000A20AA" w:rsidRDefault="0032122D" w:rsidP="0032122D">
      <w:pPr>
        <w:pStyle w:val="RozpocetOdstavec"/>
      </w:pPr>
      <w:r w:rsidRPr="000A20AA">
        <w:t>Zdrojem dat bude databáze WoS za publikační výsledky z let 2020–2024, a to u typů dokumentů článek, příspěvek ve sborníku a kapitola z knihy. Citace budou započítány za časové období 2020–2025, analýza bude uzavřena ke dni 1. 1. 2026.</w:t>
      </w:r>
    </w:p>
    <w:p w14:paraId="78976CBB" w14:textId="77777777" w:rsidR="00FD7330" w:rsidRDefault="00FD7330" w:rsidP="0032122D">
      <w:pPr>
        <w:pStyle w:val="RozpocetOdstavec"/>
        <w:rPr>
          <w:color w:val="00B050"/>
        </w:rPr>
      </w:pPr>
    </w:p>
    <w:tbl>
      <w:tblPr>
        <w:tblW w:w="9071" w:type="dxa"/>
        <w:tblLook w:val="04A0" w:firstRow="1" w:lastRow="0" w:firstColumn="1" w:lastColumn="0" w:noHBand="0" w:noVBand="1"/>
      </w:tblPr>
      <w:tblGrid>
        <w:gridCol w:w="2835"/>
        <w:gridCol w:w="3118"/>
        <w:gridCol w:w="3118"/>
      </w:tblGrid>
      <w:tr w:rsidR="00FD7330" w:rsidRPr="00FD7330" w14:paraId="612E7CA2" w14:textId="77777777" w:rsidTr="00FD7330">
        <w:trPr>
          <w:trHeight w:val="320"/>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D3C219" w14:textId="5FDC16B5" w:rsidR="00FD7330" w:rsidRPr="00FD7330" w:rsidRDefault="00FD7330" w:rsidP="00FD7330">
            <w:pPr>
              <w:jc w:val="center"/>
              <w:rPr>
                <w:rFonts w:ascii="Aptos Narrow" w:hAnsi="Aptos Narrow"/>
                <w:b/>
                <w:bCs/>
                <w:color w:val="000000"/>
              </w:rPr>
            </w:pPr>
            <w:r>
              <w:rPr>
                <w:rFonts w:ascii="Aptos Narrow" w:hAnsi="Aptos Narrow"/>
                <w:b/>
                <w:bCs/>
                <w:color w:val="000000"/>
              </w:rPr>
              <w:t>Součást</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CA0A61" w14:textId="0DB77555" w:rsidR="00FD7330" w:rsidRPr="00FD7330" w:rsidRDefault="00FD7330" w:rsidP="00FD7330">
            <w:pPr>
              <w:jc w:val="center"/>
              <w:rPr>
                <w:rFonts w:ascii="Aptos Narrow" w:hAnsi="Aptos Narrow"/>
                <w:b/>
                <w:bCs/>
                <w:color w:val="000000"/>
              </w:rPr>
            </w:pPr>
            <w:r w:rsidRPr="00FD7330">
              <w:rPr>
                <w:rFonts w:ascii="Aptos Narrow" w:hAnsi="Aptos Narrow"/>
                <w:b/>
                <w:bCs/>
                <w:color w:val="000000"/>
              </w:rPr>
              <w:t>Citace 202</w:t>
            </w:r>
            <w:r w:rsidR="00AE41E3">
              <w:rPr>
                <w:rFonts w:ascii="Aptos Narrow" w:hAnsi="Aptos Narrow"/>
                <w:b/>
                <w:bCs/>
                <w:color w:val="000000"/>
              </w:rPr>
              <w:t>5</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FD0827" w14:textId="77777777" w:rsidR="00FD7330" w:rsidRPr="00FD7330" w:rsidRDefault="00FD7330" w:rsidP="00FD7330">
            <w:pPr>
              <w:jc w:val="center"/>
              <w:rPr>
                <w:rFonts w:ascii="Aptos Narrow" w:hAnsi="Aptos Narrow"/>
                <w:b/>
                <w:bCs/>
                <w:color w:val="000000"/>
              </w:rPr>
            </w:pPr>
            <w:r w:rsidRPr="00FD7330">
              <w:rPr>
                <w:rFonts w:ascii="Aptos Narrow" w:hAnsi="Aptos Narrow"/>
                <w:b/>
                <w:bCs/>
                <w:color w:val="000000"/>
              </w:rPr>
              <w:t>Citace v %</w:t>
            </w:r>
          </w:p>
        </w:tc>
      </w:tr>
      <w:tr w:rsidR="00FD7330" w:rsidRPr="00FD7330" w14:paraId="024D0FB0"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F704318" w14:textId="77777777" w:rsidR="00FD7330" w:rsidRPr="00FD7330" w:rsidRDefault="00FD7330" w:rsidP="00FD7330">
            <w:pPr>
              <w:rPr>
                <w:rFonts w:ascii="Aptos Narrow" w:hAnsi="Aptos Narrow"/>
                <w:color w:val="000000"/>
              </w:rPr>
            </w:pPr>
            <w:r w:rsidRPr="00FD7330">
              <w:rPr>
                <w:rFonts w:ascii="Aptos Narrow" w:hAnsi="Aptos Narrow"/>
                <w:color w:val="000000"/>
              </w:rPr>
              <w:t>FT</w:t>
            </w:r>
          </w:p>
        </w:tc>
        <w:tc>
          <w:tcPr>
            <w:tcW w:w="3118" w:type="dxa"/>
            <w:tcBorders>
              <w:top w:val="nil"/>
              <w:left w:val="nil"/>
              <w:bottom w:val="single" w:sz="4" w:space="0" w:color="auto"/>
              <w:right w:val="single" w:sz="4" w:space="0" w:color="auto"/>
            </w:tcBorders>
            <w:noWrap/>
            <w:vAlign w:val="center"/>
            <w:hideMark/>
          </w:tcPr>
          <w:p w14:paraId="20CACD4E"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5 560</w:t>
            </w:r>
          </w:p>
        </w:tc>
        <w:tc>
          <w:tcPr>
            <w:tcW w:w="3118" w:type="dxa"/>
            <w:tcBorders>
              <w:top w:val="nil"/>
              <w:left w:val="nil"/>
              <w:bottom w:val="single" w:sz="4" w:space="0" w:color="auto"/>
              <w:right w:val="single" w:sz="4" w:space="0" w:color="auto"/>
            </w:tcBorders>
            <w:noWrap/>
            <w:vAlign w:val="center"/>
            <w:hideMark/>
          </w:tcPr>
          <w:p w14:paraId="1F32FE28"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23,82</w:t>
            </w:r>
          </w:p>
        </w:tc>
      </w:tr>
      <w:tr w:rsidR="00FD7330" w:rsidRPr="00FD7330" w14:paraId="5C2FE73B"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15F8D88" w14:textId="77777777" w:rsidR="00FD7330" w:rsidRPr="00FD7330" w:rsidRDefault="00FD7330" w:rsidP="00FD7330">
            <w:pPr>
              <w:rPr>
                <w:rFonts w:ascii="Aptos Narrow" w:hAnsi="Aptos Narrow"/>
                <w:color w:val="000000"/>
              </w:rPr>
            </w:pPr>
            <w:r w:rsidRPr="00FD7330">
              <w:rPr>
                <w:rFonts w:ascii="Aptos Narrow" w:hAnsi="Aptos Narrow"/>
                <w:color w:val="000000"/>
              </w:rPr>
              <w:t>FLKŘ</w:t>
            </w:r>
          </w:p>
        </w:tc>
        <w:tc>
          <w:tcPr>
            <w:tcW w:w="3118" w:type="dxa"/>
            <w:tcBorders>
              <w:top w:val="nil"/>
              <w:left w:val="nil"/>
              <w:bottom w:val="single" w:sz="4" w:space="0" w:color="auto"/>
              <w:right w:val="single" w:sz="4" w:space="0" w:color="auto"/>
            </w:tcBorders>
            <w:noWrap/>
            <w:vAlign w:val="center"/>
            <w:hideMark/>
          </w:tcPr>
          <w:p w14:paraId="29C575E6"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170</w:t>
            </w:r>
          </w:p>
        </w:tc>
        <w:tc>
          <w:tcPr>
            <w:tcW w:w="3118" w:type="dxa"/>
            <w:tcBorders>
              <w:top w:val="nil"/>
              <w:left w:val="nil"/>
              <w:bottom w:val="single" w:sz="4" w:space="0" w:color="auto"/>
              <w:right w:val="single" w:sz="4" w:space="0" w:color="auto"/>
            </w:tcBorders>
            <w:noWrap/>
            <w:vAlign w:val="center"/>
            <w:hideMark/>
          </w:tcPr>
          <w:p w14:paraId="1748BAB8"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0,73</w:t>
            </w:r>
          </w:p>
        </w:tc>
      </w:tr>
      <w:tr w:rsidR="00FD7330" w:rsidRPr="00FD7330" w14:paraId="2DB45213"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34C699BA" w14:textId="77777777" w:rsidR="00FD7330" w:rsidRPr="00FD7330" w:rsidRDefault="00FD7330" w:rsidP="00FD7330">
            <w:pPr>
              <w:rPr>
                <w:rFonts w:ascii="Aptos Narrow" w:hAnsi="Aptos Narrow"/>
                <w:color w:val="000000"/>
              </w:rPr>
            </w:pPr>
            <w:r w:rsidRPr="00FD7330">
              <w:rPr>
                <w:rFonts w:ascii="Aptos Narrow" w:hAnsi="Aptos Narrow"/>
                <w:color w:val="000000"/>
              </w:rPr>
              <w:t>FAI</w:t>
            </w:r>
          </w:p>
        </w:tc>
        <w:tc>
          <w:tcPr>
            <w:tcW w:w="3118" w:type="dxa"/>
            <w:tcBorders>
              <w:top w:val="nil"/>
              <w:left w:val="nil"/>
              <w:bottom w:val="single" w:sz="4" w:space="0" w:color="auto"/>
              <w:right w:val="single" w:sz="4" w:space="0" w:color="auto"/>
            </w:tcBorders>
            <w:noWrap/>
            <w:vAlign w:val="center"/>
            <w:hideMark/>
          </w:tcPr>
          <w:p w14:paraId="42043F80"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2 053</w:t>
            </w:r>
          </w:p>
        </w:tc>
        <w:tc>
          <w:tcPr>
            <w:tcW w:w="3118" w:type="dxa"/>
            <w:tcBorders>
              <w:top w:val="nil"/>
              <w:left w:val="nil"/>
              <w:bottom w:val="single" w:sz="4" w:space="0" w:color="auto"/>
              <w:right w:val="single" w:sz="4" w:space="0" w:color="auto"/>
            </w:tcBorders>
            <w:noWrap/>
            <w:vAlign w:val="center"/>
            <w:hideMark/>
          </w:tcPr>
          <w:p w14:paraId="3804DD8E"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8,80</w:t>
            </w:r>
          </w:p>
        </w:tc>
      </w:tr>
      <w:tr w:rsidR="00FD7330" w:rsidRPr="00FD7330" w14:paraId="595FA1D6"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79BD734C" w14:textId="77777777" w:rsidR="00FD7330" w:rsidRPr="00FD7330" w:rsidRDefault="00FD7330" w:rsidP="00FD7330">
            <w:pPr>
              <w:rPr>
                <w:rFonts w:ascii="Aptos Narrow" w:hAnsi="Aptos Narrow"/>
                <w:color w:val="000000"/>
              </w:rPr>
            </w:pPr>
            <w:r w:rsidRPr="00FD7330">
              <w:rPr>
                <w:rFonts w:ascii="Aptos Narrow" w:hAnsi="Aptos Narrow"/>
                <w:color w:val="000000"/>
              </w:rPr>
              <w:t>FMK</w:t>
            </w:r>
          </w:p>
        </w:tc>
        <w:tc>
          <w:tcPr>
            <w:tcW w:w="3118" w:type="dxa"/>
            <w:tcBorders>
              <w:top w:val="nil"/>
              <w:left w:val="nil"/>
              <w:bottom w:val="single" w:sz="4" w:space="0" w:color="auto"/>
              <w:right w:val="single" w:sz="4" w:space="0" w:color="auto"/>
            </w:tcBorders>
            <w:noWrap/>
            <w:vAlign w:val="center"/>
            <w:hideMark/>
          </w:tcPr>
          <w:p w14:paraId="73FD26FD"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82</w:t>
            </w:r>
          </w:p>
        </w:tc>
        <w:tc>
          <w:tcPr>
            <w:tcW w:w="3118" w:type="dxa"/>
            <w:tcBorders>
              <w:top w:val="nil"/>
              <w:left w:val="nil"/>
              <w:bottom w:val="single" w:sz="4" w:space="0" w:color="auto"/>
              <w:right w:val="single" w:sz="4" w:space="0" w:color="auto"/>
            </w:tcBorders>
            <w:noWrap/>
            <w:vAlign w:val="center"/>
            <w:hideMark/>
          </w:tcPr>
          <w:p w14:paraId="51CDA5D4"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0,35</w:t>
            </w:r>
          </w:p>
        </w:tc>
      </w:tr>
      <w:tr w:rsidR="00FD7330" w:rsidRPr="00FD7330" w14:paraId="31E3C60D"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44D07731" w14:textId="77777777" w:rsidR="00FD7330" w:rsidRPr="00FD7330" w:rsidRDefault="00FD7330" w:rsidP="00FD7330">
            <w:pPr>
              <w:rPr>
                <w:rFonts w:ascii="Aptos Narrow" w:hAnsi="Aptos Narrow"/>
                <w:color w:val="000000"/>
              </w:rPr>
            </w:pPr>
            <w:r w:rsidRPr="00FD7330">
              <w:rPr>
                <w:rFonts w:ascii="Aptos Narrow" w:hAnsi="Aptos Narrow"/>
                <w:color w:val="000000"/>
              </w:rPr>
              <w:t>FaME</w:t>
            </w:r>
          </w:p>
        </w:tc>
        <w:tc>
          <w:tcPr>
            <w:tcW w:w="3118" w:type="dxa"/>
            <w:tcBorders>
              <w:top w:val="nil"/>
              <w:left w:val="nil"/>
              <w:bottom w:val="single" w:sz="4" w:space="0" w:color="auto"/>
              <w:right w:val="single" w:sz="4" w:space="0" w:color="auto"/>
            </w:tcBorders>
            <w:noWrap/>
            <w:vAlign w:val="center"/>
            <w:hideMark/>
          </w:tcPr>
          <w:p w14:paraId="0C797496"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6 605</w:t>
            </w:r>
          </w:p>
        </w:tc>
        <w:tc>
          <w:tcPr>
            <w:tcW w:w="3118" w:type="dxa"/>
            <w:tcBorders>
              <w:top w:val="nil"/>
              <w:left w:val="nil"/>
              <w:bottom w:val="single" w:sz="4" w:space="0" w:color="auto"/>
              <w:right w:val="single" w:sz="4" w:space="0" w:color="auto"/>
            </w:tcBorders>
            <w:noWrap/>
            <w:vAlign w:val="center"/>
            <w:hideMark/>
          </w:tcPr>
          <w:p w14:paraId="2A7A538B"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28,30</w:t>
            </w:r>
          </w:p>
        </w:tc>
      </w:tr>
      <w:tr w:rsidR="00FD7330" w:rsidRPr="00FD7330" w14:paraId="23BF74A3"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A31B04D" w14:textId="77777777" w:rsidR="00FD7330" w:rsidRPr="00FD7330" w:rsidRDefault="00FD7330" w:rsidP="00FD7330">
            <w:pPr>
              <w:rPr>
                <w:rFonts w:ascii="Aptos Narrow" w:hAnsi="Aptos Narrow"/>
                <w:color w:val="000000"/>
              </w:rPr>
            </w:pPr>
            <w:r w:rsidRPr="00FD7330">
              <w:rPr>
                <w:rFonts w:ascii="Aptos Narrow" w:hAnsi="Aptos Narrow"/>
                <w:color w:val="000000"/>
              </w:rPr>
              <w:t>FHS</w:t>
            </w:r>
          </w:p>
        </w:tc>
        <w:tc>
          <w:tcPr>
            <w:tcW w:w="3118" w:type="dxa"/>
            <w:tcBorders>
              <w:top w:val="nil"/>
              <w:left w:val="nil"/>
              <w:bottom w:val="single" w:sz="4" w:space="0" w:color="auto"/>
              <w:right w:val="single" w:sz="4" w:space="0" w:color="auto"/>
            </w:tcBorders>
            <w:noWrap/>
            <w:vAlign w:val="center"/>
            <w:hideMark/>
          </w:tcPr>
          <w:p w14:paraId="2F4529B4"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864</w:t>
            </w:r>
          </w:p>
        </w:tc>
        <w:tc>
          <w:tcPr>
            <w:tcW w:w="3118" w:type="dxa"/>
            <w:tcBorders>
              <w:top w:val="nil"/>
              <w:left w:val="nil"/>
              <w:bottom w:val="single" w:sz="4" w:space="0" w:color="auto"/>
              <w:right w:val="single" w:sz="4" w:space="0" w:color="auto"/>
            </w:tcBorders>
            <w:noWrap/>
            <w:vAlign w:val="center"/>
            <w:hideMark/>
          </w:tcPr>
          <w:p w14:paraId="0B5DACEB"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3,70</w:t>
            </w:r>
          </w:p>
        </w:tc>
      </w:tr>
      <w:tr w:rsidR="00FD7330" w:rsidRPr="00FD7330" w14:paraId="353377AF"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02EA4CB6" w14:textId="77777777" w:rsidR="00FD7330" w:rsidRPr="00FD7330" w:rsidRDefault="00FD7330" w:rsidP="00FD7330">
            <w:pPr>
              <w:rPr>
                <w:rFonts w:ascii="Aptos Narrow" w:hAnsi="Aptos Narrow"/>
                <w:color w:val="000000"/>
              </w:rPr>
            </w:pPr>
            <w:r w:rsidRPr="00FD7330">
              <w:rPr>
                <w:rFonts w:ascii="Aptos Narrow" w:hAnsi="Aptos Narrow"/>
                <w:color w:val="000000"/>
              </w:rPr>
              <w:t>UNI</w:t>
            </w:r>
          </w:p>
        </w:tc>
        <w:tc>
          <w:tcPr>
            <w:tcW w:w="3118" w:type="dxa"/>
            <w:tcBorders>
              <w:top w:val="nil"/>
              <w:left w:val="nil"/>
              <w:bottom w:val="single" w:sz="4" w:space="0" w:color="auto"/>
              <w:right w:val="single" w:sz="4" w:space="0" w:color="auto"/>
            </w:tcBorders>
            <w:noWrap/>
            <w:vAlign w:val="center"/>
            <w:hideMark/>
          </w:tcPr>
          <w:p w14:paraId="718D9E22"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8 001</w:t>
            </w:r>
          </w:p>
        </w:tc>
        <w:tc>
          <w:tcPr>
            <w:tcW w:w="3118" w:type="dxa"/>
            <w:tcBorders>
              <w:top w:val="nil"/>
              <w:left w:val="nil"/>
              <w:bottom w:val="single" w:sz="4" w:space="0" w:color="auto"/>
              <w:right w:val="single" w:sz="4" w:space="0" w:color="auto"/>
            </w:tcBorders>
            <w:noWrap/>
            <w:vAlign w:val="center"/>
            <w:hideMark/>
          </w:tcPr>
          <w:p w14:paraId="60F86B26"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34,28</w:t>
            </w:r>
          </w:p>
        </w:tc>
      </w:tr>
      <w:tr w:rsidR="00FD7330" w:rsidRPr="00FD7330" w14:paraId="71F889EC"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3683155" w14:textId="77777777" w:rsidR="00FD7330" w:rsidRPr="00FD7330" w:rsidRDefault="00FD7330" w:rsidP="00FD7330">
            <w:pPr>
              <w:rPr>
                <w:rFonts w:ascii="Aptos Narrow" w:hAnsi="Aptos Narrow"/>
                <w:color w:val="000000"/>
              </w:rPr>
            </w:pPr>
            <w:r w:rsidRPr="00FD7330">
              <w:rPr>
                <w:rFonts w:ascii="Aptos Narrow" w:hAnsi="Aptos Narrow"/>
                <w:color w:val="000000"/>
              </w:rPr>
              <w:t>Knihovna</w:t>
            </w:r>
          </w:p>
        </w:tc>
        <w:tc>
          <w:tcPr>
            <w:tcW w:w="3118" w:type="dxa"/>
            <w:tcBorders>
              <w:top w:val="nil"/>
              <w:left w:val="nil"/>
              <w:bottom w:val="single" w:sz="4" w:space="0" w:color="auto"/>
              <w:right w:val="single" w:sz="4" w:space="0" w:color="auto"/>
            </w:tcBorders>
            <w:noWrap/>
            <w:vAlign w:val="center"/>
            <w:hideMark/>
          </w:tcPr>
          <w:p w14:paraId="2F39697D"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5</w:t>
            </w:r>
          </w:p>
        </w:tc>
        <w:tc>
          <w:tcPr>
            <w:tcW w:w="3118" w:type="dxa"/>
            <w:tcBorders>
              <w:top w:val="nil"/>
              <w:left w:val="nil"/>
              <w:bottom w:val="single" w:sz="4" w:space="0" w:color="auto"/>
              <w:right w:val="single" w:sz="4" w:space="0" w:color="auto"/>
            </w:tcBorders>
            <w:noWrap/>
            <w:vAlign w:val="center"/>
            <w:hideMark/>
          </w:tcPr>
          <w:p w14:paraId="4890B18F"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0,02</w:t>
            </w:r>
          </w:p>
        </w:tc>
      </w:tr>
      <w:tr w:rsidR="00FD7330" w:rsidRPr="00FD7330" w14:paraId="4B8F7AFF"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66D00DCE" w14:textId="77777777" w:rsidR="00FD7330" w:rsidRPr="00FD7330" w:rsidRDefault="00FD7330" w:rsidP="00FD7330">
            <w:pPr>
              <w:rPr>
                <w:rFonts w:ascii="Aptos Narrow" w:hAnsi="Aptos Narrow"/>
                <w:color w:val="000000"/>
              </w:rPr>
            </w:pPr>
            <w:r w:rsidRPr="00FD7330">
              <w:rPr>
                <w:rFonts w:ascii="Aptos Narrow" w:hAnsi="Aptos Narrow"/>
                <w:color w:val="000000"/>
              </w:rPr>
              <w:t>KMZ</w:t>
            </w:r>
          </w:p>
        </w:tc>
        <w:tc>
          <w:tcPr>
            <w:tcW w:w="3118" w:type="dxa"/>
            <w:tcBorders>
              <w:top w:val="nil"/>
              <w:left w:val="nil"/>
              <w:bottom w:val="single" w:sz="4" w:space="0" w:color="auto"/>
              <w:right w:val="single" w:sz="4" w:space="0" w:color="auto"/>
            </w:tcBorders>
            <w:noWrap/>
            <w:vAlign w:val="center"/>
            <w:hideMark/>
          </w:tcPr>
          <w:p w14:paraId="56AE8767" w14:textId="2E6DD02A" w:rsidR="00FD7330" w:rsidRPr="00FD7330" w:rsidRDefault="00FD7330" w:rsidP="00FD7330">
            <w:pPr>
              <w:jc w:val="right"/>
              <w:rPr>
                <w:rFonts w:ascii="Aptos Narrow" w:hAnsi="Aptos Narrow"/>
                <w:color w:val="000000"/>
              </w:rPr>
            </w:pPr>
            <w:r w:rsidRPr="00FD7330">
              <w:rPr>
                <w:rFonts w:ascii="Aptos Narrow" w:hAnsi="Aptos Narrow"/>
                <w:color w:val="000000"/>
              </w:rPr>
              <w:t>0</w:t>
            </w:r>
            <w:r>
              <w:rPr>
                <w:rFonts w:ascii="Aptos Narrow" w:hAnsi="Aptos Narrow"/>
                <w:color w:val="000000"/>
              </w:rPr>
              <w:t>,00</w:t>
            </w:r>
          </w:p>
        </w:tc>
        <w:tc>
          <w:tcPr>
            <w:tcW w:w="3118" w:type="dxa"/>
            <w:tcBorders>
              <w:top w:val="nil"/>
              <w:left w:val="nil"/>
              <w:bottom w:val="single" w:sz="4" w:space="0" w:color="auto"/>
              <w:right w:val="single" w:sz="4" w:space="0" w:color="auto"/>
            </w:tcBorders>
            <w:noWrap/>
            <w:vAlign w:val="center"/>
            <w:hideMark/>
          </w:tcPr>
          <w:p w14:paraId="008D6605" w14:textId="77777777" w:rsidR="00FD7330" w:rsidRPr="00FD7330" w:rsidRDefault="00FD7330" w:rsidP="00FD7330">
            <w:pPr>
              <w:jc w:val="right"/>
              <w:rPr>
                <w:rFonts w:ascii="Aptos Narrow" w:hAnsi="Aptos Narrow"/>
                <w:color w:val="000000"/>
              </w:rPr>
            </w:pPr>
            <w:r w:rsidRPr="00FD7330">
              <w:rPr>
                <w:rFonts w:ascii="Aptos Narrow" w:hAnsi="Aptos Narrow"/>
                <w:color w:val="000000"/>
              </w:rPr>
              <w:t>0,00</w:t>
            </w:r>
          </w:p>
        </w:tc>
      </w:tr>
      <w:tr w:rsidR="00FD7330" w:rsidRPr="00FD7330" w14:paraId="1FB0A835" w14:textId="77777777" w:rsidTr="00FD7330">
        <w:trPr>
          <w:trHeight w:val="320"/>
        </w:trPr>
        <w:tc>
          <w:tcPr>
            <w:tcW w:w="2835" w:type="dxa"/>
            <w:tcBorders>
              <w:top w:val="nil"/>
              <w:left w:val="single" w:sz="4" w:space="0" w:color="auto"/>
              <w:bottom w:val="single" w:sz="4" w:space="0" w:color="auto"/>
              <w:right w:val="single" w:sz="4" w:space="0" w:color="auto"/>
            </w:tcBorders>
            <w:noWrap/>
            <w:vAlign w:val="center"/>
            <w:hideMark/>
          </w:tcPr>
          <w:p w14:paraId="5A6E76C8" w14:textId="77777777" w:rsidR="00FD7330" w:rsidRPr="00FD7330" w:rsidRDefault="00FD7330" w:rsidP="00FD7330">
            <w:pPr>
              <w:rPr>
                <w:rFonts w:ascii="Aptos Narrow" w:hAnsi="Aptos Narrow"/>
                <w:b/>
                <w:bCs/>
                <w:color w:val="000000"/>
              </w:rPr>
            </w:pPr>
            <w:r w:rsidRPr="00FD7330">
              <w:rPr>
                <w:rFonts w:ascii="Aptos Narrow" w:hAnsi="Aptos Narrow"/>
                <w:b/>
                <w:bCs/>
                <w:color w:val="000000"/>
              </w:rPr>
              <w:t>Celkem</w:t>
            </w:r>
          </w:p>
        </w:tc>
        <w:tc>
          <w:tcPr>
            <w:tcW w:w="3118" w:type="dxa"/>
            <w:tcBorders>
              <w:top w:val="nil"/>
              <w:left w:val="nil"/>
              <w:bottom w:val="single" w:sz="4" w:space="0" w:color="auto"/>
              <w:right w:val="single" w:sz="4" w:space="0" w:color="auto"/>
            </w:tcBorders>
            <w:noWrap/>
            <w:vAlign w:val="center"/>
            <w:hideMark/>
          </w:tcPr>
          <w:p w14:paraId="5ACFBC68" w14:textId="77777777" w:rsidR="00FD7330" w:rsidRPr="00FD7330" w:rsidRDefault="00FD7330" w:rsidP="00FD7330">
            <w:pPr>
              <w:jc w:val="right"/>
              <w:rPr>
                <w:rFonts w:ascii="Aptos Narrow" w:hAnsi="Aptos Narrow"/>
                <w:b/>
                <w:bCs/>
                <w:color w:val="000000"/>
              </w:rPr>
            </w:pPr>
            <w:r w:rsidRPr="00FD7330">
              <w:rPr>
                <w:rFonts w:ascii="Aptos Narrow" w:hAnsi="Aptos Narrow"/>
                <w:b/>
                <w:bCs/>
                <w:color w:val="000000"/>
              </w:rPr>
              <w:t>23 340</w:t>
            </w:r>
          </w:p>
        </w:tc>
        <w:tc>
          <w:tcPr>
            <w:tcW w:w="3118" w:type="dxa"/>
            <w:tcBorders>
              <w:top w:val="nil"/>
              <w:left w:val="nil"/>
              <w:bottom w:val="single" w:sz="4" w:space="0" w:color="auto"/>
              <w:right w:val="single" w:sz="4" w:space="0" w:color="auto"/>
            </w:tcBorders>
            <w:noWrap/>
            <w:vAlign w:val="center"/>
            <w:hideMark/>
          </w:tcPr>
          <w:p w14:paraId="6E7BD53E" w14:textId="77777777" w:rsidR="00FD7330" w:rsidRPr="00FD7330" w:rsidRDefault="00FD7330" w:rsidP="00FD7330">
            <w:pPr>
              <w:jc w:val="right"/>
              <w:rPr>
                <w:rFonts w:ascii="Aptos Narrow" w:hAnsi="Aptos Narrow"/>
                <w:b/>
                <w:bCs/>
                <w:color w:val="000000"/>
              </w:rPr>
            </w:pPr>
            <w:r w:rsidRPr="00FD7330">
              <w:rPr>
                <w:rFonts w:ascii="Aptos Narrow" w:hAnsi="Aptos Narrow"/>
                <w:b/>
                <w:bCs/>
                <w:color w:val="000000"/>
              </w:rPr>
              <w:t>100,00</w:t>
            </w:r>
          </w:p>
        </w:tc>
      </w:tr>
    </w:tbl>
    <w:p w14:paraId="3DEFED69" w14:textId="77777777" w:rsidR="0080686D" w:rsidRDefault="0080686D" w:rsidP="00E8532A"/>
    <w:p w14:paraId="7F057403" w14:textId="77777777" w:rsidR="00515288" w:rsidRDefault="00390512" w:rsidP="00515288">
      <w:pPr>
        <w:pStyle w:val="RozpoetNadpis3"/>
      </w:pPr>
      <w:bookmarkStart w:id="26" w:name="_Toc228824337"/>
      <w:r>
        <w:t>Indikátor v</w:t>
      </w:r>
      <w:r w:rsidR="00515288">
        <w:t>ýsledky projektů</w:t>
      </w:r>
      <w:bookmarkEnd w:id="26"/>
    </w:p>
    <w:p w14:paraId="6AE523BE" w14:textId="77777777" w:rsidR="00306B46" w:rsidRPr="000A20AA" w:rsidRDefault="00306B46" w:rsidP="00306B46">
      <w:pPr>
        <w:pStyle w:val="RozpocetOdstavec"/>
      </w:pPr>
      <w:r w:rsidRPr="000A20AA">
        <w:t>Indikátor výsledky projektů představují podíl součásti na výsledcích hodnocení UTB                        ve výzkumu, experimentálním vývoji a inovacích, zahrnující výši neinvestičních účelových prostředků na grantové nebo programové projekty výzkumu a vývoje (včetně spoluřešitelských), vyjma prostředků z Národního programu udržitelnosti I a II. Započítány budou prostředky za roky 2024, 2023, 2022 s v</w:t>
      </w:r>
      <w:r w:rsidRPr="000A20AA">
        <w:rPr>
          <w:rFonts w:hint="eastAsia"/>
        </w:rPr>
        <w:t>á</w:t>
      </w:r>
      <w:r w:rsidRPr="000A20AA">
        <w:t>hami 5:3:2.</w:t>
      </w:r>
    </w:p>
    <w:p w14:paraId="4E29A2B7" w14:textId="77777777" w:rsidR="00FC0DE7" w:rsidRDefault="00FC0DE7" w:rsidP="00306B46">
      <w:pPr>
        <w:pStyle w:val="RozpocetOdstavec"/>
        <w:rPr>
          <w:color w:val="00B050"/>
        </w:rPr>
      </w:pPr>
    </w:p>
    <w:tbl>
      <w:tblPr>
        <w:tblW w:w="9070" w:type="dxa"/>
        <w:tblLook w:val="04A0" w:firstRow="1" w:lastRow="0" w:firstColumn="1" w:lastColumn="0" w:noHBand="0" w:noVBand="1"/>
      </w:tblPr>
      <w:tblGrid>
        <w:gridCol w:w="1531"/>
        <w:gridCol w:w="1247"/>
        <w:gridCol w:w="1247"/>
        <w:gridCol w:w="1247"/>
        <w:gridCol w:w="1814"/>
        <w:gridCol w:w="1984"/>
      </w:tblGrid>
      <w:tr w:rsidR="00FC0DE7" w:rsidRPr="00FC0DE7" w14:paraId="27828791" w14:textId="77777777" w:rsidTr="00FC0DE7">
        <w:trPr>
          <w:trHeight w:val="320"/>
        </w:trPr>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56F7AB" w14:textId="6AD8F2C9" w:rsidR="00FC0DE7" w:rsidRPr="00FC0DE7" w:rsidRDefault="00FC0DE7" w:rsidP="00FC0DE7">
            <w:pPr>
              <w:jc w:val="center"/>
              <w:rPr>
                <w:rFonts w:ascii="Aptos Narrow" w:hAnsi="Aptos Narrow"/>
                <w:b/>
                <w:bCs/>
                <w:color w:val="000000"/>
              </w:rPr>
            </w:pPr>
            <w:r>
              <w:rPr>
                <w:rFonts w:ascii="Aptos Narrow" w:hAnsi="Aptos Narrow"/>
                <w:b/>
                <w:bCs/>
                <w:color w:val="000000"/>
              </w:rPr>
              <w:t>Součást</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683783"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2022</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264EA5"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2023</w:t>
            </w:r>
          </w:p>
        </w:tc>
        <w:tc>
          <w:tcPr>
            <w:tcW w:w="12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A3D04F"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2024</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7B1B4D"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projektů</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D32013"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projektů v %</w:t>
            </w:r>
          </w:p>
        </w:tc>
      </w:tr>
      <w:tr w:rsidR="00FC0DE7" w:rsidRPr="00FC0DE7" w14:paraId="5254CFC8"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55979985" w14:textId="77777777" w:rsidR="00FC0DE7" w:rsidRPr="00FC0DE7" w:rsidRDefault="00FC0DE7" w:rsidP="00FC0DE7">
            <w:pPr>
              <w:rPr>
                <w:rFonts w:ascii="Aptos Narrow" w:hAnsi="Aptos Narrow"/>
                <w:color w:val="000000"/>
              </w:rPr>
            </w:pPr>
            <w:r w:rsidRPr="00FC0DE7">
              <w:rPr>
                <w:rFonts w:ascii="Aptos Narrow" w:hAnsi="Aptos Narrow"/>
                <w:color w:val="000000"/>
              </w:rPr>
              <w:t>FT</w:t>
            </w:r>
          </w:p>
        </w:tc>
        <w:tc>
          <w:tcPr>
            <w:tcW w:w="1247" w:type="dxa"/>
            <w:tcBorders>
              <w:top w:val="nil"/>
              <w:left w:val="nil"/>
              <w:bottom w:val="single" w:sz="4" w:space="0" w:color="auto"/>
              <w:right w:val="single" w:sz="4" w:space="0" w:color="auto"/>
            </w:tcBorders>
            <w:vAlign w:val="center"/>
            <w:hideMark/>
          </w:tcPr>
          <w:p w14:paraId="33E966F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5 469</w:t>
            </w:r>
          </w:p>
        </w:tc>
        <w:tc>
          <w:tcPr>
            <w:tcW w:w="1247" w:type="dxa"/>
            <w:tcBorders>
              <w:top w:val="nil"/>
              <w:left w:val="nil"/>
              <w:bottom w:val="single" w:sz="4" w:space="0" w:color="auto"/>
              <w:right w:val="single" w:sz="4" w:space="0" w:color="auto"/>
            </w:tcBorders>
            <w:vAlign w:val="center"/>
            <w:hideMark/>
          </w:tcPr>
          <w:p w14:paraId="1C20284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8 421</w:t>
            </w:r>
          </w:p>
        </w:tc>
        <w:tc>
          <w:tcPr>
            <w:tcW w:w="1247" w:type="dxa"/>
            <w:tcBorders>
              <w:top w:val="nil"/>
              <w:left w:val="nil"/>
              <w:bottom w:val="single" w:sz="4" w:space="0" w:color="auto"/>
              <w:right w:val="single" w:sz="4" w:space="0" w:color="auto"/>
            </w:tcBorders>
            <w:vAlign w:val="center"/>
            <w:hideMark/>
          </w:tcPr>
          <w:p w14:paraId="18B568F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12 368</w:t>
            </w:r>
          </w:p>
        </w:tc>
        <w:tc>
          <w:tcPr>
            <w:tcW w:w="1814" w:type="dxa"/>
            <w:tcBorders>
              <w:top w:val="nil"/>
              <w:left w:val="nil"/>
              <w:bottom w:val="single" w:sz="4" w:space="0" w:color="auto"/>
              <w:right w:val="single" w:sz="4" w:space="0" w:color="auto"/>
            </w:tcBorders>
            <w:noWrap/>
            <w:vAlign w:val="center"/>
            <w:hideMark/>
          </w:tcPr>
          <w:p w14:paraId="028857F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9 804</w:t>
            </w:r>
          </w:p>
        </w:tc>
        <w:tc>
          <w:tcPr>
            <w:tcW w:w="1984" w:type="dxa"/>
            <w:tcBorders>
              <w:top w:val="nil"/>
              <w:left w:val="nil"/>
              <w:bottom w:val="single" w:sz="4" w:space="0" w:color="auto"/>
              <w:right w:val="single" w:sz="4" w:space="0" w:color="auto"/>
            </w:tcBorders>
            <w:noWrap/>
            <w:vAlign w:val="center"/>
            <w:hideMark/>
          </w:tcPr>
          <w:p w14:paraId="43A2A9B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8,48</w:t>
            </w:r>
          </w:p>
        </w:tc>
      </w:tr>
      <w:tr w:rsidR="00FC0DE7" w:rsidRPr="00FC0DE7" w14:paraId="564ECFDB"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1AB40C64" w14:textId="77777777" w:rsidR="00FC0DE7" w:rsidRPr="00FC0DE7" w:rsidRDefault="00FC0DE7" w:rsidP="00FC0DE7">
            <w:pPr>
              <w:rPr>
                <w:rFonts w:ascii="Aptos Narrow" w:hAnsi="Aptos Narrow"/>
                <w:color w:val="000000"/>
              </w:rPr>
            </w:pPr>
            <w:r w:rsidRPr="00FC0DE7">
              <w:rPr>
                <w:rFonts w:ascii="Aptos Narrow" w:hAnsi="Aptos Narrow"/>
                <w:color w:val="000000"/>
              </w:rPr>
              <w:t>FLKŘ</w:t>
            </w:r>
          </w:p>
        </w:tc>
        <w:tc>
          <w:tcPr>
            <w:tcW w:w="1247" w:type="dxa"/>
            <w:tcBorders>
              <w:top w:val="nil"/>
              <w:left w:val="nil"/>
              <w:bottom w:val="single" w:sz="4" w:space="0" w:color="auto"/>
              <w:right w:val="single" w:sz="4" w:space="0" w:color="auto"/>
            </w:tcBorders>
            <w:vAlign w:val="center"/>
            <w:hideMark/>
          </w:tcPr>
          <w:p w14:paraId="084C1EE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5 026</w:t>
            </w:r>
          </w:p>
        </w:tc>
        <w:tc>
          <w:tcPr>
            <w:tcW w:w="1247" w:type="dxa"/>
            <w:tcBorders>
              <w:top w:val="nil"/>
              <w:left w:val="nil"/>
              <w:bottom w:val="single" w:sz="4" w:space="0" w:color="auto"/>
              <w:right w:val="single" w:sz="4" w:space="0" w:color="auto"/>
            </w:tcBorders>
            <w:vAlign w:val="center"/>
            <w:hideMark/>
          </w:tcPr>
          <w:p w14:paraId="6B4AAE87"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1 653</w:t>
            </w:r>
          </w:p>
        </w:tc>
        <w:tc>
          <w:tcPr>
            <w:tcW w:w="1247" w:type="dxa"/>
            <w:tcBorders>
              <w:top w:val="nil"/>
              <w:left w:val="nil"/>
              <w:bottom w:val="single" w:sz="4" w:space="0" w:color="auto"/>
              <w:right w:val="single" w:sz="4" w:space="0" w:color="auto"/>
            </w:tcBorders>
            <w:vAlign w:val="center"/>
            <w:hideMark/>
          </w:tcPr>
          <w:p w14:paraId="2B1661B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814" w:type="dxa"/>
            <w:tcBorders>
              <w:top w:val="nil"/>
              <w:left w:val="nil"/>
              <w:bottom w:val="single" w:sz="4" w:space="0" w:color="auto"/>
              <w:right w:val="single" w:sz="4" w:space="0" w:color="auto"/>
            </w:tcBorders>
            <w:noWrap/>
            <w:vAlign w:val="center"/>
            <w:hideMark/>
          </w:tcPr>
          <w:p w14:paraId="14B04A5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1 501</w:t>
            </w:r>
          </w:p>
        </w:tc>
        <w:tc>
          <w:tcPr>
            <w:tcW w:w="1984" w:type="dxa"/>
            <w:tcBorders>
              <w:top w:val="nil"/>
              <w:left w:val="nil"/>
              <w:bottom w:val="single" w:sz="4" w:space="0" w:color="auto"/>
              <w:right w:val="single" w:sz="4" w:space="0" w:color="auto"/>
            </w:tcBorders>
            <w:noWrap/>
            <w:vAlign w:val="center"/>
            <w:hideMark/>
          </w:tcPr>
          <w:p w14:paraId="4A205AF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1,30</w:t>
            </w:r>
          </w:p>
        </w:tc>
      </w:tr>
      <w:tr w:rsidR="00FC0DE7" w:rsidRPr="00FC0DE7" w14:paraId="6A399267"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2888F6C0" w14:textId="77777777" w:rsidR="00FC0DE7" w:rsidRPr="00FC0DE7" w:rsidRDefault="00FC0DE7" w:rsidP="00FC0DE7">
            <w:pPr>
              <w:rPr>
                <w:rFonts w:ascii="Aptos Narrow" w:hAnsi="Aptos Narrow"/>
                <w:color w:val="000000"/>
              </w:rPr>
            </w:pPr>
            <w:r w:rsidRPr="00FC0DE7">
              <w:rPr>
                <w:rFonts w:ascii="Aptos Narrow" w:hAnsi="Aptos Narrow"/>
                <w:color w:val="000000"/>
              </w:rPr>
              <w:t>FAI</w:t>
            </w:r>
          </w:p>
        </w:tc>
        <w:tc>
          <w:tcPr>
            <w:tcW w:w="1247" w:type="dxa"/>
            <w:tcBorders>
              <w:top w:val="nil"/>
              <w:left w:val="nil"/>
              <w:bottom w:val="single" w:sz="4" w:space="0" w:color="auto"/>
              <w:right w:val="single" w:sz="4" w:space="0" w:color="auto"/>
            </w:tcBorders>
            <w:vAlign w:val="center"/>
            <w:hideMark/>
          </w:tcPr>
          <w:p w14:paraId="296EF6B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12 688</w:t>
            </w:r>
          </w:p>
        </w:tc>
        <w:tc>
          <w:tcPr>
            <w:tcW w:w="1247" w:type="dxa"/>
            <w:tcBorders>
              <w:top w:val="nil"/>
              <w:left w:val="nil"/>
              <w:bottom w:val="single" w:sz="4" w:space="0" w:color="auto"/>
              <w:right w:val="single" w:sz="4" w:space="0" w:color="auto"/>
            </w:tcBorders>
            <w:vAlign w:val="center"/>
            <w:hideMark/>
          </w:tcPr>
          <w:p w14:paraId="20FAE76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11 544</w:t>
            </w:r>
          </w:p>
        </w:tc>
        <w:tc>
          <w:tcPr>
            <w:tcW w:w="1247" w:type="dxa"/>
            <w:tcBorders>
              <w:top w:val="nil"/>
              <w:left w:val="nil"/>
              <w:bottom w:val="single" w:sz="4" w:space="0" w:color="auto"/>
              <w:right w:val="single" w:sz="4" w:space="0" w:color="auto"/>
            </w:tcBorders>
            <w:vAlign w:val="center"/>
            <w:hideMark/>
          </w:tcPr>
          <w:p w14:paraId="548D157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8 844</w:t>
            </w:r>
          </w:p>
        </w:tc>
        <w:tc>
          <w:tcPr>
            <w:tcW w:w="1814" w:type="dxa"/>
            <w:tcBorders>
              <w:top w:val="nil"/>
              <w:left w:val="nil"/>
              <w:bottom w:val="single" w:sz="4" w:space="0" w:color="auto"/>
              <w:right w:val="single" w:sz="4" w:space="0" w:color="auto"/>
            </w:tcBorders>
            <w:noWrap/>
            <w:vAlign w:val="center"/>
            <w:hideMark/>
          </w:tcPr>
          <w:p w14:paraId="437E54E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10 423</w:t>
            </w:r>
          </w:p>
        </w:tc>
        <w:tc>
          <w:tcPr>
            <w:tcW w:w="1984" w:type="dxa"/>
            <w:tcBorders>
              <w:top w:val="nil"/>
              <w:left w:val="nil"/>
              <w:bottom w:val="single" w:sz="4" w:space="0" w:color="auto"/>
              <w:right w:val="single" w:sz="4" w:space="0" w:color="auto"/>
            </w:tcBorders>
            <w:noWrap/>
            <w:vAlign w:val="center"/>
            <w:hideMark/>
          </w:tcPr>
          <w:p w14:paraId="608BB207"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9,02</w:t>
            </w:r>
          </w:p>
        </w:tc>
      </w:tr>
      <w:tr w:rsidR="00FC0DE7" w:rsidRPr="00FC0DE7" w14:paraId="09F3C9A5"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3DB26DC8" w14:textId="77777777" w:rsidR="00FC0DE7" w:rsidRPr="00FC0DE7" w:rsidRDefault="00FC0DE7" w:rsidP="00FC0DE7">
            <w:pPr>
              <w:rPr>
                <w:rFonts w:ascii="Aptos Narrow" w:hAnsi="Aptos Narrow"/>
                <w:color w:val="000000"/>
              </w:rPr>
            </w:pPr>
            <w:r w:rsidRPr="00FC0DE7">
              <w:rPr>
                <w:rFonts w:ascii="Aptos Narrow" w:hAnsi="Aptos Narrow"/>
                <w:color w:val="000000"/>
              </w:rPr>
              <w:t>FMK</w:t>
            </w:r>
          </w:p>
        </w:tc>
        <w:tc>
          <w:tcPr>
            <w:tcW w:w="1247" w:type="dxa"/>
            <w:tcBorders>
              <w:top w:val="nil"/>
              <w:left w:val="nil"/>
              <w:bottom w:val="single" w:sz="4" w:space="0" w:color="auto"/>
              <w:right w:val="single" w:sz="4" w:space="0" w:color="auto"/>
            </w:tcBorders>
            <w:vAlign w:val="center"/>
            <w:hideMark/>
          </w:tcPr>
          <w:p w14:paraId="012A6ED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4 739</w:t>
            </w:r>
          </w:p>
        </w:tc>
        <w:tc>
          <w:tcPr>
            <w:tcW w:w="1247" w:type="dxa"/>
            <w:tcBorders>
              <w:top w:val="nil"/>
              <w:left w:val="nil"/>
              <w:bottom w:val="single" w:sz="4" w:space="0" w:color="auto"/>
              <w:right w:val="single" w:sz="4" w:space="0" w:color="auto"/>
            </w:tcBorders>
            <w:vAlign w:val="center"/>
            <w:hideMark/>
          </w:tcPr>
          <w:p w14:paraId="53EC12F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644</w:t>
            </w:r>
          </w:p>
        </w:tc>
        <w:tc>
          <w:tcPr>
            <w:tcW w:w="1247" w:type="dxa"/>
            <w:tcBorders>
              <w:top w:val="nil"/>
              <w:left w:val="nil"/>
              <w:bottom w:val="single" w:sz="4" w:space="0" w:color="auto"/>
              <w:right w:val="single" w:sz="4" w:space="0" w:color="auto"/>
            </w:tcBorders>
            <w:vAlign w:val="center"/>
            <w:hideMark/>
          </w:tcPr>
          <w:p w14:paraId="22A153A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2 072</w:t>
            </w:r>
          </w:p>
        </w:tc>
        <w:tc>
          <w:tcPr>
            <w:tcW w:w="1814" w:type="dxa"/>
            <w:tcBorders>
              <w:top w:val="nil"/>
              <w:left w:val="nil"/>
              <w:bottom w:val="single" w:sz="4" w:space="0" w:color="auto"/>
              <w:right w:val="single" w:sz="4" w:space="0" w:color="auto"/>
            </w:tcBorders>
            <w:noWrap/>
            <w:vAlign w:val="center"/>
            <w:hideMark/>
          </w:tcPr>
          <w:p w14:paraId="2213B1A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2 177</w:t>
            </w:r>
          </w:p>
        </w:tc>
        <w:tc>
          <w:tcPr>
            <w:tcW w:w="1984" w:type="dxa"/>
            <w:tcBorders>
              <w:top w:val="nil"/>
              <w:left w:val="nil"/>
              <w:bottom w:val="single" w:sz="4" w:space="0" w:color="auto"/>
              <w:right w:val="single" w:sz="4" w:space="0" w:color="auto"/>
            </w:tcBorders>
            <w:noWrap/>
            <w:vAlign w:val="center"/>
            <w:hideMark/>
          </w:tcPr>
          <w:p w14:paraId="6893D23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1,88</w:t>
            </w:r>
          </w:p>
        </w:tc>
      </w:tr>
      <w:tr w:rsidR="00FC0DE7" w:rsidRPr="00FC0DE7" w14:paraId="1ECF1AD0"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688B6D9F" w14:textId="77777777" w:rsidR="00FC0DE7" w:rsidRPr="00FC0DE7" w:rsidRDefault="00FC0DE7" w:rsidP="00FC0DE7">
            <w:pPr>
              <w:rPr>
                <w:rFonts w:ascii="Aptos Narrow" w:hAnsi="Aptos Narrow"/>
                <w:color w:val="000000"/>
              </w:rPr>
            </w:pPr>
            <w:r w:rsidRPr="00FC0DE7">
              <w:rPr>
                <w:rFonts w:ascii="Aptos Narrow" w:hAnsi="Aptos Narrow"/>
                <w:color w:val="000000"/>
              </w:rPr>
              <w:t>FaME</w:t>
            </w:r>
          </w:p>
        </w:tc>
        <w:tc>
          <w:tcPr>
            <w:tcW w:w="1247" w:type="dxa"/>
            <w:tcBorders>
              <w:top w:val="nil"/>
              <w:left w:val="nil"/>
              <w:bottom w:val="single" w:sz="4" w:space="0" w:color="auto"/>
              <w:right w:val="single" w:sz="4" w:space="0" w:color="auto"/>
            </w:tcBorders>
            <w:vAlign w:val="center"/>
            <w:hideMark/>
          </w:tcPr>
          <w:p w14:paraId="47F94CD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4 781</w:t>
            </w:r>
          </w:p>
        </w:tc>
        <w:tc>
          <w:tcPr>
            <w:tcW w:w="1247" w:type="dxa"/>
            <w:tcBorders>
              <w:top w:val="nil"/>
              <w:left w:val="nil"/>
              <w:bottom w:val="single" w:sz="4" w:space="0" w:color="auto"/>
              <w:right w:val="single" w:sz="4" w:space="0" w:color="auto"/>
            </w:tcBorders>
            <w:vAlign w:val="center"/>
            <w:hideMark/>
          </w:tcPr>
          <w:p w14:paraId="4204E8E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5 171</w:t>
            </w:r>
          </w:p>
        </w:tc>
        <w:tc>
          <w:tcPr>
            <w:tcW w:w="1247" w:type="dxa"/>
            <w:tcBorders>
              <w:top w:val="nil"/>
              <w:left w:val="nil"/>
              <w:bottom w:val="single" w:sz="4" w:space="0" w:color="auto"/>
              <w:right w:val="single" w:sz="4" w:space="0" w:color="auto"/>
            </w:tcBorders>
            <w:vAlign w:val="center"/>
            <w:hideMark/>
          </w:tcPr>
          <w:p w14:paraId="516702B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5 393</w:t>
            </w:r>
          </w:p>
        </w:tc>
        <w:tc>
          <w:tcPr>
            <w:tcW w:w="1814" w:type="dxa"/>
            <w:tcBorders>
              <w:top w:val="nil"/>
              <w:left w:val="nil"/>
              <w:bottom w:val="single" w:sz="4" w:space="0" w:color="auto"/>
              <w:right w:val="single" w:sz="4" w:space="0" w:color="auto"/>
            </w:tcBorders>
            <w:noWrap/>
            <w:vAlign w:val="center"/>
            <w:hideMark/>
          </w:tcPr>
          <w:p w14:paraId="77DFED6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5 204</w:t>
            </w:r>
          </w:p>
        </w:tc>
        <w:tc>
          <w:tcPr>
            <w:tcW w:w="1984" w:type="dxa"/>
            <w:tcBorders>
              <w:top w:val="nil"/>
              <w:left w:val="nil"/>
              <w:bottom w:val="single" w:sz="4" w:space="0" w:color="auto"/>
              <w:right w:val="single" w:sz="4" w:space="0" w:color="auto"/>
            </w:tcBorders>
            <w:noWrap/>
            <w:vAlign w:val="center"/>
            <w:hideMark/>
          </w:tcPr>
          <w:p w14:paraId="64A4BC0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4,50</w:t>
            </w:r>
          </w:p>
        </w:tc>
      </w:tr>
      <w:tr w:rsidR="00FC0DE7" w:rsidRPr="00FC0DE7" w14:paraId="6D57E4E9"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0A445A1C" w14:textId="77777777" w:rsidR="00FC0DE7" w:rsidRPr="00FC0DE7" w:rsidRDefault="00FC0DE7" w:rsidP="00FC0DE7">
            <w:pPr>
              <w:rPr>
                <w:rFonts w:ascii="Aptos Narrow" w:hAnsi="Aptos Narrow"/>
                <w:color w:val="000000"/>
              </w:rPr>
            </w:pPr>
            <w:r w:rsidRPr="00FC0DE7">
              <w:rPr>
                <w:rFonts w:ascii="Aptos Narrow" w:hAnsi="Aptos Narrow"/>
                <w:color w:val="000000"/>
              </w:rPr>
              <w:t>FHS</w:t>
            </w:r>
          </w:p>
        </w:tc>
        <w:tc>
          <w:tcPr>
            <w:tcW w:w="1247" w:type="dxa"/>
            <w:tcBorders>
              <w:top w:val="nil"/>
              <w:left w:val="nil"/>
              <w:bottom w:val="single" w:sz="4" w:space="0" w:color="auto"/>
              <w:right w:val="single" w:sz="4" w:space="0" w:color="auto"/>
            </w:tcBorders>
            <w:vAlign w:val="center"/>
            <w:hideMark/>
          </w:tcPr>
          <w:p w14:paraId="7B418EA7"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1 068</w:t>
            </w:r>
          </w:p>
        </w:tc>
        <w:tc>
          <w:tcPr>
            <w:tcW w:w="1247" w:type="dxa"/>
            <w:tcBorders>
              <w:top w:val="nil"/>
              <w:left w:val="nil"/>
              <w:bottom w:val="single" w:sz="4" w:space="0" w:color="auto"/>
              <w:right w:val="single" w:sz="4" w:space="0" w:color="auto"/>
            </w:tcBorders>
            <w:vAlign w:val="center"/>
            <w:hideMark/>
          </w:tcPr>
          <w:p w14:paraId="1D0A9C8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386</w:t>
            </w:r>
          </w:p>
        </w:tc>
        <w:tc>
          <w:tcPr>
            <w:tcW w:w="1247" w:type="dxa"/>
            <w:tcBorders>
              <w:top w:val="nil"/>
              <w:left w:val="nil"/>
              <w:bottom w:val="single" w:sz="4" w:space="0" w:color="auto"/>
              <w:right w:val="single" w:sz="4" w:space="0" w:color="auto"/>
            </w:tcBorders>
            <w:vAlign w:val="center"/>
            <w:hideMark/>
          </w:tcPr>
          <w:p w14:paraId="3B22895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2 097</w:t>
            </w:r>
          </w:p>
        </w:tc>
        <w:tc>
          <w:tcPr>
            <w:tcW w:w="1814" w:type="dxa"/>
            <w:tcBorders>
              <w:top w:val="nil"/>
              <w:left w:val="nil"/>
              <w:bottom w:val="single" w:sz="4" w:space="0" w:color="auto"/>
              <w:right w:val="single" w:sz="4" w:space="0" w:color="auto"/>
            </w:tcBorders>
            <w:noWrap/>
            <w:vAlign w:val="center"/>
            <w:hideMark/>
          </w:tcPr>
          <w:p w14:paraId="36FB498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1 378</w:t>
            </w:r>
          </w:p>
        </w:tc>
        <w:tc>
          <w:tcPr>
            <w:tcW w:w="1984" w:type="dxa"/>
            <w:tcBorders>
              <w:top w:val="nil"/>
              <w:left w:val="nil"/>
              <w:bottom w:val="single" w:sz="4" w:space="0" w:color="auto"/>
              <w:right w:val="single" w:sz="4" w:space="0" w:color="auto"/>
            </w:tcBorders>
            <w:noWrap/>
            <w:vAlign w:val="center"/>
            <w:hideMark/>
          </w:tcPr>
          <w:p w14:paraId="613FF2F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1,19</w:t>
            </w:r>
          </w:p>
        </w:tc>
      </w:tr>
      <w:tr w:rsidR="00FC0DE7" w:rsidRPr="00FC0DE7" w14:paraId="36FA88E7"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5FF5A4EC" w14:textId="77777777" w:rsidR="00FC0DE7" w:rsidRPr="00FC0DE7" w:rsidRDefault="00FC0DE7" w:rsidP="00FC0DE7">
            <w:pPr>
              <w:rPr>
                <w:rFonts w:ascii="Aptos Narrow" w:hAnsi="Aptos Narrow"/>
                <w:color w:val="000000"/>
              </w:rPr>
            </w:pPr>
            <w:r w:rsidRPr="00FC0DE7">
              <w:rPr>
                <w:rFonts w:ascii="Aptos Narrow" w:hAnsi="Aptos Narrow"/>
                <w:color w:val="000000"/>
              </w:rPr>
              <w:t>UNI</w:t>
            </w:r>
          </w:p>
        </w:tc>
        <w:tc>
          <w:tcPr>
            <w:tcW w:w="1247" w:type="dxa"/>
            <w:tcBorders>
              <w:top w:val="nil"/>
              <w:left w:val="nil"/>
              <w:bottom w:val="single" w:sz="4" w:space="0" w:color="auto"/>
              <w:right w:val="single" w:sz="4" w:space="0" w:color="auto"/>
            </w:tcBorders>
            <w:vAlign w:val="center"/>
            <w:hideMark/>
          </w:tcPr>
          <w:p w14:paraId="6DC4C95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19 225</w:t>
            </w:r>
          </w:p>
        </w:tc>
        <w:tc>
          <w:tcPr>
            <w:tcW w:w="1247" w:type="dxa"/>
            <w:tcBorders>
              <w:top w:val="nil"/>
              <w:left w:val="nil"/>
              <w:bottom w:val="single" w:sz="4" w:space="0" w:color="auto"/>
              <w:right w:val="single" w:sz="4" w:space="0" w:color="auto"/>
            </w:tcBorders>
            <w:vAlign w:val="center"/>
            <w:hideMark/>
          </w:tcPr>
          <w:p w14:paraId="316C5BF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87 053</w:t>
            </w:r>
          </w:p>
        </w:tc>
        <w:tc>
          <w:tcPr>
            <w:tcW w:w="1247" w:type="dxa"/>
            <w:tcBorders>
              <w:top w:val="nil"/>
              <w:left w:val="nil"/>
              <w:bottom w:val="single" w:sz="4" w:space="0" w:color="auto"/>
              <w:right w:val="single" w:sz="4" w:space="0" w:color="auto"/>
            </w:tcBorders>
            <w:vAlign w:val="center"/>
            <w:hideMark/>
          </w:tcPr>
          <w:p w14:paraId="2510819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109 946</w:t>
            </w:r>
          </w:p>
        </w:tc>
        <w:tc>
          <w:tcPr>
            <w:tcW w:w="1814" w:type="dxa"/>
            <w:tcBorders>
              <w:top w:val="nil"/>
              <w:left w:val="nil"/>
              <w:bottom w:val="single" w:sz="4" w:space="0" w:color="auto"/>
              <w:right w:val="single" w:sz="4" w:space="0" w:color="auto"/>
            </w:tcBorders>
            <w:noWrap/>
            <w:vAlign w:val="center"/>
            <w:hideMark/>
          </w:tcPr>
          <w:p w14:paraId="0547A76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84 934</w:t>
            </w:r>
          </w:p>
        </w:tc>
        <w:tc>
          <w:tcPr>
            <w:tcW w:w="1984" w:type="dxa"/>
            <w:tcBorders>
              <w:top w:val="nil"/>
              <w:left w:val="nil"/>
              <w:bottom w:val="single" w:sz="4" w:space="0" w:color="auto"/>
              <w:right w:val="single" w:sz="4" w:space="0" w:color="auto"/>
            </w:tcBorders>
            <w:noWrap/>
            <w:vAlign w:val="center"/>
            <w:hideMark/>
          </w:tcPr>
          <w:p w14:paraId="28ED69A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73,48</w:t>
            </w:r>
          </w:p>
        </w:tc>
      </w:tr>
      <w:tr w:rsidR="00FC0DE7" w:rsidRPr="00FC0DE7" w14:paraId="3674B757"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7048C7A2" w14:textId="77777777" w:rsidR="00FC0DE7" w:rsidRPr="00FC0DE7" w:rsidRDefault="00FC0DE7" w:rsidP="00FC0DE7">
            <w:pPr>
              <w:rPr>
                <w:rFonts w:ascii="Aptos Narrow" w:hAnsi="Aptos Narrow"/>
                <w:color w:val="000000"/>
              </w:rPr>
            </w:pPr>
            <w:r w:rsidRPr="00FC0DE7">
              <w:rPr>
                <w:rFonts w:ascii="Aptos Narrow" w:hAnsi="Aptos Narrow"/>
                <w:color w:val="000000"/>
              </w:rPr>
              <w:t>Knihovna</w:t>
            </w:r>
          </w:p>
        </w:tc>
        <w:tc>
          <w:tcPr>
            <w:tcW w:w="1247" w:type="dxa"/>
            <w:tcBorders>
              <w:top w:val="nil"/>
              <w:left w:val="nil"/>
              <w:bottom w:val="single" w:sz="4" w:space="0" w:color="auto"/>
              <w:right w:val="single" w:sz="4" w:space="0" w:color="auto"/>
            </w:tcBorders>
            <w:vAlign w:val="center"/>
            <w:hideMark/>
          </w:tcPr>
          <w:p w14:paraId="331F84F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247" w:type="dxa"/>
            <w:tcBorders>
              <w:top w:val="nil"/>
              <w:left w:val="nil"/>
              <w:bottom w:val="single" w:sz="4" w:space="0" w:color="auto"/>
              <w:right w:val="single" w:sz="4" w:space="0" w:color="auto"/>
            </w:tcBorders>
            <w:vAlign w:val="center"/>
            <w:hideMark/>
          </w:tcPr>
          <w:p w14:paraId="5B3BEB6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101</w:t>
            </w:r>
          </w:p>
        </w:tc>
        <w:tc>
          <w:tcPr>
            <w:tcW w:w="1247" w:type="dxa"/>
            <w:tcBorders>
              <w:top w:val="nil"/>
              <w:left w:val="nil"/>
              <w:bottom w:val="single" w:sz="4" w:space="0" w:color="auto"/>
              <w:right w:val="single" w:sz="4" w:space="0" w:color="auto"/>
            </w:tcBorders>
            <w:vAlign w:val="center"/>
            <w:hideMark/>
          </w:tcPr>
          <w:p w14:paraId="24C22D0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270</w:t>
            </w:r>
          </w:p>
        </w:tc>
        <w:tc>
          <w:tcPr>
            <w:tcW w:w="1814" w:type="dxa"/>
            <w:tcBorders>
              <w:top w:val="nil"/>
              <w:left w:val="nil"/>
              <w:bottom w:val="single" w:sz="4" w:space="0" w:color="auto"/>
              <w:right w:val="single" w:sz="4" w:space="0" w:color="auto"/>
            </w:tcBorders>
            <w:noWrap/>
            <w:vAlign w:val="center"/>
            <w:hideMark/>
          </w:tcPr>
          <w:p w14:paraId="4845326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165</w:t>
            </w:r>
          </w:p>
        </w:tc>
        <w:tc>
          <w:tcPr>
            <w:tcW w:w="1984" w:type="dxa"/>
            <w:tcBorders>
              <w:top w:val="nil"/>
              <w:left w:val="nil"/>
              <w:bottom w:val="single" w:sz="4" w:space="0" w:color="auto"/>
              <w:right w:val="single" w:sz="4" w:space="0" w:color="auto"/>
            </w:tcBorders>
            <w:noWrap/>
            <w:vAlign w:val="center"/>
            <w:hideMark/>
          </w:tcPr>
          <w:p w14:paraId="21AAF48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0,14</w:t>
            </w:r>
          </w:p>
        </w:tc>
      </w:tr>
      <w:tr w:rsidR="00FC0DE7" w:rsidRPr="00FC0DE7" w14:paraId="666E04CD"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36AA5095" w14:textId="77777777" w:rsidR="00FC0DE7" w:rsidRPr="00FC0DE7" w:rsidRDefault="00FC0DE7" w:rsidP="00FC0DE7">
            <w:pPr>
              <w:rPr>
                <w:rFonts w:ascii="Aptos Narrow" w:hAnsi="Aptos Narrow"/>
                <w:color w:val="000000"/>
              </w:rPr>
            </w:pPr>
            <w:r w:rsidRPr="00FC0DE7">
              <w:rPr>
                <w:rFonts w:ascii="Aptos Narrow" w:hAnsi="Aptos Narrow"/>
                <w:color w:val="000000"/>
              </w:rPr>
              <w:t>KMZ</w:t>
            </w:r>
          </w:p>
        </w:tc>
        <w:tc>
          <w:tcPr>
            <w:tcW w:w="1247" w:type="dxa"/>
            <w:tcBorders>
              <w:top w:val="nil"/>
              <w:left w:val="nil"/>
              <w:bottom w:val="single" w:sz="4" w:space="0" w:color="auto"/>
              <w:right w:val="single" w:sz="4" w:space="0" w:color="auto"/>
            </w:tcBorders>
            <w:vAlign w:val="center"/>
            <w:hideMark/>
          </w:tcPr>
          <w:p w14:paraId="3EE2450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247" w:type="dxa"/>
            <w:tcBorders>
              <w:top w:val="nil"/>
              <w:left w:val="nil"/>
              <w:bottom w:val="single" w:sz="4" w:space="0" w:color="auto"/>
              <w:right w:val="single" w:sz="4" w:space="0" w:color="auto"/>
            </w:tcBorders>
            <w:vAlign w:val="center"/>
            <w:hideMark/>
          </w:tcPr>
          <w:p w14:paraId="097E589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247" w:type="dxa"/>
            <w:tcBorders>
              <w:top w:val="nil"/>
              <w:left w:val="nil"/>
              <w:bottom w:val="single" w:sz="4" w:space="0" w:color="auto"/>
              <w:right w:val="single" w:sz="4" w:space="0" w:color="auto"/>
            </w:tcBorders>
            <w:vAlign w:val="center"/>
            <w:hideMark/>
          </w:tcPr>
          <w:p w14:paraId="4F1A2E5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814" w:type="dxa"/>
            <w:tcBorders>
              <w:top w:val="nil"/>
              <w:left w:val="nil"/>
              <w:bottom w:val="single" w:sz="4" w:space="0" w:color="auto"/>
              <w:right w:val="single" w:sz="4" w:space="0" w:color="auto"/>
            </w:tcBorders>
            <w:noWrap/>
            <w:vAlign w:val="center"/>
            <w:hideMark/>
          </w:tcPr>
          <w:p w14:paraId="3A6FA48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w:t>
            </w:r>
          </w:p>
        </w:tc>
        <w:tc>
          <w:tcPr>
            <w:tcW w:w="1984" w:type="dxa"/>
            <w:tcBorders>
              <w:top w:val="nil"/>
              <w:left w:val="nil"/>
              <w:bottom w:val="single" w:sz="4" w:space="0" w:color="auto"/>
              <w:right w:val="single" w:sz="4" w:space="0" w:color="auto"/>
            </w:tcBorders>
            <w:noWrap/>
            <w:vAlign w:val="center"/>
            <w:hideMark/>
          </w:tcPr>
          <w:p w14:paraId="6806C2D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r>
      <w:tr w:rsidR="00FC0DE7" w:rsidRPr="00FC0DE7" w14:paraId="3BE0E339" w14:textId="77777777" w:rsidTr="00FC0DE7">
        <w:trPr>
          <w:trHeight w:val="340"/>
        </w:trPr>
        <w:tc>
          <w:tcPr>
            <w:tcW w:w="1531" w:type="dxa"/>
            <w:tcBorders>
              <w:top w:val="nil"/>
              <w:left w:val="single" w:sz="4" w:space="0" w:color="auto"/>
              <w:bottom w:val="single" w:sz="4" w:space="0" w:color="auto"/>
              <w:right w:val="single" w:sz="4" w:space="0" w:color="auto"/>
            </w:tcBorders>
            <w:vAlign w:val="center"/>
            <w:hideMark/>
          </w:tcPr>
          <w:p w14:paraId="25BB23FC" w14:textId="77777777" w:rsidR="00FC0DE7" w:rsidRPr="00FC0DE7" w:rsidRDefault="00FC0DE7" w:rsidP="00FC0DE7">
            <w:pPr>
              <w:rPr>
                <w:rFonts w:ascii="Aptos Narrow" w:hAnsi="Aptos Narrow"/>
                <w:b/>
                <w:bCs/>
                <w:color w:val="000000"/>
              </w:rPr>
            </w:pPr>
            <w:r w:rsidRPr="00FC0DE7">
              <w:rPr>
                <w:rFonts w:ascii="Aptos Narrow" w:hAnsi="Aptos Narrow"/>
                <w:b/>
                <w:bCs/>
                <w:color w:val="000000"/>
              </w:rPr>
              <w:t>Celkem</w:t>
            </w:r>
          </w:p>
        </w:tc>
        <w:tc>
          <w:tcPr>
            <w:tcW w:w="1247" w:type="dxa"/>
            <w:tcBorders>
              <w:top w:val="nil"/>
              <w:left w:val="nil"/>
              <w:bottom w:val="single" w:sz="4" w:space="0" w:color="auto"/>
              <w:right w:val="single" w:sz="4" w:space="0" w:color="auto"/>
            </w:tcBorders>
            <w:noWrap/>
            <w:vAlign w:val="center"/>
            <w:hideMark/>
          </w:tcPr>
          <w:p w14:paraId="17604986"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52 996</w:t>
            </w:r>
          </w:p>
        </w:tc>
        <w:tc>
          <w:tcPr>
            <w:tcW w:w="1247" w:type="dxa"/>
            <w:tcBorders>
              <w:top w:val="nil"/>
              <w:left w:val="nil"/>
              <w:bottom w:val="single" w:sz="4" w:space="0" w:color="auto"/>
              <w:right w:val="single" w:sz="4" w:space="0" w:color="auto"/>
            </w:tcBorders>
            <w:noWrap/>
            <w:vAlign w:val="center"/>
            <w:hideMark/>
          </w:tcPr>
          <w:p w14:paraId="63F15E63"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114 975</w:t>
            </w:r>
          </w:p>
        </w:tc>
        <w:tc>
          <w:tcPr>
            <w:tcW w:w="1247" w:type="dxa"/>
            <w:tcBorders>
              <w:top w:val="nil"/>
              <w:left w:val="nil"/>
              <w:bottom w:val="single" w:sz="4" w:space="0" w:color="auto"/>
              <w:right w:val="single" w:sz="4" w:space="0" w:color="auto"/>
            </w:tcBorders>
            <w:noWrap/>
            <w:vAlign w:val="center"/>
            <w:hideMark/>
          </w:tcPr>
          <w:p w14:paraId="3DBEEB7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140 990</w:t>
            </w:r>
          </w:p>
        </w:tc>
        <w:tc>
          <w:tcPr>
            <w:tcW w:w="1814" w:type="dxa"/>
            <w:tcBorders>
              <w:top w:val="nil"/>
              <w:left w:val="nil"/>
              <w:bottom w:val="single" w:sz="4" w:space="0" w:color="auto"/>
              <w:right w:val="single" w:sz="4" w:space="0" w:color="auto"/>
            </w:tcBorders>
            <w:noWrap/>
            <w:vAlign w:val="center"/>
            <w:hideMark/>
          </w:tcPr>
          <w:p w14:paraId="605BCC22"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115 587</w:t>
            </w:r>
          </w:p>
        </w:tc>
        <w:tc>
          <w:tcPr>
            <w:tcW w:w="1984" w:type="dxa"/>
            <w:tcBorders>
              <w:top w:val="nil"/>
              <w:left w:val="nil"/>
              <w:bottom w:val="single" w:sz="4" w:space="0" w:color="auto"/>
              <w:right w:val="single" w:sz="4" w:space="0" w:color="auto"/>
            </w:tcBorders>
            <w:noWrap/>
            <w:vAlign w:val="center"/>
            <w:hideMark/>
          </w:tcPr>
          <w:p w14:paraId="3CB30C0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100,00</w:t>
            </w:r>
          </w:p>
        </w:tc>
      </w:tr>
    </w:tbl>
    <w:p w14:paraId="37360822" w14:textId="18169D20" w:rsidR="00F363DF" w:rsidRDefault="00F363DF" w:rsidP="00FC0DE7">
      <w:pPr>
        <w:pStyle w:val="RozpoetNadpis3"/>
        <w:numPr>
          <w:ilvl w:val="0"/>
          <w:numId w:val="0"/>
        </w:numPr>
      </w:pPr>
    </w:p>
    <w:p w14:paraId="4FEA5157" w14:textId="08785F75" w:rsidR="00586FAD" w:rsidRDefault="00586FAD" w:rsidP="003F4FF8">
      <w:pPr>
        <w:pStyle w:val="RozpoetNadpis3"/>
      </w:pPr>
      <w:bookmarkStart w:id="27" w:name="_Toc228824338"/>
      <w:r>
        <w:t>Indikátor výsledky M1</w:t>
      </w:r>
      <w:bookmarkEnd w:id="27"/>
    </w:p>
    <w:p w14:paraId="08AB38DE" w14:textId="77777777" w:rsidR="00586FAD" w:rsidRPr="000A20AA" w:rsidRDefault="00586FAD" w:rsidP="00586FAD">
      <w:pPr>
        <w:pStyle w:val="RozpocetOdstavec"/>
      </w:pPr>
      <w:r w:rsidRPr="000A20AA">
        <w:t>Indikátor výsledky M1 představují podíl součásti na výsledcích UTB v hodnocení M17+ výstupů v Modulu I. V rámci hodnocení byly výsledkům přiřazeny „známky“ 1, 2, 3, 4, 5. Výstupy budou podle těchto známek započítány s váhami 7:2:1, přičemž výsledky se známkou 4 a 5                        se nezapočítávají. Pokud má předmět hodnocení afiliaci k více organizačním jednotkám, bude kvalitativní ukazatel rozdělen mezi součásti rovnoměrně. Započítány budou výsledky hodnocení H20, H21, H22, H23 a H24.</w:t>
      </w:r>
    </w:p>
    <w:p w14:paraId="4C2E521E" w14:textId="77777777" w:rsidR="00FC0DE7" w:rsidRDefault="00FC0DE7" w:rsidP="00586FAD">
      <w:pPr>
        <w:pStyle w:val="RozpocetOdstavec"/>
        <w:rPr>
          <w:color w:val="00B05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80"/>
        <w:gridCol w:w="794"/>
        <w:gridCol w:w="794"/>
        <w:gridCol w:w="680"/>
        <w:gridCol w:w="680"/>
        <w:gridCol w:w="1644"/>
        <w:gridCol w:w="1871"/>
      </w:tblGrid>
      <w:tr w:rsidR="00FC0DE7" w:rsidRPr="00FC0DE7" w14:paraId="477062E5" w14:textId="77777777" w:rsidTr="00FC0DE7">
        <w:trPr>
          <w:trHeight w:val="680"/>
        </w:trPr>
        <w:tc>
          <w:tcPr>
            <w:tcW w:w="1928" w:type="dxa"/>
            <w:shd w:val="clear" w:color="auto" w:fill="D9D9D9" w:themeFill="background1" w:themeFillShade="D9"/>
            <w:vAlign w:val="center"/>
            <w:hideMark/>
          </w:tcPr>
          <w:p w14:paraId="755CFEFA" w14:textId="2BD9A793" w:rsidR="00FC0DE7" w:rsidRPr="00FC0DE7" w:rsidRDefault="00FC0DE7" w:rsidP="00FC0DE7">
            <w:pPr>
              <w:jc w:val="center"/>
              <w:rPr>
                <w:rFonts w:ascii="Aptos Narrow" w:hAnsi="Aptos Narrow"/>
                <w:b/>
                <w:bCs/>
                <w:color w:val="000000"/>
              </w:rPr>
            </w:pPr>
            <w:r>
              <w:rPr>
                <w:rFonts w:ascii="Aptos Narrow" w:hAnsi="Aptos Narrow"/>
                <w:b/>
                <w:bCs/>
                <w:color w:val="000000"/>
              </w:rPr>
              <w:t>Součást</w:t>
            </w:r>
          </w:p>
        </w:tc>
        <w:tc>
          <w:tcPr>
            <w:tcW w:w="680" w:type="dxa"/>
            <w:shd w:val="clear" w:color="auto" w:fill="D9D9D9" w:themeFill="background1" w:themeFillShade="D9"/>
            <w:vAlign w:val="center"/>
            <w:hideMark/>
          </w:tcPr>
          <w:p w14:paraId="0BAEB562"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1</w:t>
            </w:r>
          </w:p>
        </w:tc>
        <w:tc>
          <w:tcPr>
            <w:tcW w:w="794" w:type="dxa"/>
            <w:shd w:val="clear" w:color="auto" w:fill="D9D9D9" w:themeFill="background1" w:themeFillShade="D9"/>
            <w:vAlign w:val="center"/>
            <w:hideMark/>
          </w:tcPr>
          <w:p w14:paraId="48712E1E"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2</w:t>
            </w:r>
          </w:p>
        </w:tc>
        <w:tc>
          <w:tcPr>
            <w:tcW w:w="794" w:type="dxa"/>
            <w:shd w:val="clear" w:color="auto" w:fill="D9D9D9" w:themeFill="background1" w:themeFillShade="D9"/>
            <w:vAlign w:val="center"/>
            <w:hideMark/>
          </w:tcPr>
          <w:p w14:paraId="3903139C"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3</w:t>
            </w:r>
          </w:p>
        </w:tc>
        <w:tc>
          <w:tcPr>
            <w:tcW w:w="680" w:type="dxa"/>
            <w:shd w:val="clear" w:color="auto" w:fill="D9D9D9" w:themeFill="background1" w:themeFillShade="D9"/>
            <w:vAlign w:val="center"/>
            <w:hideMark/>
          </w:tcPr>
          <w:p w14:paraId="461411ED"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4</w:t>
            </w:r>
          </w:p>
        </w:tc>
        <w:tc>
          <w:tcPr>
            <w:tcW w:w="680" w:type="dxa"/>
            <w:shd w:val="clear" w:color="auto" w:fill="D9D9D9" w:themeFill="background1" w:themeFillShade="D9"/>
            <w:vAlign w:val="center"/>
            <w:hideMark/>
          </w:tcPr>
          <w:p w14:paraId="0B008B2A"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5</w:t>
            </w:r>
          </w:p>
        </w:tc>
        <w:tc>
          <w:tcPr>
            <w:tcW w:w="1644" w:type="dxa"/>
            <w:shd w:val="clear" w:color="auto" w:fill="D9D9D9" w:themeFill="background1" w:themeFillShade="D9"/>
            <w:vAlign w:val="center"/>
            <w:hideMark/>
          </w:tcPr>
          <w:p w14:paraId="2EE78A79" w14:textId="670A8805"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M1</w:t>
            </w:r>
          </w:p>
        </w:tc>
        <w:tc>
          <w:tcPr>
            <w:tcW w:w="1871" w:type="dxa"/>
            <w:shd w:val="clear" w:color="auto" w:fill="D9D9D9" w:themeFill="background1" w:themeFillShade="D9"/>
            <w:vAlign w:val="center"/>
            <w:hideMark/>
          </w:tcPr>
          <w:p w14:paraId="03B810FD" w14:textId="77777777" w:rsidR="00FC0DE7" w:rsidRPr="00FC0DE7" w:rsidRDefault="00FC0DE7" w:rsidP="00FC0DE7">
            <w:pPr>
              <w:jc w:val="center"/>
              <w:rPr>
                <w:rFonts w:ascii="Aptos Narrow" w:hAnsi="Aptos Narrow"/>
                <w:b/>
                <w:bCs/>
                <w:color w:val="000000"/>
              </w:rPr>
            </w:pPr>
            <w:r w:rsidRPr="00FC0DE7">
              <w:rPr>
                <w:rFonts w:ascii="Aptos Narrow" w:hAnsi="Aptos Narrow"/>
                <w:b/>
                <w:bCs/>
                <w:color w:val="000000"/>
              </w:rPr>
              <w:t>Výsledky M1 v %</w:t>
            </w:r>
          </w:p>
        </w:tc>
      </w:tr>
      <w:tr w:rsidR="00FC0DE7" w:rsidRPr="00FC0DE7" w14:paraId="6B8A1D59" w14:textId="77777777" w:rsidTr="00FC0DE7">
        <w:trPr>
          <w:trHeight w:val="320"/>
        </w:trPr>
        <w:tc>
          <w:tcPr>
            <w:tcW w:w="1928" w:type="dxa"/>
            <w:noWrap/>
            <w:vAlign w:val="center"/>
            <w:hideMark/>
          </w:tcPr>
          <w:p w14:paraId="3D8ED2BE" w14:textId="77777777" w:rsidR="00FC0DE7" w:rsidRPr="00FC0DE7" w:rsidRDefault="00FC0DE7" w:rsidP="00FC0DE7">
            <w:pPr>
              <w:rPr>
                <w:rFonts w:ascii="Aptos Narrow" w:hAnsi="Aptos Narrow"/>
                <w:color w:val="000000"/>
              </w:rPr>
            </w:pPr>
            <w:r w:rsidRPr="00FC0DE7">
              <w:rPr>
                <w:rFonts w:ascii="Aptos Narrow" w:hAnsi="Aptos Narrow"/>
                <w:color w:val="000000"/>
              </w:rPr>
              <w:t>FT</w:t>
            </w:r>
          </w:p>
        </w:tc>
        <w:tc>
          <w:tcPr>
            <w:tcW w:w="680" w:type="dxa"/>
            <w:noWrap/>
            <w:vAlign w:val="center"/>
            <w:hideMark/>
          </w:tcPr>
          <w:p w14:paraId="2B379DE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0,33</w:t>
            </w:r>
          </w:p>
        </w:tc>
        <w:tc>
          <w:tcPr>
            <w:tcW w:w="794" w:type="dxa"/>
            <w:noWrap/>
            <w:vAlign w:val="center"/>
            <w:hideMark/>
          </w:tcPr>
          <w:p w14:paraId="0FB1DA2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3,67</w:t>
            </w:r>
          </w:p>
        </w:tc>
        <w:tc>
          <w:tcPr>
            <w:tcW w:w="794" w:type="dxa"/>
            <w:noWrap/>
            <w:vAlign w:val="center"/>
            <w:hideMark/>
          </w:tcPr>
          <w:p w14:paraId="350AA9D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3,92</w:t>
            </w:r>
          </w:p>
        </w:tc>
        <w:tc>
          <w:tcPr>
            <w:tcW w:w="680" w:type="dxa"/>
            <w:noWrap/>
            <w:vAlign w:val="center"/>
            <w:hideMark/>
          </w:tcPr>
          <w:p w14:paraId="752356C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67C4114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67D8225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13,58</w:t>
            </w:r>
          </w:p>
        </w:tc>
        <w:tc>
          <w:tcPr>
            <w:tcW w:w="1871" w:type="dxa"/>
            <w:noWrap/>
            <w:vAlign w:val="center"/>
            <w:hideMark/>
          </w:tcPr>
          <w:p w14:paraId="69AB4BD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20,90</w:t>
            </w:r>
          </w:p>
        </w:tc>
      </w:tr>
      <w:tr w:rsidR="00FC0DE7" w:rsidRPr="00FC0DE7" w14:paraId="6EFC5320" w14:textId="77777777" w:rsidTr="00FC0DE7">
        <w:trPr>
          <w:trHeight w:val="320"/>
        </w:trPr>
        <w:tc>
          <w:tcPr>
            <w:tcW w:w="1928" w:type="dxa"/>
            <w:noWrap/>
            <w:vAlign w:val="center"/>
            <w:hideMark/>
          </w:tcPr>
          <w:p w14:paraId="2C94C4C9" w14:textId="77777777" w:rsidR="00FC0DE7" w:rsidRPr="00FC0DE7" w:rsidRDefault="00FC0DE7" w:rsidP="00FC0DE7">
            <w:pPr>
              <w:rPr>
                <w:rFonts w:ascii="Aptos Narrow" w:hAnsi="Aptos Narrow"/>
                <w:color w:val="000000"/>
              </w:rPr>
            </w:pPr>
            <w:r w:rsidRPr="00FC0DE7">
              <w:rPr>
                <w:rFonts w:ascii="Aptos Narrow" w:hAnsi="Aptos Narrow"/>
                <w:color w:val="000000"/>
              </w:rPr>
              <w:t>FLKŘ</w:t>
            </w:r>
          </w:p>
        </w:tc>
        <w:tc>
          <w:tcPr>
            <w:tcW w:w="680" w:type="dxa"/>
            <w:noWrap/>
            <w:vAlign w:val="center"/>
            <w:hideMark/>
          </w:tcPr>
          <w:p w14:paraId="624E2A9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6BC5897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794" w:type="dxa"/>
            <w:noWrap/>
            <w:vAlign w:val="center"/>
            <w:hideMark/>
          </w:tcPr>
          <w:p w14:paraId="1437C8E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3B2295E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38DD151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147F9F6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2,00</w:t>
            </w:r>
          </w:p>
        </w:tc>
        <w:tc>
          <w:tcPr>
            <w:tcW w:w="1871" w:type="dxa"/>
            <w:noWrap/>
            <w:vAlign w:val="center"/>
            <w:hideMark/>
          </w:tcPr>
          <w:p w14:paraId="7F11F5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3,08</w:t>
            </w:r>
          </w:p>
        </w:tc>
      </w:tr>
      <w:tr w:rsidR="00FC0DE7" w:rsidRPr="00FC0DE7" w14:paraId="5793F821" w14:textId="77777777" w:rsidTr="00FC0DE7">
        <w:trPr>
          <w:trHeight w:val="320"/>
        </w:trPr>
        <w:tc>
          <w:tcPr>
            <w:tcW w:w="1928" w:type="dxa"/>
            <w:noWrap/>
            <w:vAlign w:val="center"/>
            <w:hideMark/>
          </w:tcPr>
          <w:p w14:paraId="610DEFD4" w14:textId="77777777" w:rsidR="00FC0DE7" w:rsidRPr="00FC0DE7" w:rsidRDefault="00FC0DE7" w:rsidP="00FC0DE7">
            <w:pPr>
              <w:rPr>
                <w:rFonts w:ascii="Aptos Narrow" w:hAnsi="Aptos Narrow"/>
                <w:color w:val="000000"/>
              </w:rPr>
            </w:pPr>
            <w:r w:rsidRPr="00FC0DE7">
              <w:rPr>
                <w:rFonts w:ascii="Aptos Narrow" w:hAnsi="Aptos Narrow"/>
                <w:color w:val="000000"/>
              </w:rPr>
              <w:t>FAI</w:t>
            </w:r>
          </w:p>
        </w:tc>
        <w:tc>
          <w:tcPr>
            <w:tcW w:w="680" w:type="dxa"/>
            <w:noWrap/>
            <w:vAlign w:val="center"/>
            <w:hideMark/>
          </w:tcPr>
          <w:p w14:paraId="6EB685E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6B3D0D9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6,00</w:t>
            </w:r>
          </w:p>
        </w:tc>
        <w:tc>
          <w:tcPr>
            <w:tcW w:w="794" w:type="dxa"/>
            <w:noWrap/>
            <w:vAlign w:val="center"/>
            <w:hideMark/>
          </w:tcPr>
          <w:p w14:paraId="203E7B8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4,25</w:t>
            </w:r>
          </w:p>
        </w:tc>
        <w:tc>
          <w:tcPr>
            <w:tcW w:w="680" w:type="dxa"/>
            <w:noWrap/>
            <w:vAlign w:val="center"/>
            <w:hideMark/>
          </w:tcPr>
          <w:p w14:paraId="181583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0C5AB64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0F0EA59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16,25</w:t>
            </w:r>
          </w:p>
        </w:tc>
        <w:tc>
          <w:tcPr>
            <w:tcW w:w="1871" w:type="dxa"/>
            <w:noWrap/>
            <w:vAlign w:val="center"/>
            <w:hideMark/>
          </w:tcPr>
          <w:p w14:paraId="3FF2903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25,00</w:t>
            </w:r>
          </w:p>
        </w:tc>
      </w:tr>
      <w:tr w:rsidR="00FC0DE7" w:rsidRPr="00FC0DE7" w14:paraId="5A87E939" w14:textId="77777777" w:rsidTr="00FC0DE7">
        <w:trPr>
          <w:trHeight w:val="320"/>
        </w:trPr>
        <w:tc>
          <w:tcPr>
            <w:tcW w:w="1928" w:type="dxa"/>
            <w:noWrap/>
            <w:vAlign w:val="center"/>
            <w:hideMark/>
          </w:tcPr>
          <w:p w14:paraId="62A2FBE1" w14:textId="77777777" w:rsidR="00FC0DE7" w:rsidRPr="00FC0DE7" w:rsidRDefault="00FC0DE7" w:rsidP="00FC0DE7">
            <w:pPr>
              <w:rPr>
                <w:rFonts w:ascii="Aptos Narrow" w:hAnsi="Aptos Narrow"/>
                <w:color w:val="000000"/>
              </w:rPr>
            </w:pPr>
            <w:r w:rsidRPr="00FC0DE7">
              <w:rPr>
                <w:rFonts w:ascii="Aptos Narrow" w:hAnsi="Aptos Narrow"/>
                <w:color w:val="000000"/>
              </w:rPr>
              <w:t>FMK</w:t>
            </w:r>
          </w:p>
        </w:tc>
        <w:tc>
          <w:tcPr>
            <w:tcW w:w="680" w:type="dxa"/>
            <w:noWrap/>
            <w:vAlign w:val="center"/>
            <w:hideMark/>
          </w:tcPr>
          <w:p w14:paraId="21A5C42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6F63B93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5FC5DFD4"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680" w:type="dxa"/>
            <w:noWrap/>
            <w:vAlign w:val="center"/>
            <w:hideMark/>
          </w:tcPr>
          <w:p w14:paraId="4528A8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43CD551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3746E36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1871" w:type="dxa"/>
            <w:noWrap/>
            <w:vAlign w:val="center"/>
            <w:hideMark/>
          </w:tcPr>
          <w:p w14:paraId="358F6E5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1,54</w:t>
            </w:r>
          </w:p>
        </w:tc>
      </w:tr>
      <w:tr w:rsidR="00FC0DE7" w:rsidRPr="00FC0DE7" w14:paraId="60CF753F" w14:textId="77777777" w:rsidTr="00FC0DE7">
        <w:trPr>
          <w:trHeight w:val="320"/>
        </w:trPr>
        <w:tc>
          <w:tcPr>
            <w:tcW w:w="1928" w:type="dxa"/>
            <w:noWrap/>
            <w:vAlign w:val="center"/>
            <w:hideMark/>
          </w:tcPr>
          <w:p w14:paraId="2B0B1AB5" w14:textId="77777777" w:rsidR="00FC0DE7" w:rsidRPr="00FC0DE7" w:rsidRDefault="00FC0DE7" w:rsidP="00FC0DE7">
            <w:pPr>
              <w:rPr>
                <w:rFonts w:ascii="Aptos Narrow" w:hAnsi="Aptos Narrow"/>
                <w:color w:val="000000"/>
              </w:rPr>
            </w:pPr>
            <w:r w:rsidRPr="00FC0DE7">
              <w:rPr>
                <w:rFonts w:ascii="Aptos Narrow" w:hAnsi="Aptos Narrow"/>
                <w:color w:val="000000"/>
              </w:rPr>
              <w:t>FaME</w:t>
            </w:r>
          </w:p>
        </w:tc>
        <w:tc>
          <w:tcPr>
            <w:tcW w:w="680" w:type="dxa"/>
            <w:noWrap/>
            <w:vAlign w:val="center"/>
            <w:hideMark/>
          </w:tcPr>
          <w:p w14:paraId="640C53E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47FC20C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794" w:type="dxa"/>
            <w:noWrap/>
            <w:vAlign w:val="center"/>
            <w:hideMark/>
          </w:tcPr>
          <w:p w14:paraId="2E8189C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680" w:type="dxa"/>
            <w:noWrap/>
            <w:vAlign w:val="center"/>
            <w:hideMark/>
          </w:tcPr>
          <w:p w14:paraId="3A8F157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1E38753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76F49A4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3,00</w:t>
            </w:r>
          </w:p>
        </w:tc>
        <w:tc>
          <w:tcPr>
            <w:tcW w:w="1871" w:type="dxa"/>
            <w:noWrap/>
            <w:vAlign w:val="center"/>
            <w:hideMark/>
          </w:tcPr>
          <w:p w14:paraId="20CFD948"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4,62</w:t>
            </w:r>
          </w:p>
        </w:tc>
      </w:tr>
      <w:tr w:rsidR="00FC0DE7" w:rsidRPr="00FC0DE7" w14:paraId="5B8AE17E" w14:textId="77777777" w:rsidTr="00FC0DE7">
        <w:trPr>
          <w:trHeight w:val="320"/>
        </w:trPr>
        <w:tc>
          <w:tcPr>
            <w:tcW w:w="1928" w:type="dxa"/>
            <w:noWrap/>
            <w:vAlign w:val="center"/>
            <w:hideMark/>
          </w:tcPr>
          <w:p w14:paraId="11D1E6C7" w14:textId="77777777" w:rsidR="00FC0DE7" w:rsidRPr="00FC0DE7" w:rsidRDefault="00FC0DE7" w:rsidP="00FC0DE7">
            <w:pPr>
              <w:rPr>
                <w:rFonts w:ascii="Aptos Narrow" w:hAnsi="Aptos Narrow"/>
                <w:color w:val="000000"/>
              </w:rPr>
            </w:pPr>
            <w:r w:rsidRPr="00FC0DE7">
              <w:rPr>
                <w:rFonts w:ascii="Aptos Narrow" w:hAnsi="Aptos Narrow"/>
                <w:color w:val="000000"/>
              </w:rPr>
              <w:t>FHS</w:t>
            </w:r>
          </w:p>
        </w:tc>
        <w:tc>
          <w:tcPr>
            <w:tcW w:w="680" w:type="dxa"/>
            <w:noWrap/>
            <w:vAlign w:val="center"/>
            <w:hideMark/>
          </w:tcPr>
          <w:p w14:paraId="3C8F218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5A072671"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1,00</w:t>
            </w:r>
          </w:p>
        </w:tc>
        <w:tc>
          <w:tcPr>
            <w:tcW w:w="794" w:type="dxa"/>
            <w:noWrap/>
            <w:vAlign w:val="center"/>
            <w:hideMark/>
          </w:tcPr>
          <w:p w14:paraId="5F5A9F6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1,50</w:t>
            </w:r>
          </w:p>
        </w:tc>
        <w:tc>
          <w:tcPr>
            <w:tcW w:w="680" w:type="dxa"/>
            <w:noWrap/>
            <w:vAlign w:val="center"/>
            <w:hideMark/>
          </w:tcPr>
          <w:p w14:paraId="32A32BC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38D2816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7EBC052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3,50</w:t>
            </w:r>
          </w:p>
        </w:tc>
        <w:tc>
          <w:tcPr>
            <w:tcW w:w="1871" w:type="dxa"/>
            <w:noWrap/>
            <w:vAlign w:val="center"/>
            <w:hideMark/>
          </w:tcPr>
          <w:p w14:paraId="0E1F22E8"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5,38</w:t>
            </w:r>
          </w:p>
        </w:tc>
      </w:tr>
      <w:tr w:rsidR="00FC0DE7" w:rsidRPr="00FC0DE7" w14:paraId="0210AF4E" w14:textId="77777777" w:rsidTr="00FC0DE7">
        <w:trPr>
          <w:trHeight w:val="320"/>
        </w:trPr>
        <w:tc>
          <w:tcPr>
            <w:tcW w:w="1928" w:type="dxa"/>
            <w:noWrap/>
            <w:vAlign w:val="center"/>
            <w:hideMark/>
          </w:tcPr>
          <w:p w14:paraId="79F975FD" w14:textId="77777777" w:rsidR="00FC0DE7" w:rsidRPr="00FC0DE7" w:rsidRDefault="00FC0DE7" w:rsidP="00FC0DE7">
            <w:pPr>
              <w:rPr>
                <w:rFonts w:ascii="Aptos Narrow" w:hAnsi="Aptos Narrow"/>
                <w:color w:val="000000"/>
              </w:rPr>
            </w:pPr>
            <w:r w:rsidRPr="00FC0DE7">
              <w:rPr>
                <w:rFonts w:ascii="Aptos Narrow" w:hAnsi="Aptos Narrow"/>
                <w:color w:val="000000"/>
              </w:rPr>
              <w:t>UNI</w:t>
            </w:r>
          </w:p>
        </w:tc>
        <w:tc>
          <w:tcPr>
            <w:tcW w:w="680" w:type="dxa"/>
            <w:noWrap/>
            <w:vAlign w:val="center"/>
            <w:hideMark/>
          </w:tcPr>
          <w:p w14:paraId="7230553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1,67</w:t>
            </w:r>
          </w:p>
        </w:tc>
        <w:tc>
          <w:tcPr>
            <w:tcW w:w="794" w:type="dxa"/>
            <w:noWrap/>
            <w:vAlign w:val="center"/>
            <w:hideMark/>
          </w:tcPr>
          <w:p w14:paraId="4342AF0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4,33</w:t>
            </w:r>
          </w:p>
        </w:tc>
        <w:tc>
          <w:tcPr>
            <w:tcW w:w="794" w:type="dxa"/>
            <w:noWrap/>
            <w:vAlign w:val="center"/>
            <w:hideMark/>
          </w:tcPr>
          <w:p w14:paraId="70422783"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5,33</w:t>
            </w:r>
          </w:p>
        </w:tc>
        <w:tc>
          <w:tcPr>
            <w:tcW w:w="680" w:type="dxa"/>
            <w:noWrap/>
            <w:vAlign w:val="center"/>
            <w:hideMark/>
          </w:tcPr>
          <w:p w14:paraId="34F2C9B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61317EB8"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42D741B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25,67</w:t>
            </w:r>
          </w:p>
        </w:tc>
        <w:tc>
          <w:tcPr>
            <w:tcW w:w="1871" w:type="dxa"/>
            <w:noWrap/>
            <w:vAlign w:val="center"/>
            <w:hideMark/>
          </w:tcPr>
          <w:p w14:paraId="5701FB40"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39,49</w:t>
            </w:r>
          </w:p>
        </w:tc>
      </w:tr>
      <w:tr w:rsidR="00FC0DE7" w:rsidRPr="00FC0DE7" w14:paraId="1C609FCB" w14:textId="77777777" w:rsidTr="00FC0DE7">
        <w:trPr>
          <w:trHeight w:val="320"/>
        </w:trPr>
        <w:tc>
          <w:tcPr>
            <w:tcW w:w="1928" w:type="dxa"/>
            <w:noWrap/>
            <w:vAlign w:val="center"/>
            <w:hideMark/>
          </w:tcPr>
          <w:p w14:paraId="5EE963A3" w14:textId="77777777" w:rsidR="00FC0DE7" w:rsidRPr="00FC0DE7" w:rsidRDefault="00FC0DE7" w:rsidP="00FC0DE7">
            <w:pPr>
              <w:rPr>
                <w:rFonts w:ascii="Aptos Narrow" w:hAnsi="Aptos Narrow"/>
                <w:color w:val="000000"/>
              </w:rPr>
            </w:pPr>
            <w:r w:rsidRPr="00FC0DE7">
              <w:rPr>
                <w:rFonts w:ascii="Aptos Narrow" w:hAnsi="Aptos Narrow"/>
                <w:color w:val="000000"/>
              </w:rPr>
              <w:t>Knihovna</w:t>
            </w:r>
          </w:p>
        </w:tc>
        <w:tc>
          <w:tcPr>
            <w:tcW w:w="680" w:type="dxa"/>
            <w:noWrap/>
            <w:vAlign w:val="center"/>
            <w:hideMark/>
          </w:tcPr>
          <w:p w14:paraId="3AA04F5D"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331172E2"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3F71289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732FC0B6"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0A00F05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61120F5A"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871" w:type="dxa"/>
            <w:noWrap/>
            <w:vAlign w:val="center"/>
            <w:hideMark/>
          </w:tcPr>
          <w:p w14:paraId="0CE3DB4C"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r>
      <w:tr w:rsidR="00FC0DE7" w:rsidRPr="00FC0DE7" w14:paraId="413F658F" w14:textId="77777777" w:rsidTr="00FC0DE7">
        <w:trPr>
          <w:trHeight w:val="320"/>
        </w:trPr>
        <w:tc>
          <w:tcPr>
            <w:tcW w:w="1928" w:type="dxa"/>
            <w:noWrap/>
            <w:vAlign w:val="center"/>
            <w:hideMark/>
          </w:tcPr>
          <w:p w14:paraId="41DEF687" w14:textId="77777777" w:rsidR="00FC0DE7" w:rsidRPr="00FC0DE7" w:rsidRDefault="00FC0DE7" w:rsidP="00FC0DE7">
            <w:pPr>
              <w:rPr>
                <w:rFonts w:ascii="Aptos Narrow" w:hAnsi="Aptos Narrow"/>
                <w:color w:val="000000"/>
              </w:rPr>
            </w:pPr>
            <w:r w:rsidRPr="00FC0DE7">
              <w:rPr>
                <w:rFonts w:ascii="Aptos Narrow" w:hAnsi="Aptos Narrow"/>
                <w:color w:val="000000"/>
              </w:rPr>
              <w:t>KMZ</w:t>
            </w:r>
          </w:p>
        </w:tc>
        <w:tc>
          <w:tcPr>
            <w:tcW w:w="680" w:type="dxa"/>
            <w:noWrap/>
            <w:vAlign w:val="center"/>
            <w:hideMark/>
          </w:tcPr>
          <w:p w14:paraId="21A47355"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3CE958FF"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794" w:type="dxa"/>
            <w:noWrap/>
            <w:vAlign w:val="center"/>
            <w:hideMark/>
          </w:tcPr>
          <w:p w14:paraId="5F0815A9"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5433EB3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680" w:type="dxa"/>
            <w:noWrap/>
            <w:vAlign w:val="center"/>
            <w:hideMark/>
          </w:tcPr>
          <w:p w14:paraId="66D4136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644" w:type="dxa"/>
            <w:noWrap/>
            <w:vAlign w:val="center"/>
            <w:hideMark/>
          </w:tcPr>
          <w:p w14:paraId="70F9D9AB"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c>
          <w:tcPr>
            <w:tcW w:w="1871" w:type="dxa"/>
            <w:noWrap/>
            <w:vAlign w:val="center"/>
            <w:hideMark/>
          </w:tcPr>
          <w:p w14:paraId="3C20613E" w14:textId="77777777" w:rsidR="00FC0DE7" w:rsidRPr="00FC0DE7" w:rsidRDefault="00FC0DE7" w:rsidP="00FC0DE7">
            <w:pPr>
              <w:jc w:val="right"/>
              <w:rPr>
                <w:rFonts w:ascii="Aptos Narrow" w:hAnsi="Aptos Narrow"/>
                <w:color w:val="000000"/>
              </w:rPr>
            </w:pPr>
            <w:r w:rsidRPr="00FC0DE7">
              <w:rPr>
                <w:rFonts w:ascii="Aptos Narrow" w:hAnsi="Aptos Narrow"/>
                <w:color w:val="000000"/>
              </w:rPr>
              <w:t>0,00</w:t>
            </w:r>
          </w:p>
        </w:tc>
      </w:tr>
      <w:tr w:rsidR="00FC0DE7" w:rsidRPr="00FC0DE7" w14:paraId="7454A913" w14:textId="77777777" w:rsidTr="00FC0DE7">
        <w:trPr>
          <w:trHeight w:val="320"/>
        </w:trPr>
        <w:tc>
          <w:tcPr>
            <w:tcW w:w="1928" w:type="dxa"/>
            <w:noWrap/>
            <w:vAlign w:val="center"/>
            <w:hideMark/>
          </w:tcPr>
          <w:p w14:paraId="3827F737" w14:textId="77777777" w:rsidR="00FC0DE7" w:rsidRPr="00FC0DE7" w:rsidRDefault="00FC0DE7" w:rsidP="00FC0DE7">
            <w:pPr>
              <w:rPr>
                <w:rFonts w:ascii="Aptos Narrow" w:hAnsi="Aptos Narrow"/>
                <w:b/>
                <w:bCs/>
                <w:color w:val="000000"/>
              </w:rPr>
            </w:pPr>
            <w:r w:rsidRPr="00FC0DE7">
              <w:rPr>
                <w:rFonts w:ascii="Aptos Narrow" w:hAnsi="Aptos Narrow"/>
                <w:b/>
                <w:bCs/>
                <w:color w:val="000000"/>
              </w:rPr>
              <w:t>Celkem</w:t>
            </w:r>
          </w:p>
        </w:tc>
        <w:tc>
          <w:tcPr>
            <w:tcW w:w="680" w:type="dxa"/>
            <w:noWrap/>
            <w:vAlign w:val="center"/>
            <w:hideMark/>
          </w:tcPr>
          <w:p w14:paraId="7043D1C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2,00</w:t>
            </w:r>
          </w:p>
        </w:tc>
        <w:tc>
          <w:tcPr>
            <w:tcW w:w="794" w:type="dxa"/>
            <w:noWrap/>
            <w:vAlign w:val="center"/>
            <w:hideMark/>
          </w:tcPr>
          <w:p w14:paraId="74D355C5"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17,00</w:t>
            </w:r>
          </w:p>
        </w:tc>
        <w:tc>
          <w:tcPr>
            <w:tcW w:w="794" w:type="dxa"/>
            <w:noWrap/>
            <w:vAlign w:val="center"/>
            <w:hideMark/>
          </w:tcPr>
          <w:p w14:paraId="6A8E5349"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17,00</w:t>
            </w:r>
          </w:p>
        </w:tc>
        <w:tc>
          <w:tcPr>
            <w:tcW w:w="680" w:type="dxa"/>
            <w:noWrap/>
            <w:vAlign w:val="center"/>
            <w:hideMark/>
          </w:tcPr>
          <w:p w14:paraId="711E06EF"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0,00</w:t>
            </w:r>
          </w:p>
        </w:tc>
        <w:tc>
          <w:tcPr>
            <w:tcW w:w="680" w:type="dxa"/>
            <w:noWrap/>
            <w:vAlign w:val="center"/>
            <w:hideMark/>
          </w:tcPr>
          <w:p w14:paraId="27FD02DA"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0,00</w:t>
            </w:r>
          </w:p>
        </w:tc>
        <w:tc>
          <w:tcPr>
            <w:tcW w:w="1644" w:type="dxa"/>
            <w:noWrap/>
            <w:vAlign w:val="center"/>
            <w:hideMark/>
          </w:tcPr>
          <w:p w14:paraId="30631A9F"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65,00</w:t>
            </w:r>
          </w:p>
        </w:tc>
        <w:tc>
          <w:tcPr>
            <w:tcW w:w="1871" w:type="dxa"/>
            <w:noWrap/>
            <w:vAlign w:val="center"/>
            <w:hideMark/>
          </w:tcPr>
          <w:p w14:paraId="65010CCB" w14:textId="77777777" w:rsidR="00FC0DE7" w:rsidRPr="00FC0DE7" w:rsidRDefault="00FC0DE7" w:rsidP="00FC0DE7">
            <w:pPr>
              <w:jc w:val="right"/>
              <w:rPr>
                <w:rFonts w:ascii="Aptos Narrow" w:hAnsi="Aptos Narrow"/>
                <w:b/>
                <w:bCs/>
                <w:color w:val="000000"/>
              </w:rPr>
            </w:pPr>
            <w:r w:rsidRPr="00FC0DE7">
              <w:rPr>
                <w:rFonts w:ascii="Aptos Narrow" w:hAnsi="Aptos Narrow"/>
                <w:b/>
                <w:bCs/>
                <w:color w:val="000000"/>
              </w:rPr>
              <w:t>100,00</w:t>
            </w:r>
          </w:p>
        </w:tc>
      </w:tr>
    </w:tbl>
    <w:p w14:paraId="5A22FBF8" w14:textId="77777777" w:rsidR="003F4FF8" w:rsidRDefault="003F4FF8" w:rsidP="003F4FF8">
      <w:pPr>
        <w:pStyle w:val="RozpocetOdstavec"/>
      </w:pPr>
    </w:p>
    <w:p w14:paraId="0B2945BE" w14:textId="77777777" w:rsidR="003F4FF8" w:rsidRDefault="00390512" w:rsidP="003F4FF8">
      <w:pPr>
        <w:pStyle w:val="RozpoetNadpis3"/>
      </w:pPr>
      <w:bookmarkStart w:id="28" w:name="_Toc228824339"/>
      <w:r>
        <w:t xml:space="preserve">Indikátor </w:t>
      </w:r>
      <w:r w:rsidR="003F4FF8">
        <w:t>DKRVO motivační</w:t>
      </w:r>
      <w:bookmarkEnd w:id="28"/>
    </w:p>
    <w:p w14:paraId="31446C5D" w14:textId="77777777" w:rsidR="001D727F" w:rsidRPr="000A20AA" w:rsidRDefault="001D727F" w:rsidP="001D727F">
      <w:pPr>
        <w:pStyle w:val="RozpocetOdstavec"/>
      </w:pPr>
      <w:r w:rsidRPr="000A20AA">
        <w:t>Indikátor DKRVO motivační je složen ze čtyř dílčích částí, a to indikátoru publikace, indikátoru citace, indikátoru výsledky projektů a indikátoru výsledky M1 s váhami 7:1,25:3:2. Podle tohoto indikátoru bude mezi součásti rozděleno 100 % motivační části DKRVO.</w:t>
      </w:r>
    </w:p>
    <w:p w14:paraId="03E195FE" w14:textId="77777777" w:rsidR="00B1029E" w:rsidRDefault="00B1029E" w:rsidP="001D727F">
      <w:pPr>
        <w:pStyle w:val="RozpocetOdstavec"/>
        <w:rPr>
          <w:color w:val="00B050"/>
        </w:rPr>
      </w:pPr>
    </w:p>
    <w:tbl>
      <w:tblPr>
        <w:tblW w:w="9072" w:type="dxa"/>
        <w:tblLook w:val="04A0" w:firstRow="1" w:lastRow="0" w:firstColumn="1" w:lastColumn="0" w:noHBand="0" w:noVBand="1"/>
      </w:tblPr>
      <w:tblGrid>
        <w:gridCol w:w="1474"/>
        <w:gridCol w:w="1474"/>
        <w:gridCol w:w="1361"/>
        <w:gridCol w:w="1701"/>
        <w:gridCol w:w="1361"/>
        <w:gridCol w:w="1701"/>
      </w:tblGrid>
      <w:tr w:rsidR="00B1029E" w:rsidRPr="00B1029E" w14:paraId="3DB67401" w14:textId="77777777" w:rsidTr="00B1029E">
        <w:trPr>
          <w:trHeight w:val="340"/>
        </w:trPr>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8E14F3" w14:textId="077000DE" w:rsidR="00B1029E" w:rsidRPr="00B1029E" w:rsidRDefault="00B1029E" w:rsidP="00B1029E">
            <w:pPr>
              <w:jc w:val="center"/>
              <w:rPr>
                <w:rFonts w:ascii="Aptos Narrow" w:hAnsi="Aptos Narrow"/>
                <w:b/>
                <w:bCs/>
                <w:color w:val="000000"/>
              </w:rPr>
            </w:pPr>
            <w:r>
              <w:rPr>
                <w:rFonts w:ascii="Aptos Narrow" w:hAnsi="Aptos Narrow"/>
                <w:b/>
                <w:bCs/>
                <w:color w:val="000000"/>
              </w:rPr>
              <w:t>Součást</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C6A4AB" w14:textId="30A1DB63"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Publikace</w:t>
            </w:r>
            <w:r>
              <w:rPr>
                <w:rFonts w:ascii="Aptos Narrow" w:hAnsi="Aptos Narrow"/>
                <w:b/>
                <w:bCs/>
                <w:color w:val="000000"/>
              </w:rPr>
              <w:br/>
            </w:r>
            <w:r w:rsidRPr="00B1029E">
              <w:rPr>
                <w:rFonts w:ascii="Aptos Narrow" w:hAnsi="Aptos Narrow"/>
                <w:b/>
                <w:bCs/>
                <w:color w:val="000000"/>
              </w:rPr>
              <w:t>v %</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A7E74C" w14:textId="3B7179B8"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Citace</w:t>
            </w:r>
            <w:r>
              <w:rPr>
                <w:rFonts w:ascii="Aptos Narrow" w:hAnsi="Aptos Narrow"/>
                <w:b/>
                <w:bCs/>
                <w:color w:val="000000"/>
              </w:rPr>
              <w:br/>
            </w:r>
            <w:r w:rsidRPr="00B1029E">
              <w:rPr>
                <w:rFonts w:ascii="Aptos Narrow" w:hAnsi="Aptos Narrow"/>
                <w:b/>
                <w:bCs/>
                <w:color w:val="000000"/>
              </w:rPr>
              <w:t>v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612AC5" w14:textId="77777777"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Výsledky projektů v %</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B2B171" w14:textId="77777777"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Výsledky M1 v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4E08DB" w14:textId="77777777" w:rsidR="00B1029E" w:rsidRPr="00B1029E" w:rsidRDefault="00B1029E" w:rsidP="00B1029E">
            <w:pPr>
              <w:jc w:val="center"/>
              <w:rPr>
                <w:rFonts w:ascii="Aptos Narrow" w:hAnsi="Aptos Narrow"/>
                <w:b/>
                <w:bCs/>
                <w:color w:val="000000"/>
              </w:rPr>
            </w:pPr>
            <w:r w:rsidRPr="00B1029E">
              <w:rPr>
                <w:rFonts w:ascii="Aptos Narrow" w:hAnsi="Aptos Narrow"/>
                <w:b/>
                <w:bCs/>
                <w:color w:val="000000"/>
              </w:rPr>
              <w:t>DKRVO motivační v %</w:t>
            </w:r>
          </w:p>
        </w:tc>
      </w:tr>
      <w:tr w:rsidR="00B1029E" w:rsidRPr="00B1029E" w14:paraId="6FBEB7FD"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1B8D17EB" w14:textId="77777777" w:rsidR="00B1029E" w:rsidRPr="00B1029E" w:rsidRDefault="00B1029E" w:rsidP="00B1029E">
            <w:pPr>
              <w:rPr>
                <w:rFonts w:ascii="Aptos Narrow" w:hAnsi="Aptos Narrow"/>
                <w:color w:val="000000"/>
              </w:rPr>
            </w:pPr>
            <w:r w:rsidRPr="00B1029E">
              <w:rPr>
                <w:rFonts w:ascii="Aptos Narrow" w:hAnsi="Aptos Narrow"/>
                <w:color w:val="000000"/>
              </w:rPr>
              <w:t>FT</w:t>
            </w:r>
          </w:p>
        </w:tc>
        <w:tc>
          <w:tcPr>
            <w:tcW w:w="1474" w:type="dxa"/>
            <w:tcBorders>
              <w:top w:val="nil"/>
              <w:left w:val="nil"/>
              <w:bottom w:val="single" w:sz="4" w:space="0" w:color="auto"/>
              <w:right w:val="single" w:sz="4" w:space="0" w:color="auto"/>
            </w:tcBorders>
            <w:noWrap/>
            <w:vAlign w:val="center"/>
            <w:hideMark/>
          </w:tcPr>
          <w:p w14:paraId="0EDB45C6"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27,63</w:t>
            </w:r>
          </w:p>
        </w:tc>
        <w:tc>
          <w:tcPr>
            <w:tcW w:w="1361" w:type="dxa"/>
            <w:tcBorders>
              <w:top w:val="nil"/>
              <w:left w:val="nil"/>
              <w:bottom w:val="single" w:sz="4" w:space="0" w:color="auto"/>
              <w:right w:val="single" w:sz="4" w:space="0" w:color="auto"/>
            </w:tcBorders>
            <w:noWrap/>
            <w:vAlign w:val="center"/>
            <w:hideMark/>
          </w:tcPr>
          <w:p w14:paraId="0D1087A3"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23,82</w:t>
            </w:r>
          </w:p>
        </w:tc>
        <w:tc>
          <w:tcPr>
            <w:tcW w:w="1701" w:type="dxa"/>
            <w:tcBorders>
              <w:top w:val="nil"/>
              <w:left w:val="nil"/>
              <w:bottom w:val="single" w:sz="4" w:space="0" w:color="auto"/>
              <w:right w:val="single" w:sz="4" w:space="0" w:color="auto"/>
            </w:tcBorders>
            <w:noWrap/>
            <w:vAlign w:val="center"/>
            <w:hideMark/>
          </w:tcPr>
          <w:p w14:paraId="4E302F5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8,48</w:t>
            </w:r>
          </w:p>
        </w:tc>
        <w:tc>
          <w:tcPr>
            <w:tcW w:w="1361" w:type="dxa"/>
            <w:tcBorders>
              <w:top w:val="nil"/>
              <w:left w:val="nil"/>
              <w:bottom w:val="single" w:sz="4" w:space="0" w:color="auto"/>
              <w:right w:val="single" w:sz="4" w:space="0" w:color="auto"/>
            </w:tcBorders>
            <w:noWrap/>
            <w:vAlign w:val="center"/>
            <w:hideMark/>
          </w:tcPr>
          <w:p w14:paraId="2995D0A3"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20,90</w:t>
            </w:r>
          </w:p>
        </w:tc>
        <w:tc>
          <w:tcPr>
            <w:tcW w:w="1701" w:type="dxa"/>
            <w:tcBorders>
              <w:top w:val="nil"/>
              <w:left w:val="nil"/>
              <w:bottom w:val="single" w:sz="4" w:space="0" w:color="auto"/>
              <w:right w:val="single" w:sz="4" w:space="0" w:color="auto"/>
            </w:tcBorders>
            <w:noWrap/>
            <w:vAlign w:val="center"/>
            <w:hideMark/>
          </w:tcPr>
          <w:p w14:paraId="7371CC7C"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21,92</w:t>
            </w:r>
          </w:p>
        </w:tc>
      </w:tr>
      <w:tr w:rsidR="00B1029E" w:rsidRPr="00B1029E" w14:paraId="58C9740B"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02A56A5D" w14:textId="77777777" w:rsidR="00B1029E" w:rsidRPr="00B1029E" w:rsidRDefault="00B1029E" w:rsidP="00B1029E">
            <w:pPr>
              <w:rPr>
                <w:rFonts w:ascii="Aptos Narrow" w:hAnsi="Aptos Narrow"/>
                <w:color w:val="000000"/>
              </w:rPr>
            </w:pPr>
            <w:r w:rsidRPr="00B1029E">
              <w:rPr>
                <w:rFonts w:ascii="Aptos Narrow" w:hAnsi="Aptos Narrow"/>
                <w:color w:val="000000"/>
              </w:rPr>
              <w:t>FLKŘ</w:t>
            </w:r>
          </w:p>
        </w:tc>
        <w:tc>
          <w:tcPr>
            <w:tcW w:w="1474" w:type="dxa"/>
            <w:tcBorders>
              <w:top w:val="nil"/>
              <w:left w:val="nil"/>
              <w:bottom w:val="single" w:sz="4" w:space="0" w:color="auto"/>
              <w:right w:val="single" w:sz="4" w:space="0" w:color="auto"/>
            </w:tcBorders>
            <w:noWrap/>
            <w:vAlign w:val="center"/>
            <w:hideMark/>
          </w:tcPr>
          <w:p w14:paraId="1EEE123B"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1,76</w:t>
            </w:r>
          </w:p>
        </w:tc>
        <w:tc>
          <w:tcPr>
            <w:tcW w:w="1361" w:type="dxa"/>
            <w:tcBorders>
              <w:top w:val="nil"/>
              <w:left w:val="nil"/>
              <w:bottom w:val="single" w:sz="4" w:space="0" w:color="auto"/>
              <w:right w:val="single" w:sz="4" w:space="0" w:color="auto"/>
            </w:tcBorders>
            <w:noWrap/>
            <w:vAlign w:val="center"/>
            <w:hideMark/>
          </w:tcPr>
          <w:p w14:paraId="2E3E2DD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0,73</w:t>
            </w:r>
          </w:p>
        </w:tc>
        <w:tc>
          <w:tcPr>
            <w:tcW w:w="1701" w:type="dxa"/>
            <w:tcBorders>
              <w:top w:val="nil"/>
              <w:left w:val="nil"/>
              <w:bottom w:val="single" w:sz="4" w:space="0" w:color="auto"/>
              <w:right w:val="single" w:sz="4" w:space="0" w:color="auto"/>
            </w:tcBorders>
            <w:noWrap/>
            <w:vAlign w:val="center"/>
            <w:hideMark/>
          </w:tcPr>
          <w:p w14:paraId="22724C42"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1,30</w:t>
            </w:r>
          </w:p>
        </w:tc>
        <w:tc>
          <w:tcPr>
            <w:tcW w:w="1361" w:type="dxa"/>
            <w:tcBorders>
              <w:top w:val="nil"/>
              <w:left w:val="nil"/>
              <w:bottom w:val="single" w:sz="4" w:space="0" w:color="auto"/>
              <w:right w:val="single" w:sz="4" w:space="0" w:color="auto"/>
            </w:tcBorders>
            <w:noWrap/>
            <w:vAlign w:val="center"/>
            <w:hideMark/>
          </w:tcPr>
          <w:p w14:paraId="15E432B5"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3,08</w:t>
            </w:r>
          </w:p>
        </w:tc>
        <w:tc>
          <w:tcPr>
            <w:tcW w:w="1701" w:type="dxa"/>
            <w:tcBorders>
              <w:top w:val="nil"/>
              <w:left w:val="nil"/>
              <w:bottom w:val="single" w:sz="4" w:space="0" w:color="auto"/>
              <w:right w:val="single" w:sz="4" w:space="0" w:color="auto"/>
            </w:tcBorders>
            <w:noWrap/>
            <w:vAlign w:val="center"/>
            <w:hideMark/>
          </w:tcPr>
          <w:p w14:paraId="6E79FC1A"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1,75</w:t>
            </w:r>
          </w:p>
        </w:tc>
      </w:tr>
      <w:tr w:rsidR="00B1029E" w:rsidRPr="00B1029E" w14:paraId="129317B8"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4375BAEA" w14:textId="77777777" w:rsidR="00B1029E" w:rsidRPr="00B1029E" w:rsidRDefault="00B1029E" w:rsidP="00B1029E">
            <w:pPr>
              <w:rPr>
                <w:rFonts w:ascii="Aptos Narrow" w:hAnsi="Aptos Narrow"/>
                <w:color w:val="000000"/>
              </w:rPr>
            </w:pPr>
            <w:r w:rsidRPr="00B1029E">
              <w:rPr>
                <w:rFonts w:ascii="Aptos Narrow" w:hAnsi="Aptos Narrow"/>
                <w:color w:val="000000"/>
              </w:rPr>
              <w:t>FAI</w:t>
            </w:r>
          </w:p>
        </w:tc>
        <w:tc>
          <w:tcPr>
            <w:tcW w:w="1474" w:type="dxa"/>
            <w:tcBorders>
              <w:top w:val="nil"/>
              <w:left w:val="nil"/>
              <w:bottom w:val="single" w:sz="4" w:space="0" w:color="auto"/>
              <w:right w:val="single" w:sz="4" w:space="0" w:color="auto"/>
            </w:tcBorders>
            <w:noWrap/>
            <w:vAlign w:val="center"/>
            <w:hideMark/>
          </w:tcPr>
          <w:p w14:paraId="16907296"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11,67</w:t>
            </w:r>
          </w:p>
        </w:tc>
        <w:tc>
          <w:tcPr>
            <w:tcW w:w="1361" w:type="dxa"/>
            <w:tcBorders>
              <w:top w:val="nil"/>
              <w:left w:val="nil"/>
              <w:bottom w:val="single" w:sz="4" w:space="0" w:color="auto"/>
              <w:right w:val="single" w:sz="4" w:space="0" w:color="auto"/>
            </w:tcBorders>
            <w:noWrap/>
            <w:vAlign w:val="center"/>
            <w:hideMark/>
          </w:tcPr>
          <w:p w14:paraId="3E889439"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8,80</w:t>
            </w:r>
          </w:p>
        </w:tc>
        <w:tc>
          <w:tcPr>
            <w:tcW w:w="1701" w:type="dxa"/>
            <w:tcBorders>
              <w:top w:val="nil"/>
              <w:left w:val="nil"/>
              <w:bottom w:val="single" w:sz="4" w:space="0" w:color="auto"/>
              <w:right w:val="single" w:sz="4" w:space="0" w:color="auto"/>
            </w:tcBorders>
            <w:noWrap/>
            <w:vAlign w:val="center"/>
            <w:hideMark/>
          </w:tcPr>
          <w:p w14:paraId="18AB1D3C"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9,02</w:t>
            </w:r>
          </w:p>
        </w:tc>
        <w:tc>
          <w:tcPr>
            <w:tcW w:w="1361" w:type="dxa"/>
            <w:tcBorders>
              <w:top w:val="nil"/>
              <w:left w:val="nil"/>
              <w:bottom w:val="single" w:sz="4" w:space="0" w:color="auto"/>
              <w:right w:val="single" w:sz="4" w:space="0" w:color="auto"/>
            </w:tcBorders>
            <w:noWrap/>
            <w:vAlign w:val="center"/>
            <w:hideMark/>
          </w:tcPr>
          <w:p w14:paraId="778D480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25,00</w:t>
            </w:r>
          </w:p>
        </w:tc>
        <w:tc>
          <w:tcPr>
            <w:tcW w:w="1701" w:type="dxa"/>
            <w:tcBorders>
              <w:top w:val="nil"/>
              <w:left w:val="nil"/>
              <w:bottom w:val="single" w:sz="4" w:space="0" w:color="auto"/>
              <w:right w:val="single" w:sz="4" w:space="0" w:color="auto"/>
            </w:tcBorders>
            <w:noWrap/>
            <w:vAlign w:val="center"/>
            <w:hideMark/>
          </w:tcPr>
          <w:p w14:paraId="0212494F"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12,81</w:t>
            </w:r>
          </w:p>
        </w:tc>
      </w:tr>
      <w:tr w:rsidR="00B1029E" w:rsidRPr="00B1029E" w14:paraId="4CCC8C9C"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3001B448" w14:textId="77777777" w:rsidR="00B1029E" w:rsidRPr="00B1029E" w:rsidRDefault="00B1029E" w:rsidP="00B1029E">
            <w:pPr>
              <w:rPr>
                <w:rFonts w:ascii="Aptos Narrow" w:hAnsi="Aptos Narrow"/>
                <w:color w:val="000000"/>
              </w:rPr>
            </w:pPr>
            <w:r w:rsidRPr="00B1029E">
              <w:rPr>
                <w:rFonts w:ascii="Aptos Narrow" w:hAnsi="Aptos Narrow"/>
                <w:color w:val="000000"/>
              </w:rPr>
              <w:t>FMK</w:t>
            </w:r>
          </w:p>
        </w:tc>
        <w:tc>
          <w:tcPr>
            <w:tcW w:w="1474" w:type="dxa"/>
            <w:tcBorders>
              <w:top w:val="nil"/>
              <w:left w:val="nil"/>
              <w:bottom w:val="single" w:sz="4" w:space="0" w:color="auto"/>
              <w:right w:val="single" w:sz="4" w:space="0" w:color="auto"/>
            </w:tcBorders>
            <w:noWrap/>
            <w:vAlign w:val="center"/>
            <w:hideMark/>
          </w:tcPr>
          <w:p w14:paraId="4C6DEEB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0,38</w:t>
            </w:r>
          </w:p>
        </w:tc>
        <w:tc>
          <w:tcPr>
            <w:tcW w:w="1361" w:type="dxa"/>
            <w:tcBorders>
              <w:top w:val="nil"/>
              <w:left w:val="nil"/>
              <w:bottom w:val="single" w:sz="4" w:space="0" w:color="auto"/>
              <w:right w:val="single" w:sz="4" w:space="0" w:color="auto"/>
            </w:tcBorders>
            <w:noWrap/>
            <w:vAlign w:val="center"/>
            <w:hideMark/>
          </w:tcPr>
          <w:p w14:paraId="306CDEE5"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0,35</w:t>
            </w:r>
          </w:p>
        </w:tc>
        <w:tc>
          <w:tcPr>
            <w:tcW w:w="1701" w:type="dxa"/>
            <w:tcBorders>
              <w:top w:val="nil"/>
              <w:left w:val="nil"/>
              <w:bottom w:val="single" w:sz="4" w:space="0" w:color="auto"/>
              <w:right w:val="single" w:sz="4" w:space="0" w:color="auto"/>
            </w:tcBorders>
            <w:noWrap/>
            <w:vAlign w:val="center"/>
            <w:hideMark/>
          </w:tcPr>
          <w:p w14:paraId="5BAFB1EF"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1,88</w:t>
            </w:r>
          </w:p>
        </w:tc>
        <w:tc>
          <w:tcPr>
            <w:tcW w:w="1361" w:type="dxa"/>
            <w:tcBorders>
              <w:top w:val="nil"/>
              <w:left w:val="nil"/>
              <w:bottom w:val="single" w:sz="4" w:space="0" w:color="auto"/>
              <w:right w:val="single" w:sz="4" w:space="0" w:color="auto"/>
            </w:tcBorders>
            <w:noWrap/>
            <w:vAlign w:val="center"/>
            <w:hideMark/>
          </w:tcPr>
          <w:p w14:paraId="7E4A073F"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1,54</w:t>
            </w:r>
          </w:p>
        </w:tc>
        <w:tc>
          <w:tcPr>
            <w:tcW w:w="1701" w:type="dxa"/>
            <w:tcBorders>
              <w:top w:val="nil"/>
              <w:left w:val="nil"/>
              <w:bottom w:val="single" w:sz="4" w:space="0" w:color="auto"/>
              <w:right w:val="single" w:sz="4" w:space="0" w:color="auto"/>
            </w:tcBorders>
            <w:noWrap/>
            <w:vAlign w:val="center"/>
            <w:hideMark/>
          </w:tcPr>
          <w:p w14:paraId="7904EB8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0,89</w:t>
            </w:r>
          </w:p>
        </w:tc>
      </w:tr>
      <w:tr w:rsidR="00B1029E" w:rsidRPr="00B1029E" w14:paraId="1EC215BA"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5E3B0C2B" w14:textId="77777777" w:rsidR="00B1029E" w:rsidRPr="00B1029E" w:rsidRDefault="00B1029E" w:rsidP="00B1029E">
            <w:pPr>
              <w:rPr>
                <w:rFonts w:ascii="Aptos Narrow" w:hAnsi="Aptos Narrow"/>
                <w:color w:val="000000"/>
              </w:rPr>
            </w:pPr>
            <w:r w:rsidRPr="00B1029E">
              <w:rPr>
                <w:rFonts w:ascii="Aptos Narrow" w:hAnsi="Aptos Narrow"/>
                <w:color w:val="000000"/>
              </w:rPr>
              <w:t>FaME</w:t>
            </w:r>
          </w:p>
        </w:tc>
        <w:tc>
          <w:tcPr>
            <w:tcW w:w="1474" w:type="dxa"/>
            <w:tcBorders>
              <w:top w:val="nil"/>
              <w:left w:val="nil"/>
              <w:bottom w:val="single" w:sz="4" w:space="0" w:color="auto"/>
              <w:right w:val="single" w:sz="4" w:space="0" w:color="auto"/>
            </w:tcBorders>
            <w:noWrap/>
            <w:vAlign w:val="center"/>
            <w:hideMark/>
          </w:tcPr>
          <w:p w14:paraId="1A4EC31C"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18,87</w:t>
            </w:r>
          </w:p>
        </w:tc>
        <w:tc>
          <w:tcPr>
            <w:tcW w:w="1361" w:type="dxa"/>
            <w:tcBorders>
              <w:top w:val="nil"/>
              <w:left w:val="nil"/>
              <w:bottom w:val="single" w:sz="4" w:space="0" w:color="auto"/>
              <w:right w:val="single" w:sz="4" w:space="0" w:color="auto"/>
            </w:tcBorders>
            <w:noWrap/>
            <w:vAlign w:val="center"/>
            <w:hideMark/>
          </w:tcPr>
          <w:p w14:paraId="5A9FDBD1"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28,30</w:t>
            </w:r>
          </w:p>
        </w:tc>
        <w:tc>
          <w:tcPr>
            <w:tcW w:w="1701" w:type="dxa"/>
            <w:tcBorders>
              <w:top w:val="nil"/>
              <w:left w:val="nil"/>
              <w:bottom w:val="single" w:sz="4" w:space="0" w:color="auto"/>
              <w:right w:val="single" w:sz="4" w:space="0" w:color="auto"/>
            </w:tcBorders>
            <w:noWrap/>
            <w:vAlign w:val="center"/>
            <w:hideMark/>
          </w:tcPr>
          <w:p w14:paraId="41C0C82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4,50</w:t>
            </w:r>
          </w:p>
        </w:tc>
        <w:tc>
          <w:tcPr>
            <w:tcW w:w="1361" w:type="dxa"/>
            <w:tcBorders>
              <w:top w:val="nil"/>
              <w:left w:val="nil"/>
              <w:bottom w:val="single" w:sz="4" w:space="0" w:color="auto"/>
              <w:right w:val="single" w:sz="4" w:space="0" w:color="auto"/>
            </w:tcBorders>
            <w:noWrap/>
            <w:vAlign w:val="center"/>
            <w:hideMark/>
          </w:tcPr>
          <w:p w14:paraId="1BCC4BBA"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4,62</w:t>
            </w:r>
          </w:p>
        </w:tc>
        <w:tc>
          <w:tcPr>
            <w:tcW w:w="1701" w:type="dxa"/>
            <w:tcBorders>
              <w:top w:val="nil"/>
              <w:left w:val="nil"/>
              <w:bottom w:val="single" w:sz="4" w:space="0" w:color="auto"/>
              <w:right w:val="single" w:sz="4" w:space="0" w:color="auto"/>
            </w:tcBorders>
            <w:noWrap/>
            <w:vAlign w:val="center"/>
            <w:hideMark/>
          </w:tcPr>
          <w:p w14:paraId="0781EF32"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14,35</w:t>
            </w:r>
          </w:p>
        </w:tc>
      </w:tr>
      <w:tr w:rsidR="00B1029E" w:rsidRPr="00B1029E" w14:paraId="1D887717"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16C83BC4" w14:textId="77777777" w:rsidR="00B1029E" w:rsidRPr="00B1029E" w:rsidRDefault="00B1029E" w:rsidP="00B1029E">
            <w:pPr>
              <w:rPr>
                <w:rFonts w:ascii="Aptos Narrow" w:hAnsi="Aptos Narrow"/>
                <w:color w:val="000000"/>
              </w:rPr>
            </w:pPr>
            <w:r w:rsidRPr="00B1029E">
              <w:rPr>
                <w:rFonts w:ascii="Aptos Narrow" w:hAnsi="Aptos Narrow"/>
                <w:color w:val="000000"/>
              </w:rPr>
              <w:t>FHS</w:t>
            </w:r>
          </w:p>
        </w:tc>
        <w:tc>
          <w:tcPr>
            <w:tcW w:w="1474" w:type="dxa"/>
            <w:tcBorders>
              <w:top w:val="nil"/>
              <w:left w:val="nil"/>
              <w:bottom w:val="single" w:sz="4" w:space="0" w:color="auto"/>
              <w:right w:val="single" w:sz="4" w:space="0" w:color="auto"/>
            </w:tcBorders>
            <w:noWrap/>
            <w:vAlign w:val="center"/>
            <w:hideMark/>
          </w:tcPr>
          <w:p w14:paraId="1AA994B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5,21</w:t>
            </w:r>
          </w:p>
        </w:tc>
        <w:tc>
          <w:tcPr>
            <w:tcW w:w="1361" w:type="dxa"/>
            <w:tcBorders>
              <w:top w:val="nil"/>
              <w:left w:val="nil"/>
              <w:bottom w:val="single" w:sz="4" w:space="0" w:color="auto"/>
              <w:right w:val="single" w:sz="4" w:space="0" w:color="auto"/>
            </w:tcBorders>
            <w:noWrap/>
            <w:vAlign w:val="center"/>
            <w:hideMark/>
          </w:tcPr>
          <w:p w14:paraId="76BAE108"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3,70</w:t>
            </w:r>
          </w:p>
        </w:tc>
        <w:tc>
          <w:tcPr>
            <w:tcW w:w="1701" w:type="dxa"/>
            <w:tcBorders>
              <w:top w:val="nil"/>
              <w:left w:val="nil"/>
              <w:bottom w:val="single" w:sz="4" w:space="0" w:color="auto"/>
              <w:right w:val="single" w:sz="4" w:space="0" w:color="auto"/>
            </w:tcBorders>
            <w:noWrap/>
            <w:vAlign w:val="center"/>
            <w:hideMark/>
          </w:tcPr>
          <w:p w14:paraId="7A57E4B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1,19</w:t>
            </w:r>
          </w:p>
        </w:tc>
        <w:tc>
          <w:tcPr>
            <w:tcW w:w="1361" w:type="dxa"/>
            <w:tcBorders>
              <w:top w:val="nil"/>
              <w:left w:val="nil"/>
              <w:bottom w:val="single" w:sz="4" w:space="0" w:color="auto"/>
              <w:right w:val="single" w:sz="4" w:space="0" w:color="auto"/>
            </w:tcBorders>
            <w:noWrap/>
            <w:vAlign w:val="center"/>
            <w:hideMark/>
          </w:tcPr>
          <w:p w14:paraId="18EE4794"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5,38</w:t>
            </w:r>
          </w:p>
        </w:tc>
        <w:tc>
          <w:tcPr>
            <w:tcW w:w="1701" w:type="dxa"/>
            <w:tcBorders>
              <w:top w:val="nil"/>
              <w:left w:val="nil"/>
              <w:bottom w:val="single" w:sz="4" w:space="0" w:color="auto"/>
              <w:right w:val="single" w:sz="4" w:space="0" w:color="auto"/>
            </w:tcBorders>
            <w:noWrap/>
            <w:vAlign w:val="center"/>
            <w:hideMark/>
          </w:tcPr>
          <w:p w14:paraId="083CBF6D"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4,18</w:t>
            </w:r>
          </w:p>
        </w:tc>
      </w:tr>
      <w:tr w:rsidR="00B1029E" w:rsidRPr="00B1029E" w14:paraId="0DFB33AA"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174D7391" w14:textId="77777777" w:rsidR="00B1029E" w:rsidRPr="00B1029E" w:rsidRDefault="00B1029E" w:rsidP="00B1029E">
            <w:pPr>
              <w:rPr>
                <w:rFonts w:ascii="Aptos Narrow" w:hAnsi="Aptos Narrow"/>
                <w:color w:val="000000"/>
              </w:rPr>
            </w:pPr>
            <w:r w:rsidRPr="00B1029E">
              <w:rPr>
                <w:rFonts w:ascii="Aptos Narrow" w:hAnsi="Aptos Narrow"/>
                <w:color w:val="000000"/>
              </w:rPr>
              <w:t>UNI</w:t>
            </w:r>
          </w:p>
        </w:tc>
        <w:tc>
          <w:tcPr>
            <w:tcW w:w="1474" w:type="dxa"/>
            <w:tcBorders>
              <w:top w:val="nil"/>
              <w:left w:val="nil"/>
              <w:bottom w:val="single" w:sz="4" w:space="0" w:color="auto"/>
              <w:right w:val="single" w:sz="4" w:space="0" w:color="auto"/>
            </w:tcBorders>
            <w:noWrap/>
            <w:vAlign w:val="center"/>
            <w:hideMark/>
          </w:tcPr>
          <w:p w14:paraId="11573CB9"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34,37</w:t>
            </w:r>
          </w:p>
        </w:tc>
        <w:tc>
          <w:tcPr>
            <w:tcW w:w="1361" w:type="dxa"/>
            <w:tcBorders>
              <w:top w:val="nil"/>
              <w:left w:val="nil"/>
              <w:bottom w:val="single" w:sz="4" w:space="0" w:color="auto"/>
              <w:right w:val="single" w:sz="4" w:space="0" w:color="auto"/>
            </w:tcBorders>
            <w:noWrap/>
            <w:vAlign w:val="center"/>
            <w:hideMark/>
          </w:tcPr>
          <w:p w14:paraId="5AC13DC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34,28</w:t>
            </w:r>
          </w:p>
        </w:tc>
        <w:tc>
          <w:tcPr>
            <w:tcW w:w="1701" w:type="dxa"/>
            <w:tcBorders>
              <w:top w:val="nil"/>
              <w:left w:val="nil"/>
              <w:bottom w:val="single" w:sz="4" w:space="0" w:color="auto"/>
              <w:right w:val="single" w:sz="4" w:space="0" w:color="auto"/>
            </w:tcBorders>
            <w:noWrap/>
            <w:vAlign w:val="center"/>
            <w:hideMark/>
          </w:tcPr>
          <w:p w14:paraId="426BDA74"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73,48</w:t>
            </w:r>
          </w:p>
        </w:tc>
        <w:tc>
          <w:tcPr>
            <w:tcW w:w="1361" w:type="dxa"/>
            <w:tcBorders>
              <w:top w:val="nil"/>
              <w:left w:val="nil"/>
              <w:bottom w:val="single" w:sz="4" w:space="0" w:color="auto"/>
              <w:right w:val="single" w:sz="4" w:space="0" w:color="auto"/>
            </w:tcBorders>
            <w:noWrap/>
            <w:vAlign w:val="center"/>
            <w:hideMark/>
          </w:tcPr>
          <w:p w14:paraId="3EA861D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39,49</w:t>
            </w:r>
          </w:p>
        </w:tc>
        <w:tc>
          <w:tcPr>
            <w:tcW w:w="1701" w:type="dxa"/>
            <w:tcBorders>
              <w:top w:val="nil"/>
              <w:left w:val="nil"/>
              <w:bottom w:val="single" w:sz="4" w:space="0" w:color="auto"/>
              <w:right w:val="single" w:sz="4" w:space="0" w:color="auto"/>
            </w:tcBorders>
            <w:noWrap/>
            <w:vAlign w:val="center"/>
            <w:hideMark/>
          </w:tcPr>
          <w:p w14:paraId="5CBE5CC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43,99</w:t>
            </w:r>
          </w:p>
        </w:tc>
      </w:tr>
      <w:tr w:rsidR="00B1029E" w:rsidRPr="00B1029E" w14:paraId="039D3C05"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6C2084C4" w14:textId="77777777" w:rsidR="00B1029E" w:rsidRPr="00B1029E" w:rsidRDefault="00B1029E" w:rsidP="00B1029E">
            <w:pPr>
              <w:rPr>
                <w:rFonts w:ascii="Aptos Narrow" w:hAnsi="Aptos Narrow"/>
                <w:color w:val="000000"/>
              </w:rPr>
            </w:pPr>
            <w:r w:rsidRPr="00B1029E">
              <w:rPr>
                <w:rFonts w:ascii="Aptos Narrow" w:hAnsi="Aptos Narrow"/>
                <w:color w:val="000000"/>
              </w:rPr>
              <w:t>Knihovna</w:t>
            </w:r>
          </w:p>
        </w:tc>
        <w:tc>
          <w:tcPr>
            <w:tcW w:w="1474" w:type="dxa"/>
            <w:tcBorders>
              <w:top w:val="nil"/>
              <w:left w:val="nil"/>
              <w:bottom w:val="single" w:sz="4" w:space="0" w:color="auto"/>
              <w:right w:val="single" w:sz="4" w:space="0" w:color="auto"/>
            </w:tcBorders>
            <w:noWrap/>
            <w:vAlign w:val="center"/>
            <w:hideMark/>
          </w:tcPr>
          <w:p w14:paraId="369234B0"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0,11</w:t>
            </w:r>
          </w:p>
        </w:tc>
        <w:tc>
          <w:tcPr>
            <w:tcW w:w="1361" w:type="dxa"/>
            <w:tcBorders>
              <w:top w:val="nil"/>
              <w:left w:val="nil"/>
              <w:bottom w:val="single" w:sz="4" w:space="0" w:color="auto"/>
              <w:right w:val="single" w:sz="4" w:space="0" w:color="auto"/>
            </w:tcBorders>
            <w:noWrap/>
            <w:vAlign w:val="center"/>
            <w:hideMark/>
          </w:tcPr>
          <w:p w14:paraId="21FC038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0,02</w:t>
            </w:r>
          </w:p>
        </w:tc>
        <w:tc>
          <w:tcPr>
            <w:tcW w:w="1701" w:type="dxa"/>
            <w:tcBorders>
              <w:top w:val="nil"/>
              <w:left w:val="nil"/>
              <w:bottom w:val="single" w:sz="4" w:space="0" w:color="auto"/>
              <w:right w:val="single" w:sz="4" w:space="0" w:color="auto"/>
            </w:tcBorders>
            <w:noWrap/>
            <w:vAlign w:val="center"/>
            <w:hideMark/>
          </w:tcPr>
          <w:p w14:paraId="5C211A3A"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0,14</w:t>
            </w:r>
          </w:p>
        </w:tc>
        <w:tc>
          <w:tcPr>
            <w:tcW w:w="1361" w:type="dxa"/>
            <w:tcBorders>
              <w:top w:val="nil"/>
              <w:left w:val="nil"/>
              <w:bottom w:val="single" w:sz="4" w:space="0" w:color="auto"/>
              <w:right w:val="single" w:sz="4" w:space="0" w:color="auto"/>
            </w:tcBorders>
            <w:noWrap/>
            <w:vAlign w:val="center"/>
            <w:hideMark/>
          </w:tcPr>
          <w:p w14:paraId="7CF81362"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701" w:type="dxa"/>
            <w:tcBorders>
              <w:top w:val="nil"/>
              <w:left w:val="nil"/>
              <w:bottom w:val="single" w:sz="4" w:space="0" w:color="auto"/>
              <w:right w:val="single" w:sz="4" w:space="0" w:color="auto"/>
            </w:tcBorders>
            <w:noWrap/>
            <w:vAlign w:val="center"/>
            <w:hideMark/>
          </w:tcPr>
          <w:p w14:paraId="540CA185"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0,09</w:t>
            </w:r>
          </w:p>
        </w:tc>
      </w:tr>
      <w:tr w:rsidR="00B1029E" w:rsidRPr="00B1029E" w14:paraId="64B5C911"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421430FB" w14:textId="77777777" w:rsidR="00B1029E" w:rsidRPr="00B1029E" w:rsidRDefault="00B1029E" w:rsidP="00B1029E">
            <w:pPr>
              <w:rPr>
                <w:rFonts w:ascii="Aptos Narrow" w:hAnsi="Aptos Narrow"/>
                <w:color w:val="000000"/>
              </w:rPr>
            </w:pPr>
            <w:r w:rsidRPr="00B1029E">
              <w:rPr>
                <w:rFonts w:ascii="Aptos Narrow" w:hAnsi="Aptos Narrow"/>
                <w:color w:val="000000"/>
              </w:rPr>
              <w:t>KMZ</w:t>
            </w:r>
          </w:p>
        </w:tc>
        <w:tc>
          <w:tcPr>
            <w:tcW w:w="1474" w:type="dxa"/>
            <w:tcBorders>
              <w:top w:val="nil"/>
              <w:left w:val="nil"/>
              <w:bottom w:val="single" w:sz="4" w:space="0" w:color="auto"/>
              <w:right w:val="single" w:sz="4" w:space="0" w:color="auto"/>
            </w:tcBorders>
            <w:noWrap/>
            <w:vAlign w:val="center"/>
            <w:hideMark/>
          </w:tcPr>
          <w:p w14:paraId="1BA7EA9F"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13E09CA6"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701" w:type="dxa"/>
            <w:tcBorders>
              <w:top w:val="nil"/>
              <w:left w:val="nil"/>
              <w:bottom w:val="single" w:sz="4" w:space="0" w:color="auto"/>
              <w:right w:val="single" w:sz="4" w:space="0" w:color="auto"/>
            </w:tcBorders>
            <w:noWrap/>
            <w:vAlign w:val="center"/>
            <w:hideMark/>
          </w:tcPr>
          <w:p w14:paraId="2AE63957"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5D327873"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c>
          <w:tcPr>
            <w:tcW w:w="1701" w:type="dxa"/>
            <w:tcBorders>
              <w:top w:val="nil"/>
              <w:left w:val="nil"/>
              <w:bottom w:val="single" w:sz="4" w:space="0" w:color="auto"/>
              <w:right w:val="single" w:sz="4" w:space="0" w:color="auto"/>
            </w:tcBorders>
            <w:noWrap/>
            <w:vAlign w:val="center"/>
            <w:hideMark/>
          </w:tcPr>
          <w:p w14:paraId="7443B64E" w14:textId="77777777" w:rsidR="00B1029E" w:rsidRPr="00B1029E" w:rsidRDefault="00B1029E" w:rsidP="00B1029E">
            <w:pPr>
              <w:jc w:val="right"/>
              <w:rPr>
                <w:rFonts w:ascii="Aptos Narrow" w:hAnsi="Aptos Narrow"/>
                <w:color w:val="000000"/>
              </w:rPr>
            </w:pPr>
            <w:r w:rsidRPr="00B1029E">
              <w:rPr>
                <w:rFonts w:ascii="Aptos Narrow" w:hAnsi="Aptos Narrow"/>
                <w:color w:val="000000"/>
              </w:rPr>
              <w:t>0,00</w:t>
            </w:r>
          </w:p>
        </w:tc>
      </w:tr>
      <w:tr w:rsidR="00B1029E" w:rsidRPr="00B1029E" w14:paraId="326AB58B" w14:textId="77777777" w:rsidTr="00B1029E">
        <w:trPr>
          <w:trHeight w:val="320"/>
        </w:trPr>
        <w:tc>
          <w:tcPr>
            <w:tcW w:w="1474" w:type="dxa"/>
            <w:tcBorders>
              <w:top w:val="nil"/>
              <w:left w:val="single" w:sz="4" w:space="0" w:color="auto"/>
              <w:bottom w:val="single" w:sz="4" w:space="0" w:color="auto"/>
              <w:right w:val="single" w:sz="4" w:space="0" w:color="auto"/>
            </w:tcBorders>
            <w:noWrap/>
            <w:vAlign w:val="center"/>
            <w:hideMark/>
          </w:tcPr>
          <w:p w14:paraId="2CEF7F3F" w14:textId="77777777" w:rsidR="00B1029E" w:rsidRPr="00B1029E" w:rsidRDefault="00B1029E" w:rsidP="00B1029E">
            <w:pPr>
              <w:rPr>
                <w:rFonts w:ascii="Aptos Narrow" w:hAnsi="Aptos Narrow"/>
                <w:b/>
                <w:bCs/>
                <w:color w:val="000000"/>
              </w:rPr>
            </w:pPr>
            <w:r w:rsidRPr="00B1029E">
              <w:rPr>
                <w:rFonts w:ascii="Aptos Narrow" w:hAnsi="Aptos Narrow"/>
                <w:b/>
                <w:bCs/>
                <w:color w:val="000000"/>
              </w:rPr>
              <w:t>Celkem</w:t>
            </w:r>
          </w:p>
        </w:tc>
        <w:tc>
          <w:tcPr>
            <w:tcW w:w="1474" w:type="dxa"/>
            <w:tcBorders>
              <w:top w:val="nil"/>
              <w:left w:val="nil"/>
              <w:bottom w:val="single" w:sz="4" w:space="0" w:color="auto"/>
              <w:right w:val="single" w:sz="4" w:space="0" w:color="auto"/>
            </w:tcBorders>
            <w:noWrap/>
            <w:vAlign w:val="center"/>
            <w:hideMark/>
          </w:tcPr>
          <w:p w14:paraId="7AF16734"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361" w:type="dxa"/>
            <w:tcBorders>
              <w:top w:val="nil"/>
              <w:left w:val="nil"/>
              <w:bottom w:val="single" w:sz="4" w:space="0" w:color="auto"/>
              <w:right w:val="single" w:sz="4" w:space="0" w:color="auto"/>
            </w:tcBorders>
            <w:noWrap/>
            <w:vAlign w:val="center"/>
            <w:hideMark/>
          </w:tcPr>
          <w:p w14:paraId="1A11357F"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701" w:type="dxa"/>
            <w:tcBorders>
              <w:top w:val="nil"/>
              <w:left w:val="nil"/>
              <w:bottom w:val="single" w:sz="4" w:space="0" w:color="auto"/>
              <w:right w:val="single" w:sz="4" w:space="0" w:color="auto"/>
            </w:tcBorders>
            <w:noWrap/>
            <w:vAlign w:val="center"/>
            <w:hideMark/>
          </w:tcPr>
          <w:p w14:paraId="213E0981"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361" w:type="dxa"/>
            <w:tcBorders>
              <w:top w:val="nil"/>
              <w:left w:val="nil"/>
              <w:bottom w:val="single" w:sz="4" w:space="0" w:color="auto"/>
              <w:right w:val="single" w:sz="4" w:space="0" w:color="auto"/>
            </w:tcBorders>
            <w:noWrap/>
            <w:vAlign w:val="center"/>
            <w:hideMark/>
          </w:tcPr>
          <w:p w14:paraId="63FF4E76"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c>
          <w:tcPr>
            <w:tcW w:w="1701" w:type="dxa"/>
            <w:tcBorders>
              <w:top w:val="nil"/>
              <w:left w:val="nil"/>
              <w:bottom w:val="single" w:sz="4" w:space="0" w:color="auto"/>
              <w:right w:val="single" w:sz="4" w:space="0" w:color="auto"/>
            </w:tcBorders>
            <w:noWrap/>
            <w:vAlign w:val="center"/>
            <w:hideMark/>
          </w:tcPr>
          <w:p w14:paraId="5471F256" w14:textId="77777777" w:rsidR="00B1029E" w:rsidRPr="00B1029E" w:rsidRDefault="00B1029E" w:rsidP="00B1029E">
            <w:pPr>
              <w:jc w:val="right"/>
              <w:rPr>
                <w:rFonts w:ascii="Aptos Narrow" w:hAnsi="Aptos Narrow"/>
                <w:b/>
                <w:bCs/>
                <w:color w:val="000000"/>
              </w:rPr>
            </w:pPr>
            <w:r w:rsidRPr="00B1029E">
              <w:rPr>
                <w:rFonts w:ascii="Aptos Narrow" w:hAnsi="Aptos Narrow"/>
                <w:b/>
                <w:bCs/>
                <w:color w:val="000000"/>
              </w:rPr>
              <w:t>100,00</w:t>
            </w:r>
          </w:p>
        </w:tc>
      </w:tr>
    </w:tbl>
    <w:p w14:paraId="6FA7FCDF" w14:textId="77777777" w:rsidR="00E8532A" w:rsidRDefault="00E8532A">
      <w:pPr>
        <w:rPr>
          <w:rFonts w:asciiTheme="majorHAnsi" w:eastAsiaTheme="majorEastAsia" w:hAnsiTheme="majorHAnsi" w:cstheme="majorBidi"/>
          <w:color w:val="2F5496" w:themeColor="accent1" w:themeShade="BF"/>
          <w:sz w:val="26"/>
          <w:szCs w:val="26"/>
        </w:rPr>
      </w:pPr>
      <w:r>
        <w:br w:type="page"/>
      </w:r>
    </w:p>
    <w:p w14:paraId="1A9CDC05" w14:textId="77777777" w:rsidR="003F4FF8" w:rsidRDefault="003F4FF8" w:rsidP="003F4FF8">
      <w:pPr>
        <w:pStyle w:val="RozpocetNadpis2"/>
      </w:pPr>
      <w:bookmarkStart w:id="29" w:name="_Toc228824340"/>
      <w:r>
        <w:lastRenderedPageBreak/>
        <w:t xml:space="preserve">Indikátor pro rozdělení </w:t>
      </w:r>
      <w:r w:rsidRPr="003F4FF8">
        <w:t xml:space="preserve">účelové podpory na </w:t>
      </w:r>
      <w:r>
        <w:t>SVV</w:t>
      </w:r>
      <w:bookmarkEnd w:id="29"/>
    </w:p>
    <w:p w14:paraId="2C0F90D6" w14:textId="77777777" w:rsidR="005D7532" w:rsidRPr="000A20AA" w:rsidRDefault="005D7532" w:rsidP="005D7532">
      <w:pPr>
        <w:pStyle w:val="RozpocetOdstavec"/>
      </w:pPr>
      <w:r w:rsidRPr="000A20AA">
        <w:t>Účelová podpora na specifický vysokoškolský výzkum bude mezi součásti rozdělena v celé výši s respektováním Pravidel poskytování SVV.</w:t>
      </w:r>
    </w:p>
    <w:p w14:paraId="55B46E31" w14:textId="77777777" w:rsidR="00B1029E" w:rsidRDefault="00B1029E" w:rsidP="005D7532">
      <w:pPr>
        <w:pStyle w:val="RozpocetOdstavec"/>
        <w:rPr>
          <w:color w:val="00B05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737"/>
        <w:gridCol w:w="737"/>
        <w:gridCol w:w="737"/>
        <w:gridCol w:w="1134"/>
        <w:gridCol w:w="1701"/>
        <w:gridCol w:w="1701"/>
      </w:tblGrid>
      <w:tr w:rsidR="00AB52A9" w:rsidRPr="00AB52A9" w14:paraId="66C8B263" w14:textId="77777777" w:rsidTr="0023064C">
        <w:trPr>
          <w:trHeight w:val="320"/>
        </w:trPr>
        <w:tc>
          <w:tcPr>
            <w:tcW w:w="2324" w:type="dxa"/>
            <w:shd w:val="clear" w:color="auto" w:fill="D9D9D9" w:themeFill="background1" w:themeFillShade="D9"/>
            <w:noWrap/>
            <w:vAlign w:val="center"/>
            <w:hideMark/>
          </w:tcPr>
          <w:p w14:paraId="64131948" w14:textId="7A30E18A" w:rsidR="00AB52A9" w:rsidRPr="00AB52A9" w:rsidRDefault="00AB52A9" w:rsidP="00AB52A9">
            <w:pPr>
              <w:jc w:val="center"/>
              <w:rPr>
                <w:rFonts w:ascii="Aptos Narrow" w:hAnsi="Aptos Narrow"/>
                <w:b/>
                <w:bCs/>
                <w:color w:val="000000"/>
              </w:rPr>
            </w:pPr>
            <w:r>
              <w:rPr>
                <w:rFonts w:ascii="Aptos Narrow" w:hAnsi="Aptos Narrow"/>
                <w:b/>
                <w:bCs/>
                <w:color w:val="000000"/>
              </w:rPr>
              <w:t>Součást</w:t>
            </w:r>
          </w:p>
        </w:tc>
        <w:tc>
          <w:tcPr>
            <w:tcW w:w="737" w:type="dxa"/>
            <w:shd w:val="clear" w:color="auto" w:fill="D9D9D9" w:themeFill="background1" w:themeFillShade="D9"/>
            <w:noWrap/>
            <w:vAlign w:val="center"/>
            <w:hideMark/>
          </w:tcPr>
          <w:p w14:paraId="4BBDCD00"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d</w:t>
            </w:r>
          </w:p>
        </w:tc>
        <w:tc>
          <w:tcPr>
            <w:tcW w:w="737" w:type="dxa"/>
            <w:shd w:val="clear" w:color="auto" w:fill="D9D9D9" w:themeFill="background1" w:themeFillShade="D9"/>
            <w:noWrap/>
            <w:vAlign w:val="center"/>
            <w:hideMark/>
          </w:tcPr>
          <w:p w14:paraId="4B6E5DC7"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m</w:t>
            </w:r>
          </w:p>
        </w:tc>
        <w:tc>
          <w:tcPr>
            <w:tcW w:w="737" w:type="dxa"/>
            <w:shd w:val="clear" w:color="auto" w:fill="D9D9D9" w:themeFill="background1" w:themeFillShade="D9"/>
            <w:noWrap/>
            <w:vAlign w:val="center"/>
            <w:hideMark/>
          </w:tcPr>
          <w:p w14:paraId="641080E5"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a</w:t>
            </w:r>
          </w:p>
        </w:tc>
        <w:tc>
          <w:tcPr>
            <w:tcW w:w="1134" w:type="dxa"/>
            <w:shd w:val="clear" w:color="auto" w:fill="D9D9D9" w:themeFill="background1" w:themeFillShade="D9"/>
            <w:noWrap/>
            <w:vAlign w:val="center"/>
            <w:hideMark/>
          </w:tcPr>
          <w:p w14:paraId="682DB6B8"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v</w:t>
            </w:r>
          </w:p>
        </w:tc>
        <w:tc>
          <w:tcPr>
            <w:tcW w:w="1701" w:type="dxa"/>
            <w:shd w:val="clear" w:color="auto" w:fill="D9D9D9" w:themeFill="background1" w:themeFillShade="D9"/>
            <w:noWrap/>
            <w:vAlign w:val="center"/>
            <w:hideMark/>
          </w:tcPr>
          <w:p w14:paraId="3CC78F67"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SVV</w:t>
            </w:r>
          </w:p>
        </w:tc>
        <w:tc>
          <w:tcPr>
            <w:tcW w:w="1701" w:type="dxa"/>
            <w:shd w:val="clear" w:color="auto" w:fill="D9D9D9" w:themeFill="background1" w:themeFillShade="D9"/>
            <w:noWrap/>
            <w:vAlign w:val="center"/>
            <w:hideMark/>
          </w:tcPr>
          <w:p w14:paraId="4ED54519" w14:textId="77777777" w:rsidR="00AB52A9" w:rsidRPr="00AB52A9" w:rsidRDefault="00AB52A9" w:rsidP="00AB52A9">
            <w:pPr>
              <w:jc w:val="center"/>
              <w:rPr>
                <w:rFonts w:ascii="Aptos Narrow" w:hAnsi="Aptos Narrow"/>
                <w:b/>
                <w:bCs/>
                <w:color w:val="000000"/>
              </w:rPr>
            </w:pPr>
            <w:r w:rsidRPr="00AB52A9">
              <w:rPr>
                <w:rFonts w:ascii="Aptos Narrow" w:hAnsi="Aptos Narrow"/>
                <w:b/>
                <w:bCs/>
                <w:color w:val="000000"/>
              </w:rPr>
              <w:t>SVV v %</w:t>
            </w:r>
          </w:p>
        </w:tc>
      </w:tr>
      <w:tr w:rsidR="00AB52A9" w:rsidRPr="00AB52A9" w14:paraId="49AA3113" w14:textId="77777777" w:rsidTr="0023064C">
        <w:trPr>
          <w:trHeight w:val="360"/>
        </w:trPr>
        <w:tc>
          <w:tcPr>
            <w:tcW w:w="2324" w:type="dxa"/>
            <w:vAlign w:val="center"/>
            <w:hideMark/>
          </w:tcPr>
          <w:p w14:paraId="3C7065CB" w14:textId="77777777" w:rsidR="00AB52A9" w:rsidRPr="00AB52A9" w:rsidRDefault="00AB52A9" w:rsidP="00AB52A9">
            <w:pPr>
              <w:rPr>
                <w:rFonts w:ascii="Aptos Narrow" w:hAnsi="Aptos Narrow"/>
                <w:color w:val="000000"/>
              </w:rPr>
            </w:pPr>
            <w:r w:rsidRPr="00AB52A9">
              <w:rPr>
                <w:rFonts w:ascii="Aptos Narrow" w:hAnsi="Aptos Narrow"/>
                <w:color w:val="000000"/>
              </w:rPr>
              <w:t>FT</w:t>
            </w:r>
          </w:p>
        </w:tc>
        <w:tc>
          <w:tcPr>
            <w:tcW w:w="737" w:type="dxa"/>
            <w:vAlign w:val="center"/>
            <w:hideMark/>
          </w:tcPr>
          <w:p w14:paraId="3EFDF0D1" w14:textId="77777777" w:rsidR="00AB52A9" w:rsidRPr="00AB52A9" w:rsidRDefault="00AB52A9" w:rsidP="0023064C">
            <w:pPr>
              <w:jc w:val="right"/>
              <w:rPr>
                <w:rFonts w:ascii="Aptos" w:hAnsi="Aptos"/>
                <w:color w:val="000000"/>
              </w:rPr>
            </w:pPr>
            <w:r w:rsidRPr="00AB52A9">
              <w:rPr>
                <w:rFonts w:ascii="Aptos" w:hAnsi="Aptos"/>
                <w:color w:val="000000"/>
              </w:rPr>
              <w:t>68</w:t>
            </w:r>
          </w:p>
        </w:tc>
        <w:tc>
          <w:tcPr>
            <w:tcW w:w="737" w:type="dxa"/>
            <w:vAlign w:val="center"/>
            <w:hideMark/>
          </w:tcPr>
          <w:p w14:paraId="2F0C5420" w14:textId="77777777" w:rsidR="00AB52A9" w:rsidRPr="00AB52A9" w:rsidRDefault="00AB52A9" w:rsidP="0023064C">
            <w:pPr>
              <w:jc w:val="right"/>
              <w:rPr>
                <w:rFonts w:ascii="Aptos" w:hAnsi="Aptos"/>
                <w:color w:val="000000"/>
              </w:rPr>
            </w:pPr>
            <w:r w:rsidRPr="00AB52A9">
              <w:rPr>
                <w:rFonts w:ascii="Aptos" w:hAnsi="Aptos"/>
                <w:color w:val="000000"/>
              </w:rPr>
              <w:t>92</w:t>
            </w:r>
          </w:p>
        </w:tc>
        <w:tc>
          <w:tcPr>
            <w:tcW w:w="737" w:type="dxa"/>
            <w:vAlign w:val="center"/>
            <w:hideMark/>
          </w:tcPr>
          <w:p w14:paraId="07040D12" w14:textId="77777777" w:rsidR="00AB52A9" w:rsidRPr="00AB52A9" w:rsidRDefault="00AB52A9" w:rsidP="0023064C">
            <w:pPr>
              <w:jc w:val="right"/>
              <w:rPr>
                <w:rFonts w:ascii="Aptos" w:hAnsi="Aptos"/>
                <w:color w:val="000000"/>
              </w:rPr>
            </w:pPr>
            <w:r w:rsidRPr="00AB52A9">
              <w:rPr>
                <w:rFonts w:ascii="Aptos" w:hAnsi="Aptos"/>
                <w:color w:val="000000"/>
              </w:rPr>
              <w:t>11</w:t>
            </w:r>
          </w:p>
        </w:tc>
        <w:tc>
          <w:tcPr>
            <w:tcW w:w="1134" w:type="dxa"/>
            <w:vAlign w:val="center"/>
            <w:hideMark/>
          </w:tcPr>
          <w:p w14:paraId="41761CE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20 434</w:t>
            </w:r>
          </w:p>
        </w:tc>
        <w:tc>
          <w:tcPr>
            <w:tcW w:w="1701" w:type="dxa"/>
            <w:noWrap/>
            <w:vAlign w:val="center"/>
            <w:hideMark/>
          </w:tcPr>
          <w:p w14:paraId="6B4031BE"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0,22</w:t>
            </w:r>
          </w:p>
        </w:tc>
        <w:tc>
          <w:tcPr>
            <w:tcW w:w="1701" w:type="dxa"/>
            <w:noWrap/>
            <w:vAlign w:val="center"/>
            <w:hideMark/>
          </w:tcPr>
          <w:p w14:paraId="18C14614"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25,19</w:t>
            </w:r>
          </w:p>
        </w:tc>
      </w:tr>
      <w:tr w:rsidR="00AB52A9" w:rsidRPr="00AB52A9" w14:paraId="70D35BD7" w14:textId="77777777" w:rsidTr="0023064C">
        <w:trPr>
          <w:trHeight w:val="360"/>
        </w:trPr>
        <w:tc>
          <w:tcPr>
            <w:tcW w:w="2324" w:type="dxa"/>
            <w:vAlign w:val="center"/>
            <w:hideMark/>
          </w:tcPr>
          <w:p w14:paraId="21298E81" w14:textId="77777777" w:rsidR="00AB52A9" w:rsidRPr="00AB52A9" w:rsidRDefault="00AB52A9" w:rsidP="00AB52A9">
            <w:pPr>
              <w:rPr>
                <w:rFonts w:ascii="Aptos Narrow" w:hAnsi="Aptos Narrow"/>
                <w:color w:val="000000"/>
              </w:rPr>
            </w:pPr>
            <w:r w:rsidRPr="00AB52A9">
              <w:rPr>
                <w:rFonts w:ascii="Aptos Narrow" w:hAnsi="Aptos Narrow"/>
                <w:color w:val="000000"/>
              </w:rPr>
              <w:t>FLKŘ</w:t>
            </w:r>
          </w:p>
        </w:tc>
        <w:tc>
          <w:tcPr>
            <w:tcW w:w="737" w:type="dxa"/>
            <w:vAlign w:val="center"/>
            <w:hideMark/>
          </w:tcPr>
          <w:p w14:paraId="524CB438"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737" w:type="dxa"/>
            <w:vAlign w:val="center"/>
            <w:hideMark/>
          </w:tcPr>
          <w:p w14:paraId="63AA9B83" w14:textId="77777777" w:rsidR="00AB52A9" w:rsidRPr="00AB52A9" w:rsidRDefault="00AB52A9" w:rsidP="0023064C">
            <w:pPr>
              <w:jc w:val="right"/>
              <w:rPr>
                <w:rFonts w:ascii="Aptos" w:hAnsi="Aptos"/>
                <w:color w:val="000000"/>
              </w:rPr>
            </w:pPr>
            <w:r w:rsidRPr="00AB52A9">
              <w:rPr>
                <w:rFonts w:ascii="Aptos" w:hAnsi="Aptos"/>
                <w:color w:val="000000"/>
              </w:rPr>
              <w:t>131</w:t>
            </w:r>
          </w:p>
        </w:tc>
        <w:tc>
          <w:tcPr>
            <w:tcW w:w="737" w:type="dxa"/>
            <w:vAlign w:val="center"/>
            <w:hideMark/>
          </w:tcPr>
          <w:p w14:paraId="231CE242"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1134" w:type="dxa"/>
            <w:vAlign w:val="center"/>
            <w:hideMark/>
          </w:tcPr>
          <w:p w14:paraId="2620C682"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2 589</w:t>
            </w:r>
          </w:p>
        </w:tc>
        <w:tc>
          <w:tcPr>
            <w:tcW w:w="1701" w:type="dxa"/>
            <w:noWrap/>
            <w:vAlign w:val="center"/>
            <w:hideMark/>
          </w:tcPr>
          <w:p w14:paraId="526C3C79"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0,03</w:t>
            </w:r>
          </w:p>
        </w:tc>
        <w:tc>
          <w:tcPr>
            <w:tcW w:w="1701" w:type="dxa"/>
            <w:noWrap/>
            <w:vAlign w:val="center"/>
            <w:hideMark/>
          </w:tcPr>
          <w:p w14:paraId="1D58C03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3,07</w:t>
            </w:r>
          </w:p>
        </w:tc>
      </w:tr>
      <w:tr w:rsidR="00AB52A9" w:rsidRPr="00AB52A9" w14:paraId="368B9A2D" w14:textId="77777777" w:rsidTr="0023064C">
        <w:trPr>
          <w:trHeight w:val="360"/>
        </w:trPr>
        <w:tc>
          <w:tcPr>
            <w:tcW w:w="2324" w:type="dxa"/>
            <w:vAlign w:val="center"/>
            <w:hideMark/>
          </w:tcPr>
          <w:p w14:paraId="77774116" w14:textId="77777777" w:rsidR="00AB52A9" w:rsidRPr="00AB52A9" w:rsidRDefault="00AB52A9" w:rsidP="00AB52A9">
            <w:pPr>
              <w:rPr>
                <w:rFonts w:ascii="Aptos Narrow" w:hAnsi="Aptos Narrow"/>
                <w:color w:val="000000"/>
              </w:rPr>
            </w:pPr>
            <w:r w:rsidRPr="00AB52A9">
              <w:rPr>
                <w:rFonts w:ascii="Aptos Narrow" w:hAnsi="Aptos Narrow"/>
                <w:color w:val="000000"/>
              </w:rPr>
              <w:t>FAI</w:t>
            </w:r>
          </w:p>
        </w:tc>
        <w:tc>
          <w:tcPr>
            <w:tcW w:w="737" w:type="dxa"/>
            <w:vAlign w:val="center"/>
            <w:hideMark/>
          </w:tcPr>
          <w:p w14:paraId="3508DE1B" w14:textId="77777777" w:rsidR="00AB52A9" w:rsidRPr="00AB52A9" w:rsidRDefault="00AB52A9" w:rsidP="0023064C">
            <w:pPr>
              <w:jc w:val="right"/>
              <w:rPr>
                <w:rFonts w:ascii="Aptos" w:hAnsi="Aptos"/>
                <w:color w:val="000000"/>
              </w:rPr>
            </w:pPr>
            <w:r w:rsidRPr="00AB52A9">
              <w:rPr>
                <w:rFonts w:ascii="Aptos" w:hAnsi="Aptos"/>
                <w:color w:val="000000"/>
              </w:rPr>
              <w:t>54</w:t>
            </w:r>
          </w:p>
        </w:tc>
        <w:tc>
          <w:tcPr>
            <w:tcW w:w="737" w:type="dxa"/>
            <w:vAlign w:val="center"/>
            <w:hideMark/>
          </w:tcPr>
          <w:p w14:paraId="303D880D" w14:textId="77777777" w:rsidR="00AB52A9" w:rsidRPr="00AB52A9" w:rsidRDefault="00AB52A9" w:rsidP="0023064C">
            <w:pPr>
              <w:jc w:val="right"/>
              <w:rPr>
                <w:rFonts w:ascii="Aptos" w:hAnsi="Aptos"/>
                <w:color w:val="000000"/>
              </w:rPr>
            </w:pPr>
            <w:r w:rsidRPr="00AB52A9">
              <w:rPr>
                <w:rFonts w:ascii="Aptos" w:hAnsi="Aptos"/>
                <w:color w:val="000000"/>
              </w:rPr>
              <w:t>136</w:t>
            </w:r>
          </w:p>
        </w:tc>
        <w:tc>
          <w:tcPr>
            <w:tcW w:w="737" w:type="dxa"/>
            <w:vAlign w:val="center"/>
            <w:hideMark/>
          </w:tcPr>
          <w:p w14:paraId="4399372F" w14:textId="77777777" w:rsidR="00AB52A9" w:rsidRPr="00AB52A9" w:rsidRDefault="00AB52A9" w:rsidP="0023064C">
            <w:pPr>
              <w:jc w:val="right"/>
              <w:rPr>
                <w:rFonts w:ascii="Aptos" w:hAnsi="Aptos"/>
                <w:color w:val="000000"/>
              </w:rPr>
            </w:pPr>
            <w:r w:rsidRPr="00AB52A9">
              <w:rPr>
                <w:rFonts w:ascii="Aptos" w:hAnsi="Aptos"/>
                <w:color w:val="000000"/>
              </w:rPr>
              <w:t>3</w:t>
            </w:r>
          </w:p>
        </w:tc>
        <w:tc>
          <w:tcPr>
            <w:tcW w:w="1134" w:type="dxa"/>
            <w:vAlign w:val="center"/>
            <w:hideMark/>
          </w:tcPr>
          <w:p w14:paraId="67E6E575"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18 478</w:t>
            </w:r>
          </w:p>
        </w:tc>
        <w:tc>
          <w:tcPr>
            <w:tcW w:w="1701" w:type="dxa"/>
            <w:noWrap/>
            <w:vAlign w:val="center"/>
            <w:hideMark/>
          </w:tcPr>
          <w:p w14:paraId="1FFD9C1D"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0,18</w:t>
            </w:r>
          </w:p>
        </w:tc>
        <w:tc>
          <w:tcPr>
            <w:tcW w:w="1701" w:type="dxa"/>
            <w:noWrap/>
            <w:vAlign w:val="center"/>
            <w:hideMark/>
          </w:tcPr>
          <w:p w14:paraId="5F5AB982"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20,72</w:t>
            </w:r>
          </w:p>
        </w:tc>
      </w:tr>
      <w:tr w:rsidR="00AB52A9" w:rsidRPr="00AB52A9" w14:paraId="7D38EFA5" w14:textId="77777777" w:rsidTr="0023064C">
        <w:trPr>
          <w:trHeight w:val="360"/>
        </w:trPr>
        <w:tc>
          <w:tcPr>
            <w:tcW w:w="2324" w:type="dxa"/>
            <w:vAlign w:val="center"/>
            <w:hideMark/>
          </w:tcPr>
          <w:p w14:paraId="24A6840B" w14:textId="77777777" w:rsidR="00AB52A9" w:rsidRPr="00AB52A9" w:rsidRDefault="00AB52A9" w:rsidP="00AB52A9">
            <w:pPr>
              <w:rPr>
                <w:rFonts w:ascii="Aptos Narrow" w:hAnsi="Aptos Narrow"/>
                <w:color w:val="000000"/>
              </w:rPr>
            </w:pPr>
            <w:r w:rsidRPr="00AB52A9">
              <w:rPr>
                <w:rFonts w:ascii="Aptos Narrow" w:hAnsi="Aptos Narrow"/>
                <w:color w:val="000000"/>
              </w:rPr>
              <w:t>FMK</w:t>
            </w:r>
          </w:p>
        </w:tc>
        <w:tc>
          <w:tcPr>
            <w:tcW w:w="737" w:type="dxa"/>
            <w:vAlign w:val="center"/>
            <w:hideMark/>
          </w:tcPr>
          <w:p w14:paraId="23246FB7" w14:textId="77777777" w:rsidR="00AB52A9" w:rsidRPr="00AB52A9" w:rsidRDefault="00AB52A9" w:rsidP="0023064C">
            <w:pPr>
              <w:jc w:val="right"/>
              <w:rPr>
                <w:rFonts w:ascii="Aptos" w:hAnsi="Aptos"/>
                <w:color w:val="000000"/>
              </w:rPr>
            </w:pPr>
            <w:r w:rsidRPr="00AB52A9">
              <w:rPr>
                <w:rFonts w:ascii="Aptos" w:hAnsi="Aptos"/>
                <w:color w:val="000000"/>
              </w:rPr>
              <w:t>18</w:t>
            </w:r>
          </w:p>
        </w:tc>
        <w:tc>
          <w:tcPr>
            <w:tcW w:w="737" w:type="dxa"/>
            <w:vAlign w:val="center"/>
            <w:hideMark/>
          </w:tcPr>
          <w:p w14:paraId="47DE9187" w14:textId="77777777" w:rsidR="00AB52A9" w:rsidRPr="00AB52A9" w:rsidRDefault="00AB52A9" w:rsidP="0023064C">
            <w:pPr>
              <w:jc w:val="right"/>
              <w:rPr>
                <w:rFonts w:ascii="Aptos" w:hAnsi="Aptos"/>
                <w:color w:val="000000"/>
              </w:rPr>
            </w:pPr>
            <w:r w:rsidRPr="00AB52A9">
              <w:rPr>
                <w:rFonts w:ascii="Aptos" w:hAnsi="Aptos"/>
                <w:color w:val="000000"/>
              </w:rPr>
              <w:t>157</w:t>
            </w:r>
          </w:p>
        </w:tc>
        <w:tc>
          <w:tcPr>
            <w:tcW w:w="737" w:type="dxa"/>
            <w:vAlign w:val="center"/>
            <w:hideMark/>
          </w:tcPr>
          <w:p w14:paraId="4081BDE9" w14:textId="77777777" w:rsidR="00AB52A9" w:rsidRPr="00AB52A9" w:rsidRDefault="00AB52A9" w:rsidP="0023064C">
            <w:pPr>
              <w:jc w:val="right"/>
              <w:rPr>
                <w:rFonts w:ascii="Aptos" w:hAnsi="Aptos"/>
                <w:color w:val="000000"/>
              </w:rPr>
            </w:pPr>
            <w:r w:rsidRPr="00AB52A9">
              <w:rPr>
                <w:rFonts w:ascii="Aptos" w:hAnsi="Aptos"/>
                <w:color w:val="000000"/>
              </w:rPr>
              <w:t>5</w:t>
            </w:r>
          </w:p>
        </w:tc>
        <w:tc>
          <w:tcPr>
            <w:tcW w:w="1134" w:type="dxa"/>
            <w:vAlign w:val="center"/>
            <w:hideMark/>
          </w:tcPr>
          <w:p w14:paraId="4C5F73A1"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3 573</w:t>
            </w:r>
          </w:p>
        </w:tc>
        <w:tc>
          <w:tcPr>
            <w:tcW w:w="1701" w:type="dxa"/>
            <w:noWrap/>
            <w:vAlign w:val="center"/>
            <w:hideMark/>
          </w:tcPr>
          <w:p w14:paraId="04E3B51E"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0,06</w:t>
            </w:r>
          </w:p>
        </w:tc>
        <w:tc>
          <w:tcPr>
            <w:tcW w:w="1701" w:type="dxa"/>
            <w:noWrap/>
            <w:vAlign w:val="center"/>
            <w:hideMark/>
          </w:tcPr>
          <w:p w14:paraId="2EA7FA45"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6,83</w:t>
            </w:r>
          </w:p>
        </w:tc>
      </w:tr>
      <w:tr w:rsidR="00AB52A9" w:rsidRPr="00AB52A9" w14:paraId="69D36671" w14:textId="77777777" w:rsidTr="0023064C">
        <w:trPr>
          <w:trHeight w:val="360"/>
        </w:trPr>
        <w:tc>
          <w:tcPr>
            <w:tcW w:w="2324" w:type="dxa"/>
            <w:vAlign w:val="center"/>
            <w:hideMark/>
          </w:tcPr>
          <w:p w14:paraId="0C4E9131" w14:textId="77777777" w:rsidR="00AB52A9" w:rsidRPr="00AB52A9" w:rsidRDefault="00AB52A9" w:rsidP="00AB52A9">
            <w:pPr>
              <w:rPr>
                <w:rFonts w:ascii="Aptos Narrow" w:hAnsi="Aptos Narrow"/>
                <w:color w:val="000000"/>
              </w:rPr>
            </w:pPr>
            <w:r w:rsidRPr="00AB52A9">
              <w:rPr>
                <w:rFonts w:ascii="Aptos Narrow" w:hAnsi="Aptos Narrow"/>
                <w:color w:val="000000"/>
              </w:rPr>
              <w:t>FaME</w:t>
            </w:r>
          </w:p>
        </w:tc>
        <w:tc>
          <w:tcPr>
            <w:tcW w:w="737" w:type="dxa"/>
            <w:vAlign w:val="center"/>
            <w:hideMark/>
          </w:tcPr>
          <w:p w14:paraId="3D24CF34" w14:textId="77777777" w:rsidR="00AB52A9" w:rsidRPr="00AB52A9" w:rsidRDefault="00AB52A9" w:rsidP="0023064C">
            <w:pPr>
              <w:jc w:val="right"/>
              <w:rPr>
                <w:rFonts w:ascii="Aptos" w:hAnsi="Aptos"/>
                <w:color w:val="000000"/>
              </w:rPr>
            </w:pPr>
            <w:r w:rsidRPr="00AB52A9">
              <w:rPr>
                <w:rFonts w:ascii="Aptos" w:hAnsi="Aptos"/>
                <w:color w:val="000000"/>
              </w:rPr>
              <w:t>28</w:t>
            </w:r>
          </w:p>
        </w:tc>
        <w:tc>
          <w:tcPr>
            <w:tcW w:w="737" w:type="dxa"/>
            <w:vAlign w:val="center"/>
            <w:hideMark/>
          </w:tcPr>
          <w:p w14:paraId="482DE5E4" w14:textId="77777777" w:rsidR="00AB52A9" w:rsidRPr="00AB52A9" w:rsidRDefault="00AB52A9" w:rsidP="0023064C">
            <w:pPr>
              <w:jc w:val="right"/>
              <w:rPr>
                <w:rFonts w:ascii="Aptos" w:hAnsi="Aptos"/>
                <w:color w:val="000000"/>
              </w:rPr>
            </w:pPr>
            <w:r w:rsidRPr="00AB52A9">
              <w:rPr>
                <w:rFonts w:ascii="Aptos" w:hAnsi="Aptos"/>
                <w:color w:val="000000"/>
              </w:rPr>
              <w:t>193</w:t>
            </w:r>
          </w:p>
        </w:tc>
        <w:tc>
          <w:tcPr>
            <w:tcW w:w="737" w:type="dxa"/>
            <w:vAlign w:val="center"/>
            <w:hideMark/>
          </w:tcPr>
          <w:p w14:paraId="23D93A2A" w14:textId="77777777" w:rsidR="00AB52A9" w:rsidRPr="00AB52A9" w:rsidRDefault="00AB52A9" w:rsidP="0023064C">
            <w:pPr>
              <w:jc w:val="right"/>
              <w:rPr>
                <w:rFonts w:ascii="Aptos" w:hAnsi="Aptos"/>
                <w:color w:val="000000"/>
              </w:rPr>
            </w:pPr>
            <w:r w:rsidRPr="00AB52A9">
              <w:rPr>
                <w:rFonts w:ascii="Aptos" w:hAnsi="Aptos"/>
                <w:color w:val="000000"/>
              </w:rPr>
              <w:t>1</w:t>
            </w:r>
          </w:p>
        </w:tc>
        <w:tc>
          <w:tcPr>
            <w:tcW w:w="1134" w:type="dxa"/>
            <w:vAlign w:val="center"/>
            <w:hideMark/>
          </w:tcPr>
          <w:p w14:paraId="5F992B08"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11 215</w:t>
            </w:r>
          </w:p>
        </w:tc>
        <w:tc>
          <w:tcPr>
            <w:tcW w:w="1701" w:type="dxa"/>
            <w:noWrap/>
            <w:vAlign w:val="center"/>
            <w:hideMark/>
          </w:tcPr>
          <w:p w14:paraId="1214C094"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0,11</w:t>
            </w:r>
          </w:p>
        </w:tc>
        <w:tc>
          <w:tcPr>
            <w:tcW w:w="1701" w:type="dxa"/>
            <w:noWrap/>
            <w:vAlign w:val="center"/>
            <w:hideMark/>
          </w:tcPr>
          <w:p w14:paraId="412CAC1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13,03</w:t>
            </w:r>
          </w:p>
        </w:tc>
      </w:tr>
      <w:tr w:rsidR="00AB52A9" w:rsidRPr="00AB52A9" w14:paraId="42B4F3CA" w14:textId="77777777" w:rsidTr="0023064C">
        <w:trPr>
          <w:trHeight w:val="360"/>
        </w:trPr>
        <w:tc>
          <w:tcPr>
            <w:tcW w:w="2324" w:type="dxa"/>
            <w:vAlign w:val="center"/>
            <w:hideMark/>
          </w:tcPr>
          <w:p w14:paraId="6E0DE6B2" w14:textId="77777777" w:rsidR="00AB52A9" w:rsidRPr="00AB52A9" w:rsidRDefault="00AB52A9" w:rsidP="00AB52A9">
            <w:pPr>
              <w:rPr>
                <w:rFonts w:ascii="Aptos Narrow" w:hAnsi="Aptos Narrow"/>
                <w:color w:val="000000"/>
              </w:rPr>
            </w:pPr>
            <w:r w:rsidRPr="00AB52A9">
              <w:rPr>
                <w:rFonts w:ascii="Aptos Narrow" w:hAnsi="Aptos Narrow"/>
                <w:color w:val="000000"/>
              </w:rPr>
              <w:t>FHS</w:t>
            </w:r>
          </w:p>
        </w:tc>
        <w:tc>
          <w:tcPr>
            <w:tcW w:w="737" w:type="dxa"/>
            <w:vAlign w:val="center"/>
            <w:hideMark/>
          </w:tcPr>
          <w:p w14:paraId="26583F37" w14:textId="77777777" w:rsidR="00AB52A9" w:rsidRPr="00AB52A9" w:rsidRDefault="00AB52A9" w:rsidP="0023064C">
            <w:pPr>
              <w:jc w:val="right"/>
              <w:rPr>
                <w:rFonts w:ascii="Aptos" w:hAnsi="Aptos"/>
                <w:color w:val="000000"/>
              </w:rPr>
            </w:pPr>
            <w:r w:rsidRPr="00AB52A9">
              <w:rPr>
                <w:rFonts w:ascii="Aptos" w:hAnsi="Aptos"/>
                <w:color w:val="000000"/>
              </w:rPr>
              <w:t>14</w:t>
            </w:r>
          </w:p>
        </w:tc>
        <w:tc>
          <w:tcPr>
            <w:tcW w:w="737" w:type="dxa"/>
            <w:vAlign w:val="center"/>
            <w:hideMark/>
          </w:tcPr>
          <w:p w14:paraId="227DE0E5" w14:textId="77777777" w:rsidR="00AB52A9" w:rsidRPr="00AB52A9" w:rsidRDefault="00AB52A9" w:rsidP="0023064C">
            <w:pPr>
              <w:jc w:val="right"/>
              <w:rPr>
                <w:rFonts w:ascii="Aptos" w:hAnsi="Aptos"/>
                <w:color w:val="000000"/>
              </w:rPr>
            </w:pPr>
            <w:r w:rsidRPr="00AB52A9">
              <w:rPr>
                <w:rFonts w:ascii="Aptos" w:hAnsi="Aptos"/>
                <w:color w:val="000000"/>
              </w:rPr>
              <w:t>102</w:t>
            </w:r>
          </w:p>
        </w:tc>
        <w:tc>
          <w:tcPr>
            <w:tcW w:w="737" w:type="dxa"/>
            <w:vAlign w:val="center"/>
            <w:hideMark/>
          </w:tcPr>
          <w:p w14:paraId="522988B5"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1134" w:type="dxa"/>
            <w:vAlign w:val="center"/>
            <w:hideMark/>
          </w:tcPr>
          <w:p w14:paraId="1E6E6797"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5 117</w:t>
            </w:r>
          </w:p>
        </w:tc>
        <w:tc>
          <w:tcPr>
            <w:tcW w:w="1701" w:type="dxa"/>
            <w:noWrap/>
            <w:vAlign w:val="center"/>
            <w:hideMark/>
          </w:tcPr>
          <w:p w14:paraId="0C88CB8C"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0,05</w:t>
            </w:r>
          </w:p>
        </w:tc>
        <w:tc>
          <w:tcPr>
            <w:tcW w:w="1701" w:type="dxa"/>
            <w:noWrap/>
            <w:vAlign w:val="center"/>
            <w:hideMark/>
          </w:tcPr>
          <w:p w14:paraId="76F57C78"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6,17</w:t>
            </w:r>
          </w:p>
        </w:tc>
      </w:tr>
      <w:tr w:rsidR="00AB52A9" w:rsidRPr="00AB52A9" w14:paraId="24F39800" w14:textId="77777777" w:rsidTr="0023064C">
        <w:trPr>
          <w:trHeight w:val="360"/>
        </w:trPr>
        <w:tc>
          <w:tcPr>
            <w:tcW w:w="2324" w:type="dxa"/>
            <w:vAlign w:val="center"/>
            <w:hideMark/>
          </w:tcPr>
          <w:p w14:paraId="32F97150" w14:textId="77777777" w:rsidR="00AB52A9" w:rsidRPr="00AB52A9" w:rsidRDefault="00AB52A9" w:rsidP="00AB52A9">
            <w:pPr>
              <w:rPr>
                <w:rFonts w:ascii="Aptos Narrow" w:hAnsi="Aptos Narrow"/>
                <w:color w:val="000000"/>
              </w:rPr>
            </w:pPr>
            <w:r w:rsidRPr="00AB52A9">
              <w:rPr>
                <w:rFonts w:ascii="Aptos Narrow" w:hAnsi="Aptos Narrow"/>
                <w:color w:val="000000"/>
              </w:rPr>
              <w:t>UNI</w:t>
            </w:r>
          </w:p>
        </w:tc>
        <w:tc>
          <w:tcPr>
            <w:tcW w:w="737" w:type="dxa"/>
            <w:vAlign w:val="center"/>
            <w:hideMark/>
          </w:tcPr>
          <w:p w14:paraId="267CD73E" w14:textId="77777777" w:rsidR="00AB52A9" w:rsidRPr="00AB52A9" w:rsidRDefault="00AB52A9" w:rsidP="0023064C">
            <w:pPr>
              <w:jc w:val="right"/>
              <w:rPr>
                <w:rFonts w:ascii="Aptos" w:hAnsi="Aptos"/>
                <w:color w:val="000000"/>
              </w:rPr>
            </w:pPr>
            <w:r w:rsidRPr="00AB52A9">
              <w:rPr>
                <w:rFonts w:ascii="Aptos" w:hAnsi="Aptos"/>
                <w:color w:val="000000"/>
              </w:rPr>
              <w:t>20</w:t>
            </w:r>
          </w:p>
        </w:tc>
        <w:tc>
          <w:tcPr>
            <w:tcW w:w="737" w:type="dxa"/>
            <w:vAlign w:val="center"/>
            <w:hideMark/>
          </w:tcPr>
          <w:p w14:paraId="1E5A1C73" w14:textId="77777777" w:rsidR="00AB52A9" w:rsidRPr="00AB52A9" w:rsidRDefault="00AB52A9" w:rsidP="0023064C">
            <w:pPr>
              <w:jc w:val="right"/>
              <w:rPr>
                <w:rFonts w:ascii="Aptos" w:hAnsi="Aptos"/>
                <w:color w:val="000000"/>
              </w:rPr>
            </w:pPr>
            <w:r w:rsidRPr="00AB52A9">
              <w:rPr>
                <w:rFonts w:ascii="Aptos" w:hAnsi="Aptos"/>
                <w:color w:val="000000"/>
              </w:rPr>
              <w:t>0</w:t>
            </w:r>
          </w:p>
        </w:tc>
        <w:tc>
          <w:tcPr>
            <w:tcW w:w="737" w:type="dxa"/>
            <w:vAlign w:val="center"/>
            <w:hideMark/>
          </w:tcPr>
          <w:p w14:paraId="020220BA" w14:textId="77777777" w:rsidR="00AB52A9" w:rsidRPr="00AB52A9" w:rsidRDefault="00AB52A9" w:rsidP="0023064C">
            <w:pPr>
              <w:jc w:val="right"/>
              <w:rPr>
                <w:rFonts w:ascii="Aptos" w:hAnsi="Aptos"/>
                <w:color w:val="000000"/>
              </w:rPr>
            </w:pPr>
            <w:r w:rsidRPr="00AB52A9">
              <w:rPr>
                <w:rFonts w:ascii="Aptos" w:hAnsi="Aptos"/>
                <w:color w:val="000000"/>
              </w:rPr>
              <w:t>4</w:t>
            </w:r>
          </w:p>
        </w:tc>
        <w:tc>
          <w:tcPr>
            <w:tcW w:w="1134" w:type="dxa"/>
            <w:vAlign w:val="center"/>
            <w:hideMark/>
          </w:tcPr>
          <w:p w14:paraId="26AE34D9"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70 863</w:t>
            </w:r>
          </w:p>
        </w:tc>
        <w:tc>
          <w:tcPr>
            <w:tcW w:w="1701" w:type="dxa"/>
            <w:noWrap/>
            <w:vAlign w:val="center"/>
            <w:hideMark/>
          </w:tcPr>
          <w:p w14:paraId="042E21EF"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0,21</w:t>
            </w:r>
          </w:p>
        </w:tc>
        <w:tc>
          <w:tcPr>
            <w:tcW w:w="1701" w:type="dxa"/>
            <w:noWrap/>
            <w:vAlign w:val="center"/>
            <w:hideMark/>
          </w:tcPr>
          <w:p w14:paraId="78D881AC"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24,98</w:t>
            </w:r>
          </w:p>
        </w:tc>
      </w:tr>
      <w:tr w:rsidR="00AB52A9" w:rsidRPr="00AB52A9" w14:paraId="1471A046" w14:textId="77777777" w:rsidTr="0023064C">
        <w:trPr>
          <w:trHeight w:val="340"/>
        </w:trPr>
        <w:tc>
          <w:tcPr>
            <w:tcW w:w="2324" w:type="dxa"/>
            <w:vAlign w:val="center"/>
            <w:hideMark/>
          </w:tcPr>
          <w:p w14:paraId="2A5B5E98" w14:textId="77777777" w:rsidR="00AB52A9" w:rsidRPr="00AB52A9" w:rsidRDefault="00AB52A9" w:rsidP="00AB52A9">
            <w:pPr>
              <w:rPr>
                <w:rFonts w:ascii="Aptos Narrow" w:hAnsi="Aptos Narrow"/>
                <w:color w:val="000000"/>
              </w:rPr>
            </w:pPr>
            <w:r w:rsidRPr="00AB52A9">
              <w:rPr>
                <w:rFonts w:ascii="Aptos Narrow" w:hAnsi="Aptos Narrow"/>
                <w:color w:val="000000"/>
              </w:rPr>
              <w:t>Knihovna</w:t>
            </w:r>
          </w:p>
        </w:tc>
        <w:tc>
          <w:tcPr>
            <w:tcW w:w="737" w:type="dxa"/>
            <w:vAlign w:val="center"/>
            <w:hideMark/>
          </w:tcPr>
          <w:p w14:paraId="0E48A3EB" w14:textId="77777777" w:rsidR="00AB52A9" w:rsidRPr="00AB52A9" w:rsidRDefault="00AB52A9" w:rsidP="0023064C">
            <w:pPr>
              <w:jc w:val="right"/>
              <w:rPr>
                <w:rFonts w:ascii="Aptos Narrow" w:hAnsi="Aptos Narrow"/>
                <w:color w:val="000000" w:themeColor="text1"/>
              </w:rPr>
            </w:pPr>
            <w:r w:rsidRPr="00AB52A9">
              <w:rPr>
                <w:rFonts w:ascii="Aptos Narrow" w:hAnsi="Aptos Narrow"/>
                <w:color w:val="000000" w:themeColor="text1"/>
              </w:rPr>
              <w:t>0</w:t>
            </w:r>
          </w:p>
        </w:tc>
        <w:tc>
          <w:tcPr>
            <w:tcW w:w="737" w:type="dxa"/>
            <w:vAlign w:val="center"/>
            <w:hideMark/>
          </w:tcPr>
          <w:p w14:paraId="13C538C7"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737" w:type="dxa"/>
            <w:vAlign w:val="center"/>
            <w:hideMark/>
          </w:tcPr>
          <w:p w14:paraId="101FEBEF"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1134" w:type="dxa"/>
            <w:vAlign w:val="center"/>
            <w:hideMark/>
          </w:tcPr>
          <w:p w14:paraId="33AAE7CC"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517</w:t>
            </w:r>
          </w:p>
        </w:tc>
        <w:tc>
          <w:tcPr>
            <w:tcW w:w="1701" w:type="dxa"/>
            <w:noWrap/>
            <w:vAlign w:val="center"/>
            <w:hideMark/>
          </w:tcPr>
          <w:p w14:paraId="3E8B4AE3"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c>
          <w:tcPr>
            <w:tcW w:w="1701" w:type="dxa"/>
            <w:noWrap/>
            <w:vAlign w:val="center"/>
            <w:hideMark/>
          </w:tcPr>
          <w:p w14:paraId="00C4AEC6"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r>
      <w:tr w:rsidR="00AB52A9" w:rsidRPr="00AB52A9" w14:paraId="6673FCAD" w14:textId="77777777" w:rsidTr="0023064C">
        <w:trPr>
          <w:trHeight w:val="320"/>
        </w:trPr>
        <w:tc>
          <w:tcPr>
            <w:tcW w:w="2324" w:type="dxa"/>
            <w:noWrap/>
            <w:vAlign w:val="center"/>
            <w:hideMark/>
          </w:tcPr>
          <w:p w14:paraId="661E55B3" w14:textId="77777777" w:rsidR="00AB52A9" w:rsidRPr="00AB52A9" w:rsidRDefault="00AB52A9" w:rsidP="00AB52A9">
            <w:pPr>
              <w:rPr>
                <w:rFonts w:ascii="Aptos Narrow" w:hAnsi="Aptos Narrow"/>
                <w:color w:val="000000"/>
              </w:rPr>
            </w:pPr>
            <w:r w:rsidRPr="00AB52A9">
              <w:rPr>
                <w:rFonts w:ascii="Aptos Narrow" w:hAnsi="Aptos Narrow"/>
                <w:color w:val="000000"/>
              </w:rPr>
              <w:t>KMZ</w:t>
            </w:r>
          </w:p>
        </w:tc>
        <w:tc>
          <w:tcPr>
            <w:tcW w:w="737" w:type="dxa"/>
            <w:noWrap/>
            <w:vAlign w:val="center"/>
            <w:hideMark/>
          </w:tcPr>
          <w:p w14:paraId="34CAA92E" w14:textId="77777777" w:rsidR="00AB52A9" w:rsidRPr="00AB52A9" w:rsidRDefault="00AB52A9" w:rsidP="0023064C">
            <w:pPr>
              <w:jc w:val="right"/>
              <w:rPr>
                <w:rFonts w:ascii="Aptos Narrow" w:hAnsi="Aptos Narrow"/>
                <w:color w:val="000000" w:themeColor="text1"/>
              </w:rPr>
            </w:pPr>
            <w:r w:rsidRPr="00AB52A9">
              <w:rPr>
                <w:rFonts w:ascii="Aptos Narrow" w:hAnsi="Aptos Narrow"/>
                <w:color w:val="000000" w:themeColor="text1"/>
              </w:rPr>
              <w:t>0</w:t>
            </w:r>
          </w:p>
        </w:tc>
        <w:tc>
          <w:tcPr>
            <w:tcW w:w="737" w:type="dxa"/>
            <w:noWrap/>
            <w:vAlign w:val="center"/>
            <w:hideMark/>
          </w:tcPr>
          <w:p w14:paraId="5DC91038"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737" w:type="dxa"/>
            <w:noWrap/>
            <w:vAlign w:val="center"/>
            <w:hideMark/>
          </w:tcPr>
          <w:p w14:paraId="05800B44"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1134" w:type="dxa"/>
            <w:vAlign w:val="center"/>
            <w:hideMark/>
          </w:tcPr>
          <w:p w14:paraId="1C3CD7CB"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w:t>
            </w:r>
          </w:p>
        </w:tc>
        <w:tc>
          <w:tcPr>
            <w:tcW w:w="1701" w:type="dxa"/>
            <w:noWrap/>
            <w:vAlign w:val="center"/>
            <w:hideMark/>
          </w:tcPr>
          <w:p w14:paraId="652F410A"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c>
          <w:tcPr>
            <w:tcW w:w="1701" w:type="dxa"/>
            <w:noWrap/>
            <w:vAlign w:val="center"/>
            <w:hideMark/>
          </w:tcPr>
          <w:p w14:paraId="60DF029C" w14:textId="77777777" w:rsidR="00AB52A9" w:rsidRPr="00AB52A9" w:rsidRDefault="00AB52A9" w:rsidP="0023064C">
            <w:pPr>
              <w:jc w:val="right"/>
              <w:rPr>
                <w:rFonts w:ascii="Aptos Narrow" w:hAnsi="Aptos Narrow"/>
                <w:color w:val="000000"/>
              </w:rPr>
            </w:pPr>
            <w:r w:rsidRPr="00AB52A9">
              <w:rPr>
                <w:rFonts w:ascii="Aptos Narrow" w:hAnsi="Aptos Narrow"/>
                <w:color w:val="000000"/>
              </w:rPr>
              <w:t>0,00</w:t>
            </w:r>
          </w:p>
        </w:tc>
      </w:tr>
      <w:tr w:rsidR="00AB52A9" w:rsidRPr="00AB52A9" w14:paraId="5974340B" w14:textId="77777777" w:rsidTr="0023064C">
        <w:trPr>
          <w:trHeight w:val="320"/>
        </w:trPr>
        <w:tc>
          <w:tcPr>
            <w:tcW w:w="2324" w:type="dxa"/>
            <w:noWrap/>
            <w:vAlign w:val="center"/>
            <w:hideMark/>
          </w:tcPr>
          <w:p w14:paraId="0AB1692B" w14:textId="77777777" w:rsidR="00AB52A9" w:rsidRPr="00AB52A9" w:rsidRDefault="00AB52A9" w:rsidP="00AB52A9">
            <w:pPr>
              <w:rPr>
                <w:rFonts w:ascii="Aptos Narrow" w:hAnsi="Aptos Narrow"/>
                <w:b/>
                <w:bCs/>
                <w:color w:val="000000"/>
              </w:rPr>
            </w:pPr>
            <w:r w:rsidRPr="00AB52A9">
              <w:rPr>
                <w:rFonts w:ascii="Aptos Narrow" w:hAnsi="Aptos Narrow"/>
                <w:b/>
                <w:bCs/>
                <w:color w:val="000000"/>
              </w:rPr>
              <w:t>Celkem</w:t>
            </w:r>
          </w:p>
        </w:tc>
        <w:tc>
          <w:tcPr>
            <w:tcW w:w="737" w:type="dxa"/>
            <w:noWrap/>
            <w:vAlign w:val="center"/>
            <w:hideMark/>
          </w:tcPr>
          <w:p w14:paraId="531C54D0"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202</w:t>
            </w:r>
          </w:p>
        </w:tc>
        <w:tc>
          <w:tcPr>
            <w:tcW w:w="737" w:type="dxa"/>
            <w:noWrap/>
            <w:vAlign w:val="center"/>
            <w:hideMark/>
          </w:tcPr>
          <w:p w14:paraId="00EE8044"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811</w:t>
            </w:r>
          </w:p>
        </w:tc>
        <w:tc>
          <w:tcPr>
            <w:tcW w:w="737" w:type="dxa"/>
            <w:noWrap/>
            <w:vAlign w:val="center"/>
            <w:hideMark/>
          </w:tcPr>
          <w:p w14:paraId="58BB55DE"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24</w:t>
            </w:r>
          </w:p>
        </w:tc>
        <w:tc>
          <w:tcPr>
            <w:tcW w:w="1134" w:type="dxa"/>
            <w:noWrap/>
            <w:vAlign w:val="center"/>
            <w:hideMark/>
          </w:tcPr>
          <w:p w14:paraId="25DA0316"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132 786</w:t>
            </w:r>
          </w:p>
        </w:tc>
        <w:tc>
          <w:tcPr>
            <w:tcW w:w="1701" w:type="dxa"/>
            <w:noWrap/>
            <w:vAlign w:val="center"/>
            <w:hideMark/>
          </w:tcPr>
          <w:p w14:paraId="37B53557"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0,86</w:t>
            </w:r>
          </w:p>
        </w:tc>
        <w:tc>
          <w:tcPr>
            <w:tcW w:w="1701" w:type="dxa"/>
            <w:noWrap/>
            <w:vAlign w:val="center"/>
            <w:hideMark/>
          </w:tcPr>
          <w:p w14:paraId="3DCC15FC" w14:textId="77777777" w:rsidR="00AB52A9" w:rsidRPr="00AB52A9" w:rsidRDefault="00AB52A9" w:rsidP="0023064C">
            <w:pPr>
              <w:jc w:val="right"/>
              <w:rPr>
                <w:rFonts w:ascii="Aptos Narrow" w:hAnsi="Aptos Narrow"/>
                <w:b/>
                <w:bCs/>
                <w:color w:val="000000"/>
              </w:rPr>
            </w:pPr>
            <w:r w:rsidRPr="00AB52A9">
              <w:rPr>
                <w:rFonts w:ascii="Aptos Narrow" w:hAnsi="Aptos Narrow"/>
                <w:b/>
                <w:bCs/>
                <w:color w:val="000000"/>
              </w:rPr>
              <w:t>100,00</w:t>
            </w:r>
          </w:p>
        </w:tc>
      </w:tr>
    </w:tbl>
    <w:p w14:paraId="16BEA33E" w14:textId="459B126D" w:rsidR="00155DC0" w:rsidRDefault="00155DC0" w:rsidP="003F4FF8">
      <w:pPr>
        <w:pStyle w:val="RozpocetOdstavec"/>
      </w:pPr>
    </w:p>
    <w:p w14:paraId="496DB8C9" w14:textId="77777777" w:rsidR="00F97958" w:rsidRPr="000A20AA" w:rsidRDefault="00F97958" w:rsidP="00F97958">
      <w:pPr>
        <w:pStyle w:val="RozpocetOdstavec"/>
      </w:pPr>
      <w:r w:rsidRPr="000A20AA">
        <w:t>kde:</w:t>
      </w:r>
    </w:p>
    <w:p w14:paraId="1156DF8C" w14:textId="77777777" w:rsidR="00F97958" w:rsidRPr="000A20AA" w:rsidRDefault="00F97958" w:rsidP="00F97958">
      <w:pPr>
        <w:pStyle w:val="Odstavecseseznamem"/>
        <w:numPr>
          <w:ilvl w:val="0"/>
          <w:numId w:val="20"/>
        </w:numPr>
        <w:jc w:val="both"/>
      </w:pPr>
      <w:r w:rsidRPr="000A20AA">
        <w:rPr>
          <w:b/>
          <w:i/>
        </w:rPr>
        <w:t>d</w:t>
      </w:r>
      <w:r w:rsidRPr="000A20AA">
        <w:t xml:space="preserve"> je počet studentů doktorských studijních programů součásti ve standardní době studia plus jeden rok k 31. říjnu 2025,</w:t>
      </w:r>
    </w:p>
    <w:p w14:paraId="4CCAC03F" w14:textId="77777777" w:rsidR="00F97958" w:rsidRPr="000A20AA" w:rsidRDefault="00F97958" w:rsidP="00F97958">
      <w:pPr>
        <w:pStyle w:val="Odstavecseseznamem"/>
        <w:numPr>
          <w:ilvl w:val="0"/>
          <w:numId w:val="20"/>
        </w:numPr>
        <w:jc w:val="both"/>
      </w:pPr>
      <w:r w:rsidRPr="000A20AA">
        <w:rPr>
          <w:b/>
          <w:i/>
        </w:rPr>
        <w:t>D</w:t>
      </w:r>
      <w:r w:rsidRPr="000A20AA">
        <w:t xml:space="preserve"> je počet studentů doktorských studijních programů UTB ve standardní době studia plus jeden rok k 31. říjnu 2025,</w:t>
      </w:r>
    </w:p>
    <w:p w14:paraId="193E082E" w14:textId="77777777" w:rsidR="00F97958" w:rsidRPr="000A20AA" w:rsidRDefault="00F97958" w:rsidP="00F97958">
      <w:pPr>
        <w:pStyle w:val="Odstavecseseznamem"/>
        <w:numPr>
          <w:ilvl w:val="0"/>
          <w:numId w:val="20"/>
        </w:numPr>
        <w:jc w:val="both"/>
      </w:pPr>
      <w:r w:rsidRPr="000A20AA">
        <w:rPr>
          <w:b/>
          <w:i/>
        </w:rPr>
        <w:t>m</w:t>
      </w:r>
      <w:r w:rsidRPr="000A20AA">
        <w:t xml:space="preserve"> je počet absolventů magisterských studijních programů součásti v období 12 měsíců předcházejících 1. listopadu 2025,</w:t>
      </w:r>
    </w:p>
    <w:p w14:paraId="7BCC97A3" w14:textId="77777777" w:rsidR="00F97958" w:rsidRPr="000A20AA" w:rsidRDefault="00F97958" w:rsidP="00F97958">
      <w:pPr>
        <w:pStyle w:val="Odstavecseseznamem"/>
        <w:numPr>
          <w:ilvl w:val="0"/>
          <w:numId w:val="20"/>
        </w:numPr>
        <w:jc w:val="both"/>
      </w:pPr>
      <w:r w:rsidRPr="000A20AA">
        <w:rPr>
          <w:b/>
          <w:i/>
        </w:rPr>
        <w:t>M</w:t>
      </w:r>
      <w:r w:rsidRPr="000A20AA">
        <w:t xml:space="preserve"> je počet absolventů magisterských studijních programů UTB v období 12 měsíců předcházejících 1. listopadu 2025,</w:t>
      </w:r>
    </w:p>
    <w:p w14:paraId="72E23AA1" w14:textId="77777777" w:rsidR="00F97958" w:rsidRPr="000A20AA" w:rsidRDefault="00F97958" w:rsidP="00F97958">
      <w:pPr>
        <w:pStyle w:val="Odstavecseseznamem"/>
        <w:numPr>
          <w:ilvl w:val="0"/>
          <w:numId w:val="20"/>
        </w:numPr>
        <w:jc w:val="both"/>
      </w:pPr>
      <w:r w:rsidRPr="000A20AA">
        <w:rPr>
          <w:b/>
          <w:i/>
        </w:rPr>
        <w:t>a</w:t>
      </w:r>
      <w:r w:rsidRPr="000A20AA">
        <w:t xml:space="preserve"> je počet absolventů doktorských studijních programů součásti v období 12 měsíců předcházejících 1. listopadu 2025,</w:t>
      </w:r>
    </w:p>
    <w:p w14:paraId="6BF01A69" w14:textId="77777777" w:rsidR="00F97958" w:rsidRPr="000A20AA" w:rsidRDefault="00F97958" w:rsidP="00F97958">
      <w:pPr>
        <w:pStyle w:val="Odstavecseseznamem"/>
        <w:numPr>
          <w:ilvl w:val="0"/>
          <w:numId w:val="20"/>
        </w:numPr>
        <w:jc w:val="both"/>
      </w:pPr>
      <w:r w:rsidRPr="000A20AA">
        <w:rPr>
          <w:b/>
          <w:i/>
        </w:rPr>
        <w:t>A</w:t>
      </w:r>
      <w:r w:rsidRPr="000A20AA">
        <w:t xml:space="preserve"> je počet absolventů doktorských studijních programů UTB v období 12 měsíců předcházejících 1. listopadu 2025,</w:t>
      </w:r>
    </w:p>
    <w:p w14:paraId="75322BF2" w14:textId="77777777" w:rsidR="00F97958" w:rsidRPr="000A20AA" w:rsidRDefault="00F97958" w:rsidP="00F97958">
      <w:pPr>
        <w:pStyle w:val="Odstavecseseznamem"/>
        <w:numPr>
          <w:ilvl w:val="0"/>
          <w:numId w:val="20"/>
        </w:numPr>
        <w:jc w:val="both"/>
      </w:pPr>
      <w:r w:rsidRPr="000A20AA">
        <w:rPr>
          <w:b/>
          <w:i/>
        </w:rPr>
        <w:t>v</w:t>
      </w:r>
      <w:r w:rsidRPr="000A20AA">
        <w:t xml:space="preserve"> je ukazatel výkonu součásti ve výzkumu, experimentálním vývoji </w:t>
      </w:r>
      <w:r w:rsidRPr="000A20AA">
        <w:br/>
        <w:t xml:space="preserve">a inovacích za kalendářní roky 2024, 2023 a 2022 s váhami 5:3:2, zahrnující výši neinvestičních prostředků na DKRVO (r) a neinvestičních účelových prostředků </w:t>
      </w:r>
      <w:r w:rsidRPr="000A20AA">
        <w:br/>
        <w:t>na grantové nebo programové projekty výzkumu a vývoje (včetně spoluřešitelských), vyjma prostředků z Národního programu udržitelnosti I a II (g), tj. v = 0,5 r + 0,5 g,</w:t>
      </w:r>
    </w:p>
    <w:p w14:paraId="20CCE238" w14:textId="77777777" w:rsidR="00F97958" w:rsidRPr="000A20AA" w:rsidRDefault="00F97958" w:rsidP="00F97958">
      <w:pPr>
        <w:pStyle w:val="Odstavecseseznamem"/>
        <w:numPr>
          <w:ilvl w:val="0"/>
          <w:numId w:val="20"/>
        </w:numPr>
        <w:jc w:val="both"/>
      </w:pPr>
      <w:r w:rsidRPr="000A20AA">
        <w:rPr>
          <w:b/>
          <w:i/>
        </w:rPr>
        <w:t>V</w:t>
      </w:r>
      <w:r w:rsidRPr="000A20AA">
        <w:t xml:space="preserve"> je ukazatel výkonu UTB ve výzkumu, experimentálním vývoji a inovacích za kalendářní roky 2024, 2023 a 2022 s váhami 5:3:2, zahrnující výši neinvestičních prostředků </w:t>
      </w:r>
      <w:r w:rsidRPr="000A20AA">
        <w:br/>
        <w:t>na DKRVO (R) a neinvestičních účelových prostředků na grantové nebo programové projekty výzkumu a vývoje (včetně spoluřešitelských), vyjma prostředků z Národního programu udržitelnosti I a II (G), tj. V = 0,5 R + 0,5 G.</w:t>
      </w:r>
    </w:p>
    <w:p w14:paraId="6F0F4932" w14:textId="77777777" w:rsidR="00F97958" w:rsidRPr="000A20AA" w:rsidRDefault="00F97958" w:rsidP="00F97958">
      <w:pPr>
        <w:pStyle w:val="RozpocetOdstavec"/>
      </w:pPr>
    </w:p>
    <w:p w14:paraId="3877EE9D" w14:textId="77777777" w:rsidR="00F97958" w:rsidRPr="000A20AA" w:rsidRDefault="00F97958" w:rsidP="00F97958">
      <w:pPr>
        <w:pStyle w:val="RozpocetOdstavec"/>
      </w:pPr>
      <w:r w:rsidRPr="000A20AA">
        <w:t>Podle tohoto indikátoru bude mezi součásti rozděleno 100 % účelové podpory na SVV.</w:t>
      </w:r>
    </w:p>
    <w:p w14:paraId="29E731B5" w14:textId="256AC4F2" w:rsidR="00F41EE8" w:rsidRPr="000A20AA" w:rsidRDefault="00F41EE8" w:rsidP="003F4FF8">
      <w:pPr>
        <w:pStyle w:val="RozpocetOdstavec"/>
      </w:pPr>
    </w:p>
    <w:p w14:paraId="0C1249BD" w14:textId="34A398A0" w:rsidR="00F41EE8" w:rsidRDefault="00F41EE8" w:rsidP="003F4FF8">
      <w:pPr>
        <w:pStyle w:val="RozpocetOdstavec"/>
      </w:pPr>
    </w:p>
    <w:p w14:paraId="74CEE744" w14:textId="77777777" w:rsidR="00774968" w:rsidRDefault="00B2532E" w:rsidP="00774968">
      <w:pPr>
        <w:pStyle w:val="RozpocetNadpis1"/>
      </w:pPr>
      <w:bookmarkStart w:id="30" w:name="_Toc228824341"/>
      <w:r>
        <w:lastRenderedPageBreak/>
        <w:t>I</w:t>
      </w:r>
      <w:r w:rsidR="00774968">
        <w:t>nterní rozdělení financí</w:t>
      </w:r>
      <w:bookmarkEnd w:id="30"/>
    </w:p>
    <w:p w14:paraId="2B6C9B23" w14:textId="77777777" w:rsidR="00811921" w:rsidRPr="000A20AA" w:rsidRDefault="00811921" w:rsidP="00811921">
      <w:pPr>
        <w:pStyle w:val="RozpocetOdstavec"/>
      </w:pPr>
      <w:r w:rsidRPr="000A20AA">
        <w:t>V rámci interního rozdělení budou mezi jednotlivé součásti distribuovány podíly investičních (kapitálových) a neinvestičních příspěvků a dotací ze státního rozpočtu. Organizačními jednotkami, mezi které budou podíly distribuovány jsou:</w:t>
      </w:r>
    </w:p>
    <w:p w14:paraId="00884DC8" w14:textId="77777777" w:rsidR="00811921" w:rsidRPr="000A20AA" w:rsidRDefault="00811921" w:rsidP="00811921">
      <w:pPr>
        <w:pStyle w:val="Odstavecseseznamem"/>
        <w:numPr>
          <w:ilvl w:val="0"/>
          <w:numId w:val="26"/>
        </w:numPr>
        <w:jc w:val="both"/>
      </w:pPr>
      <w:r w:rsidRPr="000A20AA">
        <w:t>Fakulta technologická (dále jen „FT“),</w:t>
      </w:r>
    </w:p>
    <w:p w14:paraId="081CB0C0" w14:textId="77777777" w:rsidR="00811921" w:rsidRPr="000A20AA" w:rsidRDefault="00811921" w:rsidP="00811921">
      <w:pPr>
        <w:pStyle w:val="Odstavecseseznamem"/>
        <w:numPr>
          <w:ilvl w:val="0"/>
          <w:numId w:val="26"/>
        </w:numPr>
        <w:jc w:val="both"/>
      </w:pPr>
      <w:r w:rsidRPr="000A20AA">
        <w:t>Fakulta logistiky a krizového řízení (dále jen „FLKŘ“),</w:t>
      </w:r>
    </w:p>
    <w:p w14:paraId="4FB566FA" w14:textId="77777777" w:rsidR="00811921" w:rsidRPr="000A20AA" w:rsidRDefault="00811921" w:rsidP="00811921">
      <w:pPr>
        <w:pStyle w:val="Odstavecseseznamem"/>
        <w:numPr>
          <w:ilvl w:val="0"/>
          <w:numId w:val="26"/>
        </w:numPr>
        <w:jc w:val="both"/>
      </w:pPr>
      <w:r w:rsidRPr="000A20AA">
        <w:t>Fakulta aplikované informatiky (dále jen „FAI“),</w:t>
      </w:r>
    </w:p>
    <w:p w14:paraId="7D3C771F" w14:textId="77777777" w:rsidR="00811921" w:rsidRPr="000A20AA" w:rsidRDefault="00811921" w:rsidP="00811921">
      <w:pPr>
        <w:pStyle w:val="Odstavecseseznamem"/>
        <w:numPr>
          <w:ilvl w:val="0"/>
          <w:numId w:val="26"/>
        </w:numPr>
        <w:jc w:val="both"/>
      </w:pPr>
      <w:r w:rsidRPr="000A20AA">
        <w:t>Fakulta multimediálních komunikací (dále jen „FMK“),</w:t>
      </w:r>
    </w:p>
    <w:p w14:paraId="13B2D0CF" w14:textId="77777777" w:rsidR="00811921" w:rsidRPr="000A20AA" w:rsidRDefault="00811921" w:rsidP="00811921">
      <w:pPr>
        <w:pStyle w:val="Odstavecseseznamem"/>
        <w:numPr>
          <w:ilvl w:val="0"/>
          <w:numId w:val="26"/>
        </w:numPr>
        <w:jc w:val="both"/>
      </w:pPr>
      <w:r w:rsidRPr="000A20AA">
        <w:t>Fakulta managementu a ekonomiky (dále jen „FaME“),</w:t>
      </w:r>
    </w:p>
    <w:p w14:paraId="4E014215" w14:textId="77777777" w:rsidR="00811921" w:rsidRPr="000A20AA" w:rsidRDefault="00811921" w:rsidP="00811921">
      <w:pPr>
        <w:pStyle w:val="Odstavecseseznamem"/>
        <w:numPr>
          <w:ilvl w:val="0"/>
          <w:numId w:val="26"/>
        </w:numPr>
        <w:jc w:val="both"/>
      </w:pPr>
      <w:r w:rsidRPr="000A20AA">
        <w:t>Fakulta humanitních studií (dále jen „FHS“),</w:t>
      </w:r>
    </w:p>
    <w:p w14:paraId="2150F1E7" w14:textId="77777777" w:rsidR="00811921" w:rsidRPr="000A20AA" w:rsidRDefault="00811921" w:rsidP="00811921">
      <w:pPr>
        <w:pStyle w:val="Odstavecseseznamem"/>
        <w:numPr>
          <w:ilvl w:val="0"/>
          <w:numId w:val="26"/>
        </w:numPr>
        <w:jc w:val="both"/>
      </w:pPr>
      <w:r w:rsidRPr="000A20AA">
        <w:t>Univerzitní institut (dále jen „UNI“),</w:t>
      </w:r>
    </w:p>
    <w:p w14:paraId="395CEF54" w14:textId="77777777" w:rsidR="00811921" w:rsidRPr="000A20AA" w:rsidRDefault="00811921" w:rsidP="00811921">
      <w:pPr>
        <w:pStyle w:val="Odstavecseseznamem"/>
        <w:numPr>
          <w:ilvl w:val="0"/>
          <w:numId w:val="26"/>
        </w:numPr>
        <w:jc w:val="both"/>
      </w:pPr>
      <w:r w:rsidRPr="000A20AA">
        <w:t>Koleje a menza (dále jen „KMZ“),</w:t>
      </w:r>
    </w:p>
    <w:p w14:paraId="3D563D23" w14:textId="77777777" w:rsidR="00811921" w:rsidRPr="000A20AA" w:rsidRDefault="00811921" w:rsidP="00811921">
      <w:pPr>
        <w:pStyle w:val="Odstavecseseznamem"/>
        <w:numPr>
          <w:ilvl w:val="0"/>
          <w:numId w:val="26"/>
        </w:numPr>
        <w:jc w:val="both"/>
      </w:pPr>
      <w:r w:rsidRPr="000A20AA">
        <w:t>Knihovna.</w:t>
      </w:r>
    </w:p>
    <w:p w14:paraId="30743677" w14:textId="77777777" w:rsidR="00811921" w:rsidRPr="000A20AA" w:rsidRDefault="00811921" w:rsidP="00811921">
      <w:pPr>
        <w:pStyle w:val="RozpocetOdstavec"/>
      </w:pPr>
    </w:p>
    <w:p w14:paraId="755A4965" w14:textId="77777777" w:rsidR="00811921" w:rsidRPr="000A20AA" w:rsidRDefault="00811921" w:rsidP="00811921">
      <w:pPr>
        <w:pStyle w:val="RozpocetOdstavec"/>
      </w:pPr>
      <w:r w:rsidRPr="000A20AA">
        <w:t xml:space="preserve">Prioritní cíle interního financování UTB odrážejí základní pilíře strategických materiálů </w:t>
      </w:r>
      <w:r w:rsidRPr="000A20AA">
        <w:br/>
        <w:t>na období 21+:</w:t>
      </w:r>
    </w:p>
    <w:p w14:paraId="23BEA38D" w14:textId="77777777" w:rsidR="00811921" w:rsidRPr="000A20AA" w:rsidRDefault="00811921" w:rsidP="00811921">
      <w:pPr>
        <w:pStyle w:val="Odstavecseseznamem"/>
        <w:numPr>
          <w:ilvl w:val="0"/>
          <w:numId w:val="4"/>
        </w:numPr>
        <w:jc w:val="both"/>
      </w:pPr>
      <w:r w:rsidRPr="000A20AA">
        <w:t>podpora všech činností směřujících k významnému zlepšení hodnotících indikátorů VaV v rámci Metodiky 25+,</w:t>
      </w:r>
    </w:p>
    <w:p w14:paraId="63951570" w14:textId="77777777" w:rsidR="00811921" w:rsidRPr="000A20AA" w:rsidRDefault="00811921" w:rsidP="00811921">
      <w:pPr>
        <w:pStyle w:val="Odstavecseseznamem"/>
        <w:numPr>
          <w:ilvl w:val="0"/>
          <w:numId w:val="4"/>
        </w:numPr>
        <w:jc w:val="both"/>
      </w:pPr>
      <w:r w:rsidRPr="000A20AA">
        <w:t>stabilní, transparentní a efektivní financování všech součástí UTB,</w:t>
      </w:r>
    </w:p>
    <w:p w14:paraId="696452E2" w14:textId="77777777" w:rsidR="00811921" w:rsidRPr="000A20AA" w:rsidRDefault="00811921" w:rsidP="00811921">
      <w:pPr>
        <w:pStyle w:val="Odstavecseseznamem"/>
        <w:numPr>
          <w:ilvl w:val="0"/>
          <w:numId w:val="4"/>
        </w:numPr>
        <w:jc w:val="both"/>
      </w:pPr>
      <w:r w:rsidRPr="000A20AA">
        <w:t>podpora cílů a aktivit uvedených v Plánu realizace Strategického záměru Univerzity Tomáše Bati ve Zlíně na období 21+ pro rok 2026,</w:t>
      </w:r>
    </w:p>
    <w:p w14:paraId="48CCA934" w14:textId="77777777" w:rsidR="00811921" w:rsidRPr="000A20AA" w:rsidRDefault="00811921" w:rsidP="00811921">
      <w:pPr>
        <w:pStyle w:val="Odstavecseseznamem"/>
        <w:numPr>
          <w:ilvl w:val="0"/>
          <w:numId w:val="4"/>
        </w:numPr>
        <w:jc w:val="both"/>
      </w:pPr>
      <w:r w:rsidRPr="000A20AA">
        <w:t>podpora cílů a opatření uvedených v Programu na podporu strategického řízení UTB pro rok 2026,</w:t>
      </w:r>
    </w:p>
    <w:p w14:paraId="6E840874" w14:textId="77777777" w:rsidR="00811921" w:rsidRPr="000A20AA" w:rsidRDefault="00811921" w:rsidP="00811921">
      <w:pPr>
        <w:pStyle w:val="Odstavecseseznamem"/>
        <w:numPr>
          <w:ilvl w:val="0"/>
          <w:numId w:val="4"/>
        </w:numPr>
        <w:jc w:val="both"/>
      </w:pPr>
      <w:r w:rsidRPr="000A20AA">
        <w:t>podpora všech činností vedoucích ke zvýšení kvalitativních parametrů výuky a výzkumu realizovaných na UTB,</w:t>
      </w:r>
    </w:p>
    <w:p w14:paraId="5A453ECD" w14:textId="77777777" w:rsidR="00811921" w:rsidRPr="000A20AA" w:rsidRDefault="00811921" w:rsidP="00811921">
      <w:pPr>
        <w:pStyle w:val="Odstavecseseznamem"/>
        <w:numPr>
          <w:ilvl w:val="0"/>
          <w:numId w:val="4"/>
        </w:numPr>
        <w:jc w:val="both"/>
      </w:pPr>
      <w:r w:rsidRPr="000A20AA">
        <w:t>podpora kvalitativního zlepšení parametrů ubytování studentů a vědeckých pracovníků (postdoktorandi),</w:t>
      </w:r>
    </w:p>
    <w:p w14:paraId="2D8737A2" w14:textId="77777777" w:rsidR="00811921" w:rsidRPr="000A20AA" w:rsidRDefault="00811921" w:rsidP="00811921">
      <w:pPr>
        <w:pStyle w:val="Odstavecseseznamem"/>
        <w:numPr>
          <w:ilvl w:val="0"/>
          <w:numId w:val="4"/>
        </w:numPr>
        <w:jc w:val="both"/>
      </w:pPr>
      <w:r w:rsidRPr="000A20AA">
        <w:t>podpora kvalitativního zlepšení stravování v KMZ,</w:t>
      </w:r>
    </w:p>
    <w:p w14:paraId="376E10AD" w14:textId="77777777" w:rsidR="00811921" w:rsidRPr="000A20AA" w:rsidRDefault="00811921" w:rsidP="00811921">
      <w:pPr>
        <w:pStyle w:val="Odstavecseseznamem"/>
        <w:numPr>
          <w:ilvl w:val="0"/>
          <w:numId w:val="4"/>
        </w:numPr>
        <w:jc w:val="both"/>
      </w:pPr>
      <w:r w:rsidRPr="000A20AA">
        <w:t>financování celouniverzitních aktivit.</w:t>
      </w:r>
    </w:p>
    <w:p w14:paraId="4D3E4E65" w14:textId="77777777" w:rsidR="00054859" w:rsidRPr="000A20AA" w:rsidRDefault="00054859" w:rsidP="00054859">
      <w:pPr>
        <w:pStyle w:val="RozpocetOdstavec"/>
      </w:pPr>
    </w:p>
    <w:p w14:paraId="6A52694E" w14:textId="77777777" w:rsidR="0015089D" w:rsidRDefault="0015089D" w:rsidP="0015089D">
      <w:pPr>
        <w:pStyle w:val="RozpocetNadpis2"/>
      </w:pPr>
      <w:bookmarkStart w:id="31" w:name="_Toc228824342"/>
      <w:r>
        <w:t>Rozdělení příspěvků a dotací na vzdělávací a tvůrčí činnost</w:t>
      </w:r>
      <w:bookmarkEnd w:id="31"/>
    </w:p>
    <w:p w14:paraId="6F22BF25" w14:textId="003D1EA7" w:rsidR="0014613C" w:rsidRPr="000A20AA" w:rsidRDefault="0014613C" w:rsidP="0014613C">
      <w:pPr>
        <w:pStyle w:val="RozpocetOdstavec"/>
      </w:pPr>
      <w:r w:rsidRPr="000A20AA">
        <w:t>Z příspěvků a dotací na vzdělávací a tvůrčí činnost budou mezi součásti rozděleny finanční prostředky z ukazatele A, K, F, FUČ, P a C.</w:t>
      </w:r>
    </w:p>
    <w:p w14:paraId="467B806B" w14:textId="77777777" w:rsidR="0015089D" w:rsidRDefault="0015089D" w:rsidP="00AE46FC">
      <w:pPr>
        <w:pStyle w:val="RozpocetOdstavec"/>
      </w:pPr>
    </w:p>
    <w:p w14:paraId="0AFA55FA" w14:textId="77777777" w:rsidR="0015089D" w:rsidRDefault="0015089D" w:rsidP="0015089D">
      <w:pPr>
        <w:pStyle w:val="RozpoetNadpis3"/>
      </w:pPr>
      <w:bookmarkStart w:id="32" w:name="_Toc228824343"/>
      <w:r>
        <w:t>Rozdělení ukazatele A</w:t>
      </w:r>
      <w:bookmarkEnd w:id="32"/>
    </w:p>
    <w:p w14:paraId="6C38E439" w14:textId="77777777" w:rsidR="0014613C" w:rsidRPr="000A20AA" w:rsidRDefault="0014613C" w:rsidP="0014613C">
      <w:pPr>
        <w:pStyle w:val="RozpocetOdstavec"/>
      </w:pPr>
      <w:r w:rsidRPr="000A20AA">
        <w:t>Rozdělení ukazatele A mezi součásti bude realizováno podle indikátoru objem. Podle tohoto indikátoru bude mezi součásti rozděleno 100 % ukazatele A přiděleného UTB.</w:t>
      </w:r>
    </w:p>
    <w:p w14:paraId="702954CC" w14:textId="77777777" w:rsidR="00652F86" w:rsidRDefault="00652F86" w:rsidP="0014613C">
      <w:pPr>
        <w:pStyle w:val="RozpocetOdstavec"/>
        <w:rPr>
          <w:color w:val="00B050"/>
        </w:rPr>
      </w:pPr>
    </w:p>
    <w:tbl>
      <w:tblPr>
        <w:tblW w:w="9070" w:type="dxa"/>
        <w:tblLook w:val="04A0" w:firstRow="1" w:lastRow="0" w:firstColumn="1" w:lastColumn="0" w:noHBand="0" w:noVBand="1"/>
      </w:tblPr>
      <w:tblGrid>
        <w:gridCol w:w="4535"/>
        <w:gridCol w:w="4535"/>
      </w:tblGrid>
      <w:tr w:rsidR="00652F86" w:rsidRPr="00652F86" w14:paraId="5D906D03" w14:textId="77777777" w:rsidTr="00652F86">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EC383D" w14:textId="05F8EC9F" w:rsidR="00652F86" w:rsidRPr="00652F86" w:rsidRDefault="00652F86" w:rsidP="00652F86">
            <w:pPr>
              <w:jc w:val="center"/>
              <w:rPr>
                <w:rFonts w:ascii="Aptos Narrow" w:hAnsi="Aptos Narrow"/>
                <w:b/>
                <w:bCs/>
                <w:color w:val="000000"/>
              </w:rPr>
            </w:pPr>
            <w:r>
              <w:rPr>
                <w:rFonts w:ascii="Aptos Narrow" w:hAnsi="Aptos Narrow"/>
                <w:b/>
                <w:bCs/>
                <w:color w:val="000000"/>
              </w:rPr>
              <w:t>Součást</w:t>
            </w:r>
          </w:p>
        </w:tc>
        <w:tc>
          <w:tcPr>
            <w:tcW w:w="45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366A14" w14:textId="68C54431" w:rsidR="00652F86" w:rsidRPr="00652F86" w:rsidRDefault="007B2B87" w:rsidP="00652F86">
            <w:pPr>
              <w:jc w:val="center"/>
              <w:rPr>
                <w:rFonts w:ascii="Aptos Narrow" w:hAnsi="Aptos Narrow"/>
                <w:b/>
                <w:bCs/>
                <w:color w:val="000000"/>
              </w:rPr>
            </w:pPr>
            <w:r>
              <w:rPr>
                <w:rFonts w:ascii="Aptos Narrow" w:hAnsi="Aptos Narrow"/>
                <w:b/>
                <w:bCs/>
                <w:color w:val="000000"/>
              </w:rPr>
              <w:t xml:space="preserve">Ukazatel </w:t>
            </w:r>
            <w:r w:rsidR="00652F86" w:rsidRPr="00652F86">
              <w:rPr>
                <w:rFonts w:ascii="Aptos Narrow" w:hAnsi="Aptos Narrow"/>
                <w:b/>
                <w:bCs/>
                <w:color w:val="000000"/>
              </w:rPr>
              <w:t>A v tis. Kč</w:t>
            </w:r>
          </w:p>
        </w:tc>
      </w:tr>
      <w:tr w:rsidR="002D72F9" w:rsidRPr="00652F86" w14:paraId="60ABFB96"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08B2ED93" w14:textId="77777777" w:rsidR="002D72F9" w:rsidRPr="00652F86" w:rsidRDefault="002D72F9" w:rsidP="002D72F9">
            <w:pPr>
              <w:rPr>
                <w:rFonts w:ascii="Aptos Narrow" w:hAnsi="Aptos Narrow"/>
                <w:color w:val="000000"/>
              </w:rPr>
            </w:pPr>
            <w:r w:rsidRPr="00652F86">
              <w:rPr>
                <w:rFonts w:ascii="Aptos Narrow" w:hAnsi="Aptos Narrow"/>
                <w:color w:val="000000"/>
              </w:rPr>
              <w:t>FT</w:t>
            </w:r>
          </w:p>
        </w:tc>
        <w:tc>
          <w:tcPr>
            <w:tcW w:w="4535" w:type="dxa"/>
            <w:tcBorders>
              <w:top w:val="nil"/>
              <w:left w:val="nil"/>
              <w:bottom w:val="single" w:sz="4" w:space="0" w:color="auto"/>
              <w:right w:val="single" w:sz="4" w:space="0" w:color="auto"/>
            </w:tcBorders>
            <w:noWrap/>
            <w:vAlign w:val="center"/>
            <w:hideMark/>
          </w:tcPr>
          <w:p w14:paraId="5350DFF1" w14:textId="173DBF98" w:rsidR="002D72F9" w:rsidRPr="00652F86" w:rsidRDefault="002D72F9" w:rsidP="002D72F9">
            <w:pPr>
              <w:jc w:val="right"/>
              <w:rPr>
                <w:rFonts w:ascii="Aptos Narrow" w:hAnsi="Aptos Narrow"/>
                <w:color w:val="000000"/>
              </w:rPr>
            </w:pPr>
            <w:r>
              <w:rPr>
                <w:rFonts w:ascii="Aptos Narrow" w:hAnsi="Aptos Narrow"/>
                <w:color w:val="000000"/>
              </w:rPr>
              <w:t>161 056</w:t>
            </w:r>
          </w:p>
        </w:tc>
      </w:tr>
      <w:tr w:rsidR="002D72F9" w:rsidRPr="00652F86" w14:paraId="5A5842CC"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40DF9DEE" w14:textId="77777777" w:rsidR="002D72F9" w:rsidRPr="00652F86" w:rsidRDefault="002D72F9" w:rsidP="002D72F9">
            <w:pPr>
              <w:rPr>
                <w:rFonts w:ascii="Aptos Narrow" w:hAnsi="Aptos Narrow"/>
                <w:color w:val="000000"/>
              </w:rPr>
            </w:pPr>
            <w:r w:rsidRPr="00652F86">
              <w:rPr>
                <w:rFonts w:ascii="Aptos Narrow" w:hAnsi="Aptos Narrow"/>
                <w:color w:val="000000"/>
              </w:rPr>
              <w:t>FLKŘ</w:t>
            </w:r>
          </w:p>
        </w:tc>
        <w:tc>
          <w:tcPr>
            <w:tcW w:w="4535" w:type="dxa"/>
            <w:tcBorders>
              <w:top w:val="nil"/>
              <w:left w:val="nil"/>
              <w:bottom w:val="single" w:sz="4" w:space="0" w:color="auto"/>
              <w:right w:val="single" w:sz="4" w:space="0" w:color="auto"/>
            </w:tcBorders>
            <w:noWrap/>
            <w:vAlign w:val="center"/>
            <w:hideMark/>
          </w:tcPr>
          <w:p w14:paraId="5DBA97A3" w14:textId="13795242" w:rsidR="002D72F9" w:rsidRPr="00652F86" w:rsidRDefault="002D72F9" w:rsidP="002D72F9">
            <w:pPr>
              <w:jc w:val="right"/>
              <w:rPr>
                <w:rFonts w:ascii="Aptos Narrow" w:hAnsi="Aptos Narrow"/>
                <w:color w:val="000000"/>
              </w:rPr>
            </w:pPr>
            <w:r>
              <w:rPr>
                <w:rFonts w:ascii="Aptos Narrow" w:hAnsi="Aptos Narrow"/>
                <w:color w:val="000000"/>
              </w:rPr>
              <w:t>78 809</w:t>
            </w:r>
          </w:p>
        </w:tc>
      </w:tr>
      <w:tr w:rsidR="002D72F9" w:rsidRPr="00652F86" w14:paraId="4F4FBE7B"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07076C3F" w14:textId="77777777" w:rsidR="002D72F9" w:rsidRPr="00652F86" w:rsidRDefault="002D72F9" w:rsidP="002D72F9">
            <w:pPr>
              <w:rPr>
                <w:rFonts w:ascii="Aptos Narrow" w:hAnsi="Aptos Narrow"/>
                <w:color w:val="000000"/>
              </w:rPr>
            </w:pPr>
            <w:r w:rsidRPr="00652F86">
              <w:rPr>
                <w:rFonts w:ascii="Aptos Narrow" w:hAnsi="Aptos Narrow"/>
                <w:color w:val="000000"/>
              </w:rPr>
              <w:t>FAI</w:t>
            </w:r>
          </w:p>
        </w:tc>
        <w:tc>
          <w:tcPr>
            <w:tcW w:w="4535" w:type="dxa"/>
            <w:tcBorders>
              <w:top w:val="nil"/>
              <w:left w:val="nil"/>
              <w:bottom w:val="single" w:sz="4" w:space="0" w:color="auto"/>
              <w:right w:val="single" w:sz="4" w:space="0" w:color="auto"/>
            </w:tcBorders>
            <w:noWrap/>
            <w:vAlign w:val="center"/>
            <w:hideMark/>
          </w:tcPr>
          <w:p w14:paraId="42D06216" w14:textId="5948B120" w:rsidR="002D72F9" w:rsidRPr="00652F86" w:rsidRDefault="002D72F9" w:rsidP="002D72F9">
            <w:pPr>
              <w:jc w:val="right"/>
              <w:rPr>
                <w:rFonts w:ascii="Aptos Narrow" w:hAnsi="Aptos Narrow"/>
                <w:color w:val="000000"/>
              </w:rPr>
            </w:pPr>
            <w:r>
              <w:rPr>
                <w:rFonts w:ascii="Aptos Narrow" w:hAnsi="Aptos Narrow"/>
                <w:color w:val="000000"/>
              </w:rPr>
              <w:t>89 731</w:t>
            </w:r>
          </w:p>
        </w:tc>
      </w:tr>
      <w:tr w:rsidR="002D72F9" w:rsidRPr="00652F86" w14:paraId="0DCBBF1D"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414B6261" w14:textId="77777777" w:rsidR="002D72F9" w:rsidRPr="00652F86" w:rsidRDefault="002D72F9" w:rsidP="002D72F9">
            <w:pPr>
              <w:rPr>
                <w:rFonts w:ascii="Aptos Narrow" w:hAnsi="Aptos Narrow"/>
                <w:color w:val="000000"/>
              </w:rPr>
            </w:pPr>
            <w:r w:rsidRPr="00652F86">
              <w:rPr>
                <w:rFonts w:ascii="Aptos Narrow" w:hAnsi="Aptos Narrow"/>
                <w:color w:val="000000"/>
              </w:rPr>
              <w:t>FMK</w:t>
            </w:r>
          </w:p>
        </w:tc>
        <w:tc>
          <w:tcPr>
            <w:tcW w:w="4535" w:type="dxa"/>
            <w:tcBorders>
              <w:top w:val="nil"/>
              <w:left w:val="nil"/>
              <w:bottom w:val="single" w:sz="4" w:space="0" w:color="auto"/>
              <w:right w:val="single" w:sz="4" w:space="0" w:color="auto"/>
            </w:tcBorders>
            <w:noWrap/>
            <w:vAlign w:val="center"/>
            <w:hideMark/>
          </w:tcPr>
          <w:p w14:paraId="0409FA16" w14:textId="669F848B" w:rsidR="002D72F9" w:rsidRPr="00652F86" w:rsidRDefault="002D72F9" w:rsidP="002D72F9">
            <w:pPr>
              <w:jc w:val="right"/>
              <w:rPr>
                <w:rFonts w:ascii="Aptos Narrow" w:hAnsi="Aptos Narrow"/>
                <w:color w:val="000000"/>
              </w:rPr>
            </w:pPr>
            <w:r>
              <w:rPr>
                <w:rFonts w:ascii="Aptos Narrow" w:hAnsi="Aptos Narrow"/>
                <w:color w:val="000000"/>
              </w:rPr>
              <w:t>119 758</w:t>
            </w:r>
          </w:p>
        </w:tc>
      </w:tr>
      <w:tr w:rsidR="002D72F9" w:rsidRPr="00652F86" w14:paraId="74AD5143"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5C6F79F3" w14:textId="77777777" w:rsidR="002D72F9" w:rsidRPr="00652F86" w:rsidRDefault="002D72F9" w:rsidP="002D72F9">
            <w:pPr>
              <w:rPr>
                <w:rFonts w:ascii="Aptos Narrow" w:hAnsi="Aptos Narrow"/>
                <w:color w:val="000000"/>
              </w:rPr>
            </w:pPr>
            <w:r w:rsidRPr="00652F86">
              <w:rPr>
                <w:rFonts w:ascii="Aptos Narrow" w:hAnsi="Aptos Narrow"/>
                <w:color w:val="000000"/>
              </w:rPr>
              <w:t>FaME</w:t>
            </w:r>
          </w:p>
        </w:tc>
        <w:tc>
          <w:tcPr>
            <w:tcW w:w="4535" w:type="dxa"/>
            <w:tcBorders>
              <w:top w:val="nil"/>
              <w:left w:val="nil"/>
              <w:bottom w:val="single" w:sz="4" w:space="0" w:color="auto"/>
              <w:right w:val="single" w:sz="4" w:space="0" w:color="auto"/>
            </w:tcBorders>
            <w:noWrap/>
            <w:vAlign w:val="center"/>
            <w:hideMark/>
          </w:tcPr>
          <w:p w14:paraId="3BA644E1" w14:textId="4AAE6579" w:rsidR="002D72F9" w:rsidRPr="00652F86" w:rsidRDefault="002D72F9" w:rsidP="002D72F9">
            <w:pPr>
              <w:jc w:val="right"/>
              <w:rPr>
                <w:rFonts w:ascii="Aptos Narrow" w:hAnsi="Aptos Narrow"/>
                <w:color w:val="000000"/>
              </w:rPr>
            </w:pPr>
            <w:r>
              <w:rPr>
                <w:rFonts w:ascii="Aptos Narrow" w:hAnsi="Aptos Narrow"/>
                <w:color w:val="000000"/>
              </w:rPr>
              <w:t>88 134</w:t>
            </w:r>
          </w:p>
        </w:tc>
      </w:tr>
      <w:tr w:rsidR="002D72F9" w:rsidRPr="00652F86" w14:paraId="4768171F"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38137C43" w14:textId="77777777" w:rsidR="002D72F9" w:rsidRPr="00652F86" w:rsidRDefault="002D72F9" w:rsidP="002D72F9">
            <w:pPr>
              <w:rPr>
                <w:rFonts w:ascii="Aptos Narrow" w:hAnsi="Aptos Narrow"/>
                <w:color w:val="000000"/>
              </w:rPr>
            </w:pPr>
            <w:r w:rsidRPr="00652F86">
              <w:rPr>
                <w:rFonts w:ascii="Aptos Narrow" w:hAnsi="Aptos Narrow"/>
                <w:color w:val="000000"/>
              </w:rPr>
              <w:t>FHS</w:t>
            </w:r>
          </w:p>
        </w:tc>
        <w:tc>
          <w:tcPr>
            <w:tcW w:w="4535" w:type="dxa"/>
            <w:tcBorders>
              <w:top w:val="nil"/>
              <w:left w:val="nil"/>
              <w:bottom w:val="single" w:sz="4" w:space="0" w:color="auto"/>
              <w:right w:val="single" w:sz="4" w:space="0" w:color="auto"/>
            </w:tcBorders>
            <w:noWrap/>
            <w:vAlign w:val="center"/>
            <w:hideMark/>
          </w:tcPr>
          <w:p w14:paraId="5E92F905" w14:textId="4E047615" w:rsidR="002D72F9" w:rsidRPr="00652F86" w:rsidRDefault="002D72F9" w:rsidP="002D72F9">
            <w:pPr>
              <w:jc w:val="right"/>
              <w:rPr>
                <w:rFonts w:ascii="Aptos Narrow" w:hAnsi="Aptos Narrow"/>
                <w:color w:val="000000"/>
              </w:rPr>
            </w:pPr>
            <w:r>
              <w:rPr>
                <w:rFonts w:ascii="Aptos Narrow" w:hAnsi="Aptos Narrow"/>
                <w:color w:val="000000"/>
              </w:rPr>
              <w:t>110 369</w:t>
            </w:r>
          </w:p>
        </w:tc>
      </w:tr>
      <w:tr w:rsidR="002D72F9" w:rsidRPr="00652F86" w14:paraId="6FD02BCB"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7F4BE616" w14:textId="77777777" w:rsidR="002D72F9" w:rsidRPr="00652F86" w:rsidRDefault="002D72F9" w:rsidP="002D72F9">
            <w:pPr>
              <w:rPr>
                <w:rFonts w:ascii="Aptos Narrow" w:hAnsi="Aptos Narrow"/>
                <w:color w:val="000000"/>
              </w:rPr>
            </w:pPr>
            <w:r w:rsidRPr="00652F86">
              <w:rPr>
                <w:rFonts w:ascii="Aptos Narrow" w:hAnsi="Aptos Narrow"/>
                <w:color w:val="000000"/>
              </w:rPr>
              <w:lastRenderedPageBreak/>
              <w:t>UNI</w:t>
            </w:r>
          </w:p>
        </w:tc>
        <w:tc>
          <w:tcPr>
            <w:tcW w:w="4535" w:type="dxa"/>
            <w:tcBorders>
              <w:top w:val="nil"/>
              <w:left w:val="nil"/>
              <w:bottom w:val="single" w:sz="4" w:space="0" w:color="auto"/>
              <w:right w:val="single" w:sz="4" w:space="0" w:color="auto"/>
            </w:tcBorders>
            <w:noWrap/>
            <w:vAlign w:val="center"/>
            <w:hideMark/>
          </w:tcPr>
          <w:p w14:paraId="1DC6D46D" w14:textId="66027ACA" w:rsidR="002D72F9" w:rsidRPr="00652F86" w:rsidRDefault="002D72F9" w:rsidP="002D72F9">
            <w:pPr>
              <w:jc w:val="right"/>
              <w:rPr>
                <w:rFonts w:ascii="Aptos Narrow" w:hAnsi="Aptos Narrow"/>
                <w:color w:val="000000"/>
              </w:rPr>
            </w:pPr>
            <w:r>
              <w:rPr>
                <w:rFonts w:ascii="Aptos Narrow" w:hAnsi="Aptos Narrow"/>
                <w:color w:val="000000"/>
              </w:rPr>
              <w:t>4 509</w:t>
            </w:r>
          </w:p>
        </w:tc>
      </w:tr>
      <w:tr w:rsidR="00652F86" w:rsidRPr="00652F86" w14:paraId="4A12A81F"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091787BD" w14:textId="77777777" w:rsidR="00652F86" w:rsidRPr="00652F86" w:rsidRDefault="00652F86" w:rsidP="00652F86">
            <w:pPr>
              <w:rPr>
                <w:rFonts w:ascii="Aptos Narrow" w:hAnsi="Aptos Narrow"/>
                <w:color w:val="000000"/>
              </w:rPr>
            </w:pPr>
            <w:r w:rsidRPr="00652F86">
              <w:rPr>
                <w:rFonts w:ascii="Aptos Narrow" w:hAnsi="Aptos Narrow"/>
                <w:color w:val="000000"/>
              </w:rPr>
              <w:t>Knihovna</w:t>
            </w:r>
          </w:p>
        </w:tc>
        <w:tc>
          <w:tcPr>
            <w:tcW w:w="4535" w:type="dxa"/>
            <w:tcBorders>
              <w:top w:val="nil"/>
              <w:left w:val="nil"/>
              <w:bottom w:val="single" w:sz="4" w:space="0" w:color="auto"/>
              <w:right w:val="single" w:sz="4" w:space="0" w:color="auto"/>
            </w:tcBorders>
            <w:noWrap/>
            <w:vAlign w:val="center"/>
            <w:hideMark/>
          </w:tcPr>
          <w:p w14:paraId="66BF0AEA" w14:textId="77777777" w:rsidR="00652F86" w:rsidRPr="00652F86" w:rsidRDefault="00652F86" w:rsidP="002D72F9">
            <w:pPr>
              <w:jc w:val="right"/>
              <w:rPr>
                <w:rFonts w:ascii="Aptos Narrow" w:hAnsi="Aptos Narrow"/>
                <w:color w:val="000000"/>
              </w:rPr>
            </w:pPr>
            <w:r w:rsidRPr="00652F86">
              <w:rPr>
                <w:rFonts w:ascii="Aptos Narrow" w:hAnsi="Aptos Narrow"/>
                <w:color w:val="000000"/>
              </w:rPr>
              <w:t>0</w:t>
            </w:r>
          </w:p>
        </w:tc>
      </w:tr>
      <w:tr w:rsidR="00652F86" w:rsidRPr="00652F86" w14:paraId="39F08DA5" w14:textId="77777777" w:rsidTr="002D72F9">
        <w:trPr>
          <w:trHeight w:val="320"/>
        </w:trPr>
        <w:tc>
          <w:tcPr>
            <w:tcW w:w="4535" w:type="dxa"/>
            <w:tcBorders>
              <w:top w:val="nil"/>
              <w:left w:val="single" w:sz="4" w:space="0" w:color="auto"/>
              <w:bottom w:val="single" w:sz="4" w:space="0" w:color="auto"/>
              <w:right w:val="single" w:sz="4" w:space="0" w:color="auto"/>
            </w:tcBorders>
            <w:noWrap/>
            <w:vAlign w:val="center"/>
            <w:hideMark/>
          </w:tcPr>
          <w:p w14:paraId="48C8836E" w14:textId="77777777" w:rsidR="00652F86" w:rsidRPr="00652F86" w:rsidRDefault="00652F86" w:rsidP="00652F86">
            <w:pPr>
              <w:rPr>
                <w:rFonts w:ascii="Aptos Narrow" w:hAnsi="Aptos Narrow"/>
                <w:color w:val="000000"/>
              </w:rPr>
            </w:pPr>
            <w:r w:rsidRPr="00652F86">
              <w:rPr>
                <w:rFonts w:ascii="Aptos Narrow" w:hAnsi="Aptos Narrow"/>
                <w:color w:val="000000"/>
              </w:rPr>
              <w:t>KMZ</w:t>
            </w:r>
          </w:p>
        </w:tc>
        <w:tc>
          <w:tcPr>
            <w:tcW w:w="4535" w:type="dxa"/>
            <w:tcBorders>
              <w:top w:val="nil"/>
              <w:left w:val="nil"/>
              <w:bottom w:val="single" w:sz="4" w:space="0" w:color="auto"/>
              <w:right w:val="single" w:sz="4" w:space="0" w:color="auto"/>
            </w:tcBorders>
            <w:noWrap/>
            <w:vAlign w:val="center"/>
            <w:hideMark/>
          </w:tcPr>
          <w:p w14:paraId="4F66E874" w14:textId="77777777" w:rsidR="00652F86" w:rsidRPr="00652F86" w:rsidRDefault="00652F86" w:rsidP="002D72F9">
            <w:pPr>
              <w:jc w:val="right"/>
              <w:rPr>
                <w:rFonts w:ascii="Aptos Narrow" w:hAnsi="Aptos Narrow"/>
                <w:color w:val="000000"/>
              </w:rPr>
            </w:pPr>
            <w:r w:rsidRPr="00652F86">
              <w:rPr>
                <w:rFonts w:ascii="Aptos Narrow" w:hAnsi="Aptos Narrow"/>
                <w:color w:val="000000"/>
              </w:rPr>
              <w:t>0</w:t>
            </w:r>
          </w:p>
        </w:tc>
      </w:tr>
      <w:tr w:rsidR="00652F86" w:rsidRPr="00652F86" w14:paraId="145151AA" w14:textId="77777777" w:rsidTr="00652F86">
        <w:trPr>
          <w:trHeight w:val="320"/>
        </w:trPr>
        <w:tc>
          <w:tcPr>
            <w:tcW w:w="4535" w:type="dxa"/>
            <w:tcBorders>
              <w:top w:val="nil"/>
              <w:left w:val="single" w:sz="4" w:space="0" w:color="auto"/>
              <w:bottom w:val="single" w:sz="4" w:space="0" w:color="auto"/>
              <w:right w:val="single" w:sz="4" w:space="0" w:color="auto"/>
            </w:tcBorders>
            <w:noWrap/>
            <w:vAlign w:val="center"/>
            <w:hideMark/>
          </w:tcPr>
          <w:p w14:paraId="5C76D52C" w14:textId="77777777" w:rsidR="00652F86" w:rsidRPr="00652F86" w:rsidRDefault="00652F86" w:rsidP="00652F86">
            <w:pPr>
              <w:rPr>
                <w:rFonts w:ascii="Aptos Narrow" w:hAnsi="Aptos Narrow"/>
                <w:b/>
                <w:bCs/>
                <w:color w:val="000000"/>
              </w:rPr>
            </w:pPr>
            <w:r w:rsidRPr="00652F86">
              <w:rPr>
                <w:rFonts w:ascii="Aptos Narrow" w:hAnsi="Aptos Narrow"/>
                <w:b/>
                <w:bCs/>
                <w:color w:val="000000"/>
              </w:rPr>
              <w:t>Celkem</w:t>
            </w:r>
          </w:p>
        </w:tc>
        <w:tc>
          <w:tcPr>
            <w:tcW w:w="4535" w:type="dxa"/>
            <w:tcBorders>
              <w:top w:val="nil"/>
              <w:left w:val="nil"/>
              <w:bottom w:val="single" w:sz="4" w:space="0" w:color="auto"/>
              <w:right w:val="single" w:sz="4" w:space="0" w:color="auto"/>
            </w:tcBorders>
            <w:noWrap/>
            <w:vAlign w:val="center"/>
            <w:hideMark/>
          </w:tcPr>
          <w:p w14:paraId="55DCD7D8" w14:textId="77777777" w:rsidR="00652F86" w:rsidRPr="00652F86" w:rsidRDefault="00652F86" w:rsidP="00652F86">
            <w:pPr>
              <w:jc w:val="right"/>
              <w:rPr>
                <w:rFonts w:ascii="Aptos Narrow" w:hAnsi="Aptos Narrow"/>
                <w:b/>
                <w:bCs/>
                <w:color w:val="000000"/>
              </w:rPr>
            </w:pPr>
            <w:r w:rsidRPr="00652F86">
              <w:rPr>
                <w:rFonts w:ascii="Aptos Narrow" w:hAnsi="Aptos Narrow"/>
                <w:b/>
                <w:bCs/>
                <w:color w:val="000000"/>
              </w:rPr>
              <w:t>652 366</w:t>
            </w:r>
          </w:p>
        </w:tc>
      </w:tr>
    </w:tbl>
    <w:p w14:paraId="48541A5C" w14:textId="77777777" w:rsidR="00E720BA" w:rsidRDefault="00E720BA" w:rsidP="00AE46FC">
      <w:pPr>
        <w:pStyle w:val="RozpocetOdstavec"/>
      </w:pPr>
    </w:p>
    <w:p w14:paraId="0F7A198D" w14:textId="77777777" w:rsidR="00844947" w:rsidRDefault="00844947" w:rsidP="00AE46FC">
      <w:pPr>
        <w:pStyle w:val="RozpocetOdstavec"/>
        <w:sectPr w:rsidR="00844947" w:rsidSect="00495879">
          <w:headerReference w:type="default" r:id="rId11"/>
          <w:footerReference w:type="even" r:id="rId12"/>
          <w:footerReference w:type="default" r:id="rId13"/>
          <w:footerReference w:type="first" r:id="rId14"/>
          <w:pgSz w:w="11906" w:h="16838"/>
          <w:pgMar w:top="1417" w:right="1417" w:bottom="1417" w:left="1417" w:header="708" w:footer="708" w:gutter="0"/>
          <w:cols w:space="708"/>
          <w:titlePg/>
          <w:docGrid w:linePitch="360"/>
        </w:sectPr>
      </w:pPr>
    </w:p>
    <w:p w14:paraId="5A32FD07" w14:textId="77777777" w:rsidR="00D21C45" w:rsidRDefault="00D21C45" w:rsidP="00D21C45">
      <w:pPr>
        <w:pStyle w:val="RozpoetNadpis3"/>
      </w:pPr>
      <w:bookmarkStart w:id="33" w:name="_Toc228824344"/>
      <w:r>
        <w:lastRenderedPageBreak/>
        <w:t>Rozdělení ukazatele K</w:t>
      </w:r>
      <w:bookmarkEnd w:id="33"/>
    </w:p>
    <w:p w14:paraId="31C185C9" w14:textId="5DE284BD" w:rsidR="00F928D7" w:rsidRPr="000A20AA" w:rsidRDefault="00F928D7" w:rsidP="00F928D7">
      <w:pPr>
        <w:pStyle w:val="RozpocetOdstavec"/>
      </w:pPr>
      <w:r w:rsidRPr="000A20AA">
        <w:t>Rozdělení ukazatele K mezi součásti bude realizováno podle indikátorů graduation rate, mezinárodní mobility, počet absolventů, VaV, RUV, externí příjmy, studia v cizím jazyce a cizinci. Podle těchto indikátoru budou mezi součásti rozděleny podíly ukazatele K přiděleného UTB v jednotlivých ukazatelích.</w:t>
      </w:r>
    </w:p>
    <w:p w14:paraId="085CECF6" w14:textId="77777777" w:rsidR="00D10EE7" w:rsidRDefault="00D10EE7" w:rsidP="00F928D7">
      <w:pPr>
        <w:pStyle w:val="RozpocetOdstavec"/>
        <w:rPr>
          <w:color w:val="00B050"/>
        </w:rPr>
      </w:pPr>
    </w:p>
    <w:tbl>
      <w:tblPr>
        <w:tblW w:w="13999" w:type="dxa"/>
        <w:tblLook w:val="04A0" w:firstRow="1" w:lastRow="0" w:firstColumn="1" w:lastColumn="0" w:noHBand="0" w:noVBand="1"/>
      </w:tblPr>
      <w:tblGrid>
        <w:gridCol w:w="1134"/>
        <w:gridCol w:w="1417"/>
        <w:gridCol w:w="1531"/>
        <w:gridCol w:w="1304"/>
        <w:gridCol w:w="1320"/>
        <w:gridCol w:w="1340"/>
        <w:gridCol w:w="1587"/>
        <w:gridCol w:w="1304"/>
        <w:gridCol w:w="1361"/>
        <w:gridCol w:w="1701"/>
      </w:tblGrid>
      <w:tr w:rsidR="00D10EE7" w:rsidRPr="00D10EE7" w14:paraId="32251C16" w14:textId="77777777" w:rsidTr="00D10EE7">
        <w:trPr>
          <w:trHeight w:val="32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5354C1" w14:textId="7E82C09C" w:rsidR="00D10EE7" w:rsidRPr="00D10EE7" w:rsidRDefault="00D10EE7" w:rsidP="00D10EE7">
            <w:pPr>
              <w:jc w:val="center"/>
              <w:rPr>
                <w:rFonts w:ascii="Aptos Narrow" w:hAnsi="Aptos Narrow"/>
                <w:b/>
                <w:bCs/>
                <w:color w:val="000000"/>
              </w:rPr>
            </w:pPr>
            <w:r>
              <w:rPr>
                <w:rFonts w:ascii="Aptos Narrow" w:hAnsi="Aptos Narrow"/>
                <w:b/>
                <w:bCs/>
                <w:color w:val="000000"/>
              </w:rPr>
              <w:t>Součást</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5CAFE00"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Graduation rate</w:t>
            </w:r>
          </w:p>
          <w:p w14:paraId="36E7337A" w14:textId="35BB8430"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53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2D4BE9"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Mezinárodní mobility</w:t>
            </w:r>
          </w:p>
          <w:p w14:paraId="5EAE8E1C" w14:textId="7BFF4CAC"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E0D54A"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Absolvent</w:t>
            </w:r>
          </w:p>
          <w:p w14:paraId="698EAA40" w14:textId="05081A2D"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A2BF62"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VaV</w:t>
            </w:r>
          </w:p>
          <w:p w14:paraId="2126508A" w14:textId="48AAF5C1"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CA19E4"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RUV</w:t>
            </w:r>
          </w:p>
          <w:p w14:paraId="55EC7834" w14:textId="5DC91F7E"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F2E68D"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Externí příjmy</w:t>
            </w:r>
          </w:p>
          <w:p w14:paraId="6BCC33F6" w14:textId="68A8EF58"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0A3C69"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Studia v CJ</w:t>
            </w:r>
          </w:p>
          <w:p w14:paraId="13F252BD" w14:textId="36FA5E8E"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32BAED" w14:textId="77777777" w:rsidR="00D10EE7" w:rsidRDefault="00D10EE7" w:rsidP="00D10EE7">
            <w:pPr>
              <w:jc w:val="center"/>
              <w:rPr>
                <w:rFonts w:ascii="Aptos Narrow" w:hAnsi="Aptos Narrow"/>
                <w:b/>
                <w:bCs/>
                <w:color w:val="000000"/>
              </w:rPr>
            </w:pPr>
            <w:r w:rsidRPr="00D10EE7">
              <w:rPr>
                <w:rFonts w:ascii="Aptos Narrow" w:hAnsi="Aptos Narrow"/>
                <w:b/>
                <w:bCs/>
                <w:color w:val="000000"/>
              </w:rPr>
              <w:t>Cizinci</w:t>
            </w:r>
          </w:p>
          <w:p w14:paraId="525CE591" w14:textId="3B864C87" w:rsidR="00D10EE7" w:rsidRPr="00D10EE7" w:rsidRDefault="00D10EE7" w:rsidP="00D10EE7">
            <w:pPr>
              <w:jc w:val="center"/>
              <w:rPr>
                <w:rFonts w:ascii="Aptos Narrow" w:hAnsi="Aptos Narrow"/>
                <w:b/>
                <w:bCs/>
                <w:color w:val="000000"/>
              </w:rPr>
            </w:pPr>
            <w:r w:rsidRPr="00D10EE7">
              <w:rPr>
                <w:rFonts w:ascii="Aptos Narrow" w:hAnsi="Aptos Narrow"/>
                <w:b/>
                <w:bCs/>
                <w:color w:val="000000"/>
              </w:rPr>
              <w:t>v tis. Kč</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9BFD75" w14:textId="67112B4C" w:rsidR="00D10EE7" w:rsidRDefault="00D10EE7" w:rsidP="00D10EE7">
            <w:pPr>
              <w:jc w:val="center"/>
              <w:rPr>
                <w:rFonts w:ascii="Aptos Narrow" w:hAnsi="Aptos Narrow"/>
                <w:b/>
                <w:bCs/>
                <w:color w:val="000000"/>
              </w:rPr>
            </w:pPr>
            <w:r>
              <w:rPr>
                <w:rFonts w:ascii="Aptos Narrow" w:hAnsi="Aptos Narrow"/>
                <w:b/>
                <w:bCs/>
                <w:color w:val="000000"/>
              </w:rPr>
              <w:t xml:space="preserve">Ukazatel </w:t>
            </w:r>
            <w:r w:rsidRPr="00D10EE7">
              <w:rPr>
                <w:rFonts w:ascii="Aptos Narrow" w:hAnsi="Aptos Narrow"/>
                <w:b/>
                <w:bCs/>
                <w:color w:val="000000"/>
              </w:rPr>
              <w:t>K</w:t>
            </w:r>
          </w:p>
          <w:p w14:paraId="50DFBB66" w14:textId="2E554099" w:rsidR="00D10EE7" w:rsidRPr="00D10EE7" w:rsidRDefault="00D10EE7" w:rsidP="00D10EE7">
            <w:pPr>
              <w:jc w:val="center"/>
              <w:rPr>
                <w:rFonts w:ascii="Aptos Narrow" w:hAnsi="Aptos Narrow"/>
                <w:b/>
                <w:bCs/>
                <w:color w:val="000000"/>
              </w:rPr>
            </w:pPr>
            <w:r>
              <w:rPr>
                <w:rFonts w:ascii="Aptos Narrow" w:hAnsi="Aptos Narrow"/>
                <w:b/>
                <w:bCs/>
                <w:color w:val="000000"/>
              </w:rPr>
              <w:t>v</w:t>
            </w:r>
            <w:r w:rsidRPr="00D10EE7">
              <w:rPr>
                <w:rFonts w:ascii="Aptos Narrow" w:hAnsi="Aptos Narrow"/>
                <w:b/>
                <w:bCs/>
                <w:color w:val="000000"/>
              </w:rPr>
              <w:t xml:space="preserve"> tis. Kč</w:t>
            </w:r>
          </w:p>
        </w:tc>
      </w:tr>
      <w:tr w:rsidR="00C239F6" w:rsidRPr="00D10EE7" w14:paraId="059D87E1"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54B33E46" w14:textId="77777777" w:rsidR="00C239F6" w:rsidRPr="00D10EE7" w:rsidRDefault="00C239F6" w:rsidP="00C239F6">
            <w:pPr>
              <w:rPr>
                <w:rFonts w:ascii="Aptos Narrow" w:hAnsi="Aptos Narrow"/>
                <w:color w:val="000000"/>
              </w:rPr>
            </w:pPr>
            <w:r w:rsidRPr="00D10EE7">
              <w:rPr>
                <w:rFonts w:ascii="Aptos Narrow" w:hAnsi="Aptos Narrow"/>
                <w:color w:val="000000"/>
              </w:rPr>
              <w:t>FT</w:t>
            </w:r>
          </w:p>
        </w:tc>
        <w:tc>
          <w:tcPr>
            <w:tcW w:w="1417" w:type="dxa"/>
            <w:tcBorders>
              <w:top w:val="nil"/>
              <w:left w:val="nil"/>
              <w:bottom w:val="single" w:sz="4" w:space="0" w:color="auto"/>
              <w:right w:val="single" w:sz="4" w:space="0" w:color="auto"/>
            </w:tcBorders>
            <w:noWrap/>
            <w:vAlign w:val="center"/>
            <w:hideMark/>
          </w:tcPr>
          <w:p w14:paraId="7B68EBCD" w14:textId="7DF3753D" w:rsidR="00C239F6" w:rsidRPr="00D10EE7" w:rsidRDefault="00C239F6" w:rsidP="00C239F6">
            <w:pPr>
              <w:jc w:val="right"/>
              <w:rPr>
                <w:rFonts w:ascii="Aptos Narrow" w:hAnsi="Aptos Narrow"/>
                <w:color w:val="000000"/>
              </w:rPr>
            </w:pPr>
            <w:r>
              <w:rPr>
                <w:rFonts w:ascii="Aptos Narrow" w:hAnsi="Aptos Narrow"/>
                <w:color w:val="000000"/>
              </w:rPr>
              <w:t>2 655,20</w:t>
            </w:r>
          </w:p>
        </w:tc>
        <w:tc>
          <w:tcPr>
            <w:tcW w:w="1531" w:type="dxa"/>
            <w:tcBorders>
              <w:top w:val="nil"/>
              <w:left w:val="nil"/>
              <w:bottom w:val="single" w:sz="4" w:space="0" w:color="auto"/>
              <w:right w:val="single" w:sz="4" w:space="0" w:color="auto"/>
            </w:tcBorders>
            <w:noWrap/>
            <w:vAlign w:val="center"/>
            <w:hideMark/>
          </w:tcPr>
          <w:p w14:paraId="032B18A7" w14:textId="29A95FA7" w:rsidR="00C239F6" w:rsidRPr="00D10EE7" w:rsidRDefault="00C239F6" w:rsidP="00C239F6">
            <w:pPr>
              <w:jc w:val="right"/>
              <w:rPr>
                <w:rFonts w:ascii="Aptos Narrow" w:hAnsi="Aptos Narrow"/>
                <w:color w:val="000000"/>
              </w:rPr>
            </w:pPr>
            <w:r>
              <w:rPr>
                <w:rFonts w:ascii="Aptos Narrow" w:hAnsi="Aptos Narrow"/>
                <w:color w:val="000000"/>
              </w:rPr>
              <w:t>3 821,78</w:t>
            </w:r>
          </w:p>
        </w:tc>
        <w:tc>
          <w:tcPr>
            <w:tcW w:w="1304" w:type="dxa"/>
            <w:tcBorders>
              <w:top w:val="nil"/>
              <w:left w:val="nil"/>
              <w:bottom w:val="single" w:sz="4" w:space="0" w:color="auto"/>
              <w:right w:val="single" w:sz="4" w:space="0" w:color="auto"/>
            </w:tcBorders>
            <w:noWrap/>
            <w:vAlign w:val="center"/>
            <w:hideMark/>
          </w:tcPr>
          <w:p w14:paraId="275D77D7" w14:textId="365025C8" w:rsidR="00C239F6" w:rsidRPr="00D10EE7" w:rsidRDefault="00C239F6" w:rsidP="00C239F6">
            <w:pPr>
              <w:jc w:val="right"/>
              <w:rPr>
                <w:rFonts w:ascii="Aptos Narrow" w:hAnsi="Aptos Narrow"/>
                <w:color w:val="000000"/>
              </w:rPr>
            </w:pPr>
            <w:r>
              <w:rPr>
                <w:rFonts w:ascii="Aptos Narrow" w:hAnsi="Aptos Narrow"/>
                <w:color w:val="000000"/>
              </w:rPr>
              <w:t>3 484,34</w:t>
            </w:r>
          </w:p>
        </w:tc>
        <w:tc>
          <w:tcPr>
            <w:tcW w:w="1320" w:type="dxa"/>
            <w:tcBorders>
              <w:top w:val="nil"/>
              <w:left w:val="nil"/>
              <w:bottom w:val="single" w:sz="4" w:space="0" w:color="auto"/>
              <w:right w:val="single" w:sz="4" w:space="0" w:color="auto"/>
            </w:tcBorders>
            <w:noWrap/>
            <w:vAlign w:val="center"/>
            <w:hideMark/>
          </w:tcPr>
          <w:p w14:paraId="47CB3D49" w14:textId="40DBA804" w:rsidR="00C239F6" w:rsidRPr="00D10EE7" w:rsidRDefault="00C239F6" w:rsidP="00C239F6">
            <w:pPr>
              <w:jc w:val="right"/>
              <w:rPr>
                <w:rFonts w:ascii="Aptos Narrow" w:hAnsi="Aptos Narrow"/>
                <w:color w:val="000000"/>
              </w:rPr>
            </w:pPr>
            <w:r>
              <w:rPr>
                <w:rFonts w:ascii="Aptos Narrow" w:hAnsi="Aptos Narrow"/>
                <w:color w:val="000000"/>
              </w:rPr>
              <w:t>7 464,74</w:t>
            </w:r>
          </w:p>
        </w:tc>
        <w:tc>
          <w:tcPr>
            <w:tcW w:w="1340" w:type="dxa"/>
            <w:tcBorders>
              <w:top w:val="nil"/>
              <w:left w:val="nil"/>
              <w:bottom w:val="single" w:sz="4" w:space="0" w:color="auto"/>
              <w:right w:val="single" w:sz="4" w:space="0" w:color="auto"/>
            </w:tcBorders>
            <w:noWrap/>
            <w:vAlign w:val="center"/>
            <w:hideMark/>
          </w:tcPr>
          <w:p w14:paraId="5AFB039E" w14:textId="5BBA12DE"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87" w:type="dxa"/>
            <w:tcBorders>
              <w:top w:val="nil"/>
              <w:left w:val="nil"/>
              <w:bottom w:val="single" w:sz="4" w:space="0" w:color="auto"/>
              <w:right w:val="single" w:sz="4" w:space="0" w:color="auto"/>
            </w:tcBorders>
            <w:noWrap/>
            <w:vAlign w:val="center"/>
            <w:hideMark/>
          </w:tcPr>
          <w:p w14:paraId="6AC6A607" w14:textId="27F57B38" w:rsidR="00C239F6" w:rsidRPr="00D10EE7" w:rsidRDefault="00C239F6" w:rsidP="00C239F6">
            <w:pPr>
              <w:jc w:val="right"/>
              <w:rPr>
                <w:rFonts w:ascii="Aptos Narrow" w:hAnsi="Aptos Narrow"/>
                <w:color w:val="000000"/>
              </w:rPr>
            </w:pPr>
            <w:r>
              <w:rPr>
                <w:rFonts w:ascii="Aptos Narrow" w:hAnsi="Aptos Narrow"/>
                <w:color w:val="000000"/>
              </w:rPr>
              <w:t>531,10</w:t>
            </w:r>
          </w:p>
        </w:tc>
        <w:tc>
          <w:tcPr>
            <w:tcW w:w="1304" w:type="dxa"/>
            <w:tcBorders>
              <w:top w:val="nil"/>
              <w:left w:val="nil"/>
              <w:bottom w:val="single" w:sz="4" w:space="0" w:color="auto"/>
              <w:right w:val="single" w:sz="4" w:space="0" w:color="auto"/>
            </w:tcBorders>
            <w:noWrap/>
            <w:vAlign w:val="center"/>
            <w:hideMark/>
          </w:tcPr>
          <w:p w14:paraId="61DC4E61" w14:textId="76B1D698" w:rsidR="00C239F6" w:rsidRPr="00D10EE7" w:rsidRDefault="00C239F6" w:rsidP="00C239F6">
            <w:pPr>
              <w:jc w:val="right"/>
              <w:rPr>
                <w:rFonts w:ascii="Aptos Narrow" w:hAnsi="Aptos Narrow"/>
                <w:color w:val="000000"/>
              </w:rPr>
            </w:pPr>
            <w:r>
              <w:rPr>
                <w:rFonts w:ascii="Aptos Narrow" w:hAnsi="Aptos Narrow"/>
                <w:color w:val="000000"/>
              </w:rPr>
              <w:t>208,89</w:t>
            </w:r>
          </w:p>
        </w:tc>
        <w:tc>
          <w:tcPr>
            <w:tcW w:w="1361" w:type="dxa"/>
            <w:tcBorders>
              <w:top w:val="nil"/>
              <w:left w:val="nil"/>
              <w:bottom w:val="single" w:sz="4" w:space="0" w:color="auto"/>
              <w:right w:val="single" w:sz="4" w:space="0" w:color="auto"/>
            </w:tcBorders>
            <w:noWrap/>
            <w:vAlign w:val="center"/>
            <w:hideMark/>
          </w:tcPr>
          <w:p w14:paraId="5BB7D865" w14:textId="69180217" w:rsidR="00C239F6" w:rsidRPr="00D10EE7" w:rsidRDefault="00C239F6" w:rsidP="00C239F6">
            <w:pPr>
              <w:jc w:val="right"/>
              <w:rPr>
                <w:rFonts w:ascii="Aptos Narrow" w:hAnsi="Aptos Narrow"/>
                <w:color w:val="000000"/>
              </w:rPr>
            </w:pPr>
            <w:r>
              <w:rPr>
                <w:rFonts w:ascii="Aptos Narrow" w:hAnsi="Aptos Narrow"/>
                <w:color w:val="000000"/>
              </w:rPr>
              <w:t>1 647,94</w:t>
            </w:r>
          </w:p>
        </w:tc>
        <w:tc>
          <w:tcPr>
            <w:tcW w:w="1701" w:type="dxa"/>
            <w:tcBorders>
              <w:top w:val="nil"/>
              <w:left w:val="nil"/>
              <w:bottom w:val="single" w:sz="4" w:space="0" w:color="auto"/>
              <w:right w:val="single" w:sz="4" w:space="0" w:color="auto"/>
            </w:tcBorders>
            <w:noWrap/>
            <w:vAlign w:val="center"/>
            <w:hideMark/>
          </w:tcPr>
          <w:p w14:paraId="36F58FE1" w14:textId="175C152D" w:rsidR="00C239F6" w:rsidRPr="00D10EE7" w:rsidRDefault="00C239F6" w:rsidP="00C239F6">
            <w:pPr>
              <w:jc w:val="right"/>
              <w:rPr>
                <w:rFonts w:ascii="Aptos Narrow" w:hAnsi="Aptos Narrow"/>
                <w:color w:val="000000"/>
              </w:rPr>
            </w:pPr>
            <w:r>
              <w:rPr>
                <w:rFonts w:ascii="Aptos Narrow" w:hAnsi="Aptos Narrow"/>
                <w:color w:val="000000"/>
              </w:rPr>
              <w:t>19 814</w:t>
            </w:r>
          </w:p>
        </w:tc>
      </w:tr>
      <w:tr w:rsidR="00C239F6" w:rsidRPr="00D10EE7" w14:paraId="44C9B2B3"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07726DC0" w14:textId="77777777" w:rsidR="00C239F6" w:rsidRPr="00D10EE7" w:rsidRDefault="00C239F6" w:rsidP="00C239F6">
            <w:pPr>
              <w:rPr>
                <w:rFonts w:ascii="Aptos Narrow" w:hAnsi="Aptos Narrow"/>
                <w:color w:val="000000"/>
              </w:rPr>
            </w:pPr>
            <w:r w:rsidRPr="00D10EE7">
              <w:rPr>
                <w:rFonts w:ascii="Aptos Narrow" w:hAnsi="Aptos Narrow"/>
                <w:color w:val="000000"/>
              </w:rPr>
              <w:t>FLKŘ</w:t>
            </w:r>
          </w:p>
        </w:tc>
        <w:tc>
          <w:tcPr>
            <w:tcW w:w="1417" w:type="dxa"/>
            <w:tcBorders>
              <w:top w:val="nil"/>
              <w:left w:val="nil"/>
              <w:bottom w:val="single" w:sz="4" w:space="0" w:color="auto"/>
              <w:right w:val="single" w:sz="4" w:space="0" w:color="auto"/>
            </w:tcBorders>
            <w:noWrap/>
            <w:vAlign w:val="center"/>
            <w:hideMark/>
          </w:tcPr>
          <w:p w14:paraId="4BE91C44" w14:textId="509C6829" w:rsidR="00C239F6" w:rsidRPr="00D10EE7" w:rsidRDefault="00C239F6" w:rsidP="00C239F6">
            <w:pPr>
              <w:jc w:val="right"/>
              <w:rPr>
                <w:rFonts w:ascii="Aptos Narrow" w:hAnsi="Aptos Narrow"/>
                <w:color w:val="000000"/>
              </w:rPr>
            </w:pPr>
            <w:r>
              <w:rPr>
                <w:rFonts w:ascii="Aptos Narrow" w:hAnsi="Aptos Narrow"/>
                <w:color w:val="000000"/>
              </w:rPr>
              <w:t>4 286,80</w:t>
            </w:r>
          </w:p>
        </w:tc>
        <w:tc>
          <w:tcPr>
            <w:tcW w:w="1531" w:type="dxa"/>
            <w:tcBorders>
              <w:top w:val="nil"/>
              <w:left w:val="nil"/>
              <w:bottom w:val="single" w:sz="4" w:space="0" w:color="auto"/>
              <w:right w:val="single" w:sz="4" w:space="0" w:color="auto"/>
            </w:tcBorders>
            <w:noWrap/>
            <w:vAlign w:val="center"/>
            <w:hideMark/>
          </w:tcPr>
          <w:p w14:paraId="48EE3B6A" w14:textId="211EEC07" w:rsidR="00C239F6" w:rsidRPr="00D10EE7" w:rsidRDefault="00C239F6" w:rsidP="00C239F6">
            <w:pPr>
              <w:jc w:val="right"/>
              <w:rPr>
                <w:rFonts w:ascii="Aptos Narrow" w:hAnsi="Aptos Narrow"/>
                <w:color w:val="000000"/>
              </w:rPr>
            </w:pPr>
            <w:r>
              <w:rPr>
                <w:rFonts w:ascii="Aptos Narrow" w:hAnsi="Aptos Narrow"/>
                <w:color w:val="000000"/>
              </w:rPr>
              <w:t>18,13</w:t>
            </w:r>
          </w:p>
        </w:tc>
        <w:tc>
          <w:tcPr>
            <w:tcW w:w="1304" w:type="dxa"/>
            <w:tcBorders>
              <w:top w:val="nil"/>
              <w:left w:val="nil"/>
              <w:bottom w:val="single" w:sz="4" w:space="0" w:color="auto"/>
              <w:right w:val="single" w:sz="4" w:space="0" w:color="auto"/>
            </w:tcBorders>
            <w:noWrap/>
            <w:vAlign w:val="center"/>
            <w:hideMark/>
          </w:tcPr>
          <w:p w14:paraId="766A1BC2" w14:textId="65AD5F5A" w:rsidR="00C239F6" w:rsidRPr="00D10EE7" w:rsidRDefault="00C239F6" w:rsidP="00C239F6">
            <w:pPr>
              <w:jc w:val="right"/>
              <w:rPr>
                <w:rFonts w:ascii="Aptos Narrow" w:hAnsi="Aptos Narrow"/>
                <w:color w:val="000000"/>
              </w:rPr>
            </w:pPr>
            <w:r>
              <w:rPr>
                <w:rFonts w:ascii="Aptos Narrow" w:hAnsi="Aptos Narrow"/>
                <w:color w:val="000000"/>
              </w:rPr>
              <w:t>2 732,44</w:t>
            </w:r>
          </w:p>
        </w:tc>
        <w:tc>
          <w:tcPr>
            <w:tcW w:w="1320" w:type="dxa"/>
            <w:tcBorders>
              <w:top w:val="nil"/>
              <w:left w:val="nil"/>
              <w:bottom w:val="single" w:sz="4" w:space="0" w:color="auto"/>
              <w:right w:val="single" w:sz="4" w:space="0" w:color="auto"/>
            </w:tcBorders>
            <w:noWrap/>
            <w:vAlign w:val="center"/>
            <w:hideMark/>
          </w:tcPr>
          <w:p w14:paraId="5FB7E1E7" w14:textId="173C8EF2" w:rsidR="00C239F6" w:rsidRPr="00D10EE7" w:rsidRDefault="00C239F6" w:rsidP="00C239F6">
            <w:pPr>
              <w:jc w:val="right"/>
              <w:rPr>
                <w:rFonts w:ascii="Aptos Narrow" w:hAnsi="Aptos Narrow"/>
                <w:color w:val="000000"/>
              </w:rPr>
            </w:pPr>
            <w:r>
              <w:rPr>
                <w:rFonts w:ascii="Aptos Narrow" w:hAnsi="Aptos Narrow"/>
                <w:color w:val="000000"/>
              </w:rPr>
              <w:t>993,80</w:t>
            </w:r>
          </w:p>
        </w:tc>
        <w:tc>
          <w:tcPr>
            <w:tcW w:w="1340" w:type="dxa"/>
            <w:tcBorders>
              <w:top w:val="nil"/>
              <w:left w:val="nil"/>
              <w:bottom w:val="single" w:sz="4" w:space="0" w:color="auto"/>
              <w:right w:val="single" w:sz="4" w:space="0" w:color="auto"/>
            </w:tcBorders>
            <w:noWrap/>
            <w:vAlign w:val="center"/>
            <w:hideMark/>
          </w:tcPr>
          <w:p w14:paraId="2C62417F" w14:textId="275856D6"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87" w:type="dxa"/>
            <w:tcBorders>
              <w:top w:val="nil"/>
              <w:left w:val="nil"/>
              <w:bottom w:val="single" w:sz="4" w:space="0" w:color="auto"/>
              <w:right w:val="single" w:sz="4" w:space="0" w:color="auto"/>
            </w:tcBorders>
            <w:noWrap/>
            <w:vAlign w:val="center"/>
            <w:hideMark/>
          </w:tcPr>
          <w:p w14:paraId="5077722A" w14:textId="68A947E6" w:rsidR="00C239F6" w:rsidRPr="00D10EE7" w:rsidRDefault="00C239F6" w:rsidP="00C239F6">
            <w:pPr>
              <w:jc w:val="right"/>
              <w:rPr>
                <w:rFonts w:ascii="Aptos Narrow" w:hAnsi="Aptos Narrow"/>
                <w:color w:val="000000"/>
              </w:rPr>
            </w:pPr>
            <w:r>
              <w:rPr>
                <w:rFonts w:ascii="Aptos Narrow" w:hAnsi="Aptos Narrow"/>
                <w:color w:val="000000"/>
              </w:rPr>
              <w:t>146,42</w:t>
            </w:r>
          </w:p>
        </w:tc>
        <w:tc>
          <w:tcPr>
            <w:tcW w:w="1304" w:type="dxa"/>
            <w:tcBorders>
              <w:top w:val="nil"/>
              <w:left w:val="nil"/>
              <w:bottom w:val="single" w:sz="4" w:space="0" w:color="auto"/>
              <w:right w:val="single" w:sz="4" w:space="0" w:color="auto"/>
            </w:tcBorders>
            <w:noWrap/>
            <w:vAlign w:val="center"/>
            <w:hideMark/>
          </w:tcPr>
          <w:p w14:paraId="1163849C" w14:textId="218F0CE5"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31E315DC" w14:textId="5F4A0E6E" w:rsidR="00C239F6" w:rsidRPr="00D10EE7" w:rsidRDefault="00C239F6" w:rsidP="00C239F6">
            <w:pPr>
              <w:jc w:val="right"/>
              <w:rPr>
                <w:rFonts w:ascii="Aptos Narrow" w:hAnsi="Aptos Narrow"/>
                <w:color w:val="000000"/>
              </w:rPr>
            </w:pPr>
            <w:r>
              <w:rPr>
                <w:rFonts w:ascii="Aptos Narrow" w:hAnsi="Aptos Narrow"/>
                <w:color w:val="000000"/>
              </w:rPr>
              <w:t>1 010,71</w:t>
            </w:r>
          </w:p>
        </w:tc>
        <w:tc>
          <w:tcPr>
            <w:tcW w:w="1701" w:type="dxa"/>
            <w:tcBorders>
              <w:top w:val="nil"/>
              <w:left w:val="nil"/>
              <w:bottom w:val="single" w:sz="4" w:space="0" w:color="auto"/>
              <w:right w:val="single" w:sz="4" w:space="0" w:color="auto"/>
            </w:tcBorders>
            <w:noWrap/>
            <w:vAlign w:val="center"/>
            <w:hideMark/>
          </w:tcPr>
          <w:p w14:paraId="6FCA73CF" w14:textId="400BDC36" w:rsidR="00C239F6" w:rsidRPr="00D10EE7" w:rsidRDefault="00C239F6" w:rsidP="00C239F6">
            <w:pPr>
              <w:jc w:val="right"/>
              <w:rPr>
                <w:rFonts w:ascii="Aptos Narrow" w:hAnsi="Aptos Narrow"/>
                <w:color w:val="000000"/>
              </w:rPr>
            </w:pPr>
            <w:r>
              <w:rPr>
                <w:rFonts w:ascii="Aptos Narrow" w:hAnsi="Aptos Narrow"/>
                <w:color w:val="000000"/>
              </w:rPr>
              <w:t>9 188</w:t>
            </w:r>
          </w:p>
        </w:tc>
      </w:tr>
      <w:tr w:rsidR="00C239F6" w:rsidRPr="00D10EE7" w14:paraId="00EB96F3"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08D96974" w14:textId="77777777" w:rsidR="00C239F6" w:rsidRPr="00D10EE7" w:rsidRDefault="00C239F6" w:rsidP="00C239F6">
            <w:pPr>
              <w:rPr>
                <w:rFonts w:ascii="Aptos Narrow" w:hAnsi="Aptos Narrow"/>
                <w:color w:val="000000"/>
              </w:rPr>
            </w:pPr>
            <w:r w:rsidRPr="00D10EE7">
              <w:rPr>
                <w:rFonts w:ascii="Aptos Narrow" w:hAnsi="Aptos Narrow"/>
                <w:color w:val="000000"/>
              </w:rPr>
              <w:t>FAI</w:t>
            </w:r>
          </w:p>
        </w:tc>
        <w:tc>
          <w:tcPr>
            <w:tcW w:w="1417" w:type="dxa"/>
            <w:tcBorders>
              <w:top w:val="nil"/>
              <w:left w:val="nil"/>
              <w:bottom w:val="single" w:sz="4" w:space="0" w:color="auto"/>
              <w:right w:val="single" w:sz="4" w:space="0" w:color="auto"/>
            </w:tcBorders>
            <w:noWrap/>
            <w:vAlign w:val="center"/>
            <w:hideMark/>
          </w:tcPr>
          <w:p w14:paraId="17AF3440" w14:textId="3DA5D2E2" w:rsidR="00C239F6" w:rsidRPr="00D10EE7" w:rsidRDefault="00C239F6" w:rsidP="00C239F6">
            <w:pPr>
              <w:jc w:val="right"/>
              <w:rPr>
                <w:rFonts w:ascii="Aptos Narrow" w:hAnsi="Aptos Narrow"/>
                <w:color w:val="000000"/>
              </w:rPr>
            </w:pPr>
            <w:r>
              <w:rPr>
                <w:rFonts w:ascii="Aptos Narrow" w:hAnsi="Aptos Narrow"/>
                <w:color w:val="000000"/>
              </w:rPr>
              <w:t>2 784,35</w:t>
            </w:r>
          </w:p>
        </w:tc>
        <w:tc>
          <w:tcPr>
            <w:tcW w:w="1531" w:type="dxa"/>
            <w:tcBorders>
              <w:top w:val="nil"/>
              <w:left w:val="nil"/>
              <w:bottom w:val="single" w:sz="4" w:space="0" w:color="auto"/>
              <w:right w:val="single" w:sz="4" w:space="0" w:color="auto"/>
            </w:tcBorders>
            <w:noWrap/>
            <w:vAlign w:val="center"/>
            <w:hideMark/>
          </w:tcPr>
          <w:p w14:paraId="37743C10" w14:textId="686A706F" w:rsidR="00C239F6" w:rsidRPr="00D10EE7" w:rsidRDefault="00C239F6" w:rsidP="00C239F6">
            <w:pPr>
              <w:jc w:val="right"/>
              <w:rPr>
                <w:rFonts w:ascii="Aptos Narrow" w:hAnsi="Aptos Narrow"/>
                <w:color w:val="000000"/>
              </w:rPr>
            </w:pPr>
            <w:r>
              <w:rPr>
                <w:rFonts w:ascii="Aptos Narrow" w:hAnsi="Aptos Narrow"/>
                <w:color w:val="000000"/>
              </w:rPr>
              <w:t>3 812,85</w:t>
            </w:r>
          </w:p>
        </w:tc>
        <w:tc>
          <w:tcPr>
            <w:tcW w:w="1304" w:type="dxa"/>
            <w:tcBorders>
              <w:top w:val="nil"/>
              <w:left w:val="nil"/>
              <w:bottom w:val="single" w:sz="4" w:space="0" w:color="auto"/>
              <w:right w:val="single" w:sz="4" w:space="0" w:color="auto"/>
            </w:tcBorders>
            <w:noWrap/>
            <w:vAlign w:val="center"/>
            <w:hideMark/>
          </w:tcPr>
          <w:p w14:paraId="0131103A" w14:textId="75D4D488" w:rsidR="00C239F6" w:rsidRPr="00D10EE7" w:rsidRDefault="00C239F6" w:rsidP="00C239F6">
            <w:pPr>
              <w:jc w:val="right"/>
              <w:rPr>
                <w:rFonts w:ascii="Aptos Narrow" w:hAnsi="Aptos Narrow"/>
                <w:color w:val="000000"/>
              </w:rPr>
            </w:pPr>
            <w:r>
              <w:rPr>
                <w:rFonts w:ascii="Aptos Narrow" w:hAnsi="Aptos Narrow"/>
                <w:color w:val="000000"/>
              </w:rPr>
              <w:t>2 329,52</w:t>
            </w:r>
          </w:p>
        </w:tc>
        <w:tc>
          <w:tcPr>
            <w:tcW w:w="1320" w:type="dxa"/>
            <w:tcBorders>
              <w:top w:val="nil"/>
              <w:left w:val="nil"/>
              <w:bottom w:val="single" w:sz="4" w:space="0" w:color="auto"/>
              <w:right w:val="single" w:sz="4" w:space="0" w:color="auto"/>
            </w:tcBorders>
            <w:noWrap/>
            <w:vAlign w:val="center"/>
            <w:hideMark/>
          </w:tcPr>
          <w:p w14:paraId="52482F73" w14:textId="37778F64" w:rsidR="00C239F6" w:rsidRPr="00D10EE7" w:rsidRDefault="00C239F6" w:rsidP="00C239F6">
            <w:pPr>
              <w:jc w:val="right"/>
              <w:rPr>
                <w:rFonts w:ascii="Aptos Narrow" w:hAnsi="Aptos Narrow"/>
                <w:color w:val="000000"/>
              </w:rPr>
            </w:pPr>
            <w:r>
              <w:rPr>
                <w:rFonts w:ascii="Aptos Narrow" w:hAnsi="Aptos Narrow"/>
                <w:color w:val="000000"/>
              </w:rPr>
              <w:t>5 308,32</w:t>
            </w:r>
          </w:p>
        </w:tc>
        <w:tc>
          <w:tcPr>
            <w:tcW w:w="1340" w:type="dxa"/>
            <w:tcBorders>
              <w:top w:val="nil"/>
              <w:left w:val="nil"/>
              <w:bottom w:val="single" w:sz="4" w:space="0" w:color="auto"/>
              <w:right w:val="single" w:sz="4" w:space="0" w:color="auto"/>
            </w:tcBorders>
            <w:noWrap/>
            <w:vAlign w:val="center"/>
            <w:hideMark/>
          </w:tcPr>
          <w:p w14:paraId="36513954" w14:textId="16A30810"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87" w:type="dxa"/>
            <w:tcBorders>
              <w:top w:val="nil"/>
              <w:left w:val="nil"/>
              <w:bottom w:val="single" w:sz="4" w:space="0" w:color="auto"/>
              <w:right w:val="single" w:sz="4" w:space="0" w:color="auto"/>
            </w:tcBorders>
            <w:noWrap/>
            <w:vAlign w:val="center"/>
            <w:hideMark/>
          </w:tcPr>
          <w:p w14:paraId="651115B1" w14:textId="4BE7E661" w:rsidR="00C239F6" w:rsidRPr="00D10EE7" w:rsidRDefault="00C239F6" w:rsidP="00C239F6">
            <w:pPr>
              <w:jc w:val="right"/>
              <w:rPr>
                <w:rFonts w:ascii="Aptos Narrow" w:hAnsi="Aptos Narrow"/>
                <w:color w:val="000000"/>
              </w:rPr>
            </w:pPr>
            <w:r>
              <w:rPr>
                <w:rFonts w:ascii="Aptos Narrow" w:hAnsi="Aptos Narrow"/>
                <w:color w:val="000000"/>
              </w:rPr>
              <w:t>717,76</w:t>
            </w:r>
          </w:p>
        </w:tc>
        <w:tc>
          <w:tcPr>
            <w:tcW w:w="1304" w:type="dxa"/>
            <w:tcBorders>
              <w:top w:val="nil"/>
              <w:left w:val="nil"/>
              <w:bottom w:val="single" w:sz="4" w:space="0" w:color="auto"/>
              <w:right w:val="single" w:sz="4" w:space="0" w:color="auto"/>
            </w:tcBorders>
            <w:noWrap/>
            <w:vAlign w:val="center"/>
            <w:hideMark/>
          </w:tcPr>
          <w:p w14:paraId="5B7A20C2" w14:textId="6C21F336" w:rsidR="00C239F6" w:rsidRPr="00D10EE7" w:rsidRDefault="00C239F6" w:rsidP="00C239F6">
            <w:pPr>
              <w:jc w:val="right"/>
              <w:rPr>
                <w:rFonts w:ascii="Aptos Narrow" w:hAnsi="Aptos Narrow"/>
                <w:color w:val="000000"/>
              </w:rPr>
            </w:pPr>
            <w:r>
              <w:rPr>
                <w:rFonts w:ascii="Aptos Narrow" w:hAnsi="Aptos Narrow"/>
                <w:color w:val="000000"/>
              </w:rPr>
              <w:t>701,73</w:t>
            </w:r>
          </w:p>
        </w:tc>
        <w:tc>
          <w:tcPr>
            <w:tcW w:w="1361" w:type="dxa"/>
            <w:tcBorders>
              <w:top w:val="nil"/>
              <w:left w:val="nil"/>
              <w:bottom w:val="single" w:sz="4" w:space="0" w:color="auto"/>
              <w:right w:val="single" w:sz="4" w:space="0" w:color="auto"/>
            </w:tcBorders>
            <w:noWrap/>
            <w:vAlign w:val="center"/>
            <w:hideMark/>
          </w:tcPr>
          <w:p w14:paraId="77479D2C" w14:textId="540715CC" w:rsidR="00C239F6" w:rsidRPr="00D10EE7" w:rsidRDefault="00C239F6" w:rsidP="00C239F6">
            <w:pPr>
              <w:jc w:val="right"/>
              <w:rPr>
                <w:rFonts w:ascii="Aptos Narrow" w:hAnsi="Aptos Narrow"/>
                <w:color w:val="000000"/>
              </w:rPr>
            </w:pPr>
            <w:r>
              <w:rPr>
                <w:rFonts w:ascii="Aptos Narrow" w:hAnsi="Aptos Narrow"/>
                <w:color w:val="000000"/>
              </w:rPr>
              <w:t>1 714,86</w:t>
            </w:r>
          </w:p>
        </w:tc>
        <w:tc>
          <w:tcPr>
            <w:tcW w:w="1701" w:type="dxa"/>
            <w:tcBorders>
              <w:top w:val="nil"/>
              <w:left w:val="nil"/>
              <w:bottom w:val="single" w:sz="4" w:space="0" w:color="auto"/>
              <w:right w:val="single" w:sz="4" w:space="0" w:color="auto"/>
            </w:tcBorders>
            <w:noWrap/>
            <w:vAlign w:val="center"/>
            <w:hideMark/>
          </w:tcPr>
          <w:p w14:paraId="11659401" w14:textId="4E02F441" w:rsidR="00C239F6" w:rsidRPr="00D10EE7" w:rsidRDefault="00C239F6" w:rsidP="00C239F6">
            <w:pPr>
              <w:jc w:val="right"/>
              <w:rPr>
                <w:rFonts w:ascii="Aptos Narrow" w:hAnsi="Aptos Narrow"/>
                <w:color w:val="000000"/>
              </w:rPr>
            </w:pPr>
            <w:r>
              <w:rPr>
                <w:rFonts w:ascii="Aptos Narrow" w:hAnsi="Aptos Narrow"/>
                <w:color w:val="000000"/>
              </w:rPr>
              <w:t>17 369</w:t>
            </w:r>
          </w:p>
        </w:tc>
      </w:tr>
      <w:tr w:rsidR="00C239F6" w:rsidRPr="00D10EE7" w14:paraId="608FDE71"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690A9EAC" w14:textId="77777777" w:rsidR="00C239F6" w:rsidRPr="00D10EE7" w:rsidRDefault="00C239F6" w:rsidP="00C239F6">
            <w:pPr>
              <w:rPr>
                <w:rFonts w:ascii="Aptos Narrow" w:hAnsi="Aptos Narrow"/>
                <w:color w:val="000000"/>
              </w:rPr>
            </w:pPr>
            <w:r w:rsidRPr="00D10EE7">
              <w:rPr>
                <w:rFonts w:ascii="Aptos Narrow" w:hAnsi="Aptos Narrow"/>
                <w:color w:val="000000"/>
              </w:rPr>
              <w:t>FMK</w:t>
            </w:r>
          </w:p>
        </w:tc>
        <w:tc>
          <w:tcPr>
            <w:tcW w:w="1417" w:type="dxa"/>
            <w:tcBorders>
              <w:top w:val="nil"/>
              <w:left w:val="nil"/>
              <w:bottom w:val="single" w:sz="4" w:space="0" w:color="auto"/>
              <w:right w:val="single" w:sz="4" w:space="0" w:color="auto"/>
            </w:tcBorders>
            <w:noWrap/>
            <w:vAlign w:val="center"/>
            <w:hideMark/>
          </w:tcPr>
          <w:p w14:paraId="577627BE" w14:textId="4926CC4F" w:rsidR="00C239F6" w:rsidRPr="00D10EE7" w:rsidRDefault="00C239F6" w:rsidP="00C239F6">
            <w:pPr>
              <w:jc w:val="right"/>
              <w:rPr>
                <w:rFonts w:ascii="Aptos Narrow" w:hAnsi="Aptos Narrow"/>
                <w:color w:val="000000"/>
              </w:rPr>
            </w:pPr>
            <w:r>
              <w:rPr>
                <w:rFonts w:ascii="Aptos Narrow" w:hAnsi="Aptos Narrow"/>
                <w:color w:val="000000"/>
              </w:rPr>
              <w:t>3 885,15</w:t>
            </w:r>
          </w:p>
        </w:tc>
        <w:tc>
          <w:tcPr>
            <w:tcW w:w="1531" w:type="dxa"/>
            <w:tcBorders>
              <w:top w:val="nil"/>
              <w:left w:val="nil"/>
              <w:bottom w:val="single" w:sz="4" w:space="0" w:color="auto"/>
              <w:right w:val="single" w:sz="4" w:space="0" w:color="auto"/>
            </w:tcBorders>
            <w:noWrap/>
            <w:vAlign w:val="center"/>
            <w:hideMark/>
          </w:tcPr>
          <w:p w14:paraId="6ADF819B" w14:textId="67008825" w:rsidR="00C239F6" w:rsidRPr="00D10EE7" w:rsidRDefault="00C239F6" w:rsidP="00C239F6">
            <w:pPr>
              <w:jc w:val="right"/>
              <w:rPr>
                <w:rFonts w:ascii="Aptos Narrow" w:hAnsi="Aptos Narrow"/>
                <w:color w:val="000000"/>
              </w:rPr>
            </w:pPr>
            <w:r>
              <w:rPr>
                <w:rFonts w:ascii="Aptos Narrow" w:hAnsi="Aptos Narrow"/>
                <w:color w:val="000000"/>
              </w:rPr>
              <w:t>8 813,02</w:t>
            </w:r>
          </w:p>
        </w:tc>
        <w:tc>
          <w:tcPr>
            <w:tcW w:w="1304" w:type="dxa"/>
            <w:tcBorders>
              <w:top w:val="nil"/>
              <w:left w:val="nil"/>
              <w:bottom w:val="single" w:sz="4" w:space="0" w:color="auto"/>
              <w:right w:val="single" w:sz="4" w:space="0" w:color="auto"/>
            </w:tcBorders>
            <w:noWrap/>
            <w:vAlign w:val="center"/>
            <w:hideMark/>
          </w:tcPr>
          <w:p w14:paraId="1B7C127E" w14:textId="6B62A91D" w:rsidR="00C239F6" w:rsidRPr="00D10EE7" w:rsidRDefault="00C239F6" w:rsidP="00C239F6">
            <w:pPr>
              <w:jc w:val="right"/>
              <w:rPr>
                <w:rFonts w:ascii="Aptos Narrow" w:hAnsi="Aptos Narrow"/>
                <w:color w:val="000000"/>
              </w:rPr>
            </w:pPr>
            <w:r>
              <w:rPr>
                <w:rFonts w:ascii="Aptos Narrow" w:hAnsi="Aptos Narrow"/>
                <w:color w:val="000000"/>
              </w:rPr>
              <w:t>3 689,94</w:t>
            </w:r>
          </w:p>
        </w:tc>
        <w:tc>
          <w:tcPr>
            <w:tcW w:w="1320" w:type="dxa"/>
            <w:tcBorders>
              <w:top w:val="nil"/>
              <w:left w:val="nil"/>
              <w:bottom w:val="single" w:sz="4" w:space="0" w:color="auto"/>
              <w:right w:val="single" w:sz="4" w:space="0" w:color="auto"/>
            </w:tcBorders>
            <w:noWrap/>
            <w:vAlign w:val="center"/>
            <w:hideMark/>
          </w:tcPr>
          <w:p w14:paraId="01DE36EE" w14:textId="3FEA629E" w:rsidR="00C239F6" w:rsidRPr="00D10EE7" w:rsidRDefault="00C239F6" w:rsidP="00C239F6">
            <w:pPr>
              <w:jc w:val="right"/>
              <w:rPr>
                <w:rFonts w:ascii="Aptos Narrow" w:hAnsi="Aptos Narrow"/>
                <w:color w:val="000000"/>
              </w:rPr>
            </w:pPr>
            <w:r>
              <w:rPr>
                <w:rFonts w:ascii="Aptos Narrow" w:hAnsi="Aptos Narrow"/>
                <w:color w:val="000000"/>
              </w:rPr>
              <w:t>1 174,84</w:t>
            </w:r>
          </w:p>
        </w:tc>
        <w:tc>
          <w:tcPr>
            <w:tcW w:w="1340" w:type="dxa"/>
            <w:tcBorders>
              <w:top w:val="nil"/>
              <w:left w:val="nil"/>
              <w:bottom w:val="single" w:sz="4" w:space="0" w:color="auto"/>
              <w:right w:val="single" w:sz="4" w:space="0" w:color="auto"/>
            </w:tcBorders>
            <w:noWrap/>
            <w:vAlign w:val="center"/>
            <w:hideMark/>
          </w:tcPr>
          <w:p w14:paraId="44EE030E" w14:textId="398CA0EE" w:rsidR="00C239F6" w:rsidRPr="00D10EE7" w:rsidRDefault="00C239F6" w:rsidP="00C239F6">
            <w:pPr>
              <w:jc w:val="right"/>
              <w:rPr>
                <w:rFonts w:ascii="Aptos Narrow" w:hAnsi="Aptos Narrow"/>
                <w:color w:val="000000"/>
              </w:rPr>
            </w:pPr>
            <w:r>
              <w:rPr>
                <w:rFonts w:ascii="Aptos Narrow" w:hAnsi="Aptos Narrow"/>
                <w:color w:val="000000"/>
              </w:rPr>
              <w:t>11 372,16</w:t>
            </w:r>
          </w:p>
        </w:tc>
        <w:tc>
          <w:tcPr>
            <w:tcW w:w="1587" w:type="dxa"/>
            <w:tcBorders>
              <w:top w:val="nil"/>
              <w:left w:val="nil"/>
              <w:bottom w:val="single" w:sz="4" w:space="0" w:color="auto"/>
              <w:right w:val="single" w:sz="4" w:space="0" w:color="auto"/>
            </w:tcBorders>
            <w:noWrap/>
            <w:vAlign w:val="center"/>
            <w:hideMark/>
          </w:tcPr>
          <w:p w14:paraId="79F80B93" w14:textId="0F1C63B1" w:rsidR="00C239F6" w:rsidRPr="00D10EE7" w:rsidRDefault="00C239F6" w:rsidP="00C239F6">
            <w:pPr>
              <w:jc w:val="right"/>
              <w:rPr>
                <w:rFonts w:ascii="Aptos Narrow" w:hAnsi="Aptos Narrow"/>
                <w:color w:val="000000"/>
              </w:rPr>
            </w:pPr>
            <w:r>
              <w:rPr>
                <w:rFonts w:ascii="Aptos Narrow" w:hAnsi="Aptos Narrow"/>
                <w:color w:val="000000"/>
              </w:rPr>
              <w:t>165,24</w:t>
            </w:r>
          </w:p>
        </w:tc>
        <w:tc>
          <w:tcPr>
            <w:tcW w:w="1304" w:type="dxa"/>
            <w:tcBorders>
              <w:top w:val="nil"/>
              <w:left w:val="nil"/>
              <w:bottom w:val="single" w:sz="4" w:space="0" w:color="auto"/>
              <w:right w:val="single" w:sz="4" w:space="0" w:color="auto"/>
            </w:tcBorders>
            <w:noWrap/>
            <w:vAlign w:val="center"/>
            <w:hideMark/>
          </w:tcPr>
          <w:p w14:paraId="3BE0EEEE" w14:textId="7DED09AC" w:rsidR="00C239F6" w:rsidRPr="00D10EE7" w:rsidRDefault="00C239F6" w:rsidP="00C239F6">
            <w:pPr>
              <w:jc w:val="right"/>
              <w:rPr>
                <w:rFonts w:ascii="Aptos Narrow" w:hAnsi="Aptos Narrow"/>
                <w:color w:val="000000"/>
              </w:rPr>
            </w:pPr>
            <w:r>
              <w:rPr>
                <w:rFonts w:ascii="Aptos Narrow" w:hAnsi="Aptos Narrow"/>
                <w:color w:val="000000"/>
              </w:rPr>
              <w:t>130,46</w:t>
            </w:r>
          </w:p>
        </w:tc>
        <w:tc>
          <w:tcPr>
            <w:tcW w:w="1361" w:type="dxa"/>
            <w:tcBorders>
              <w:top w:val="nil"/>
              <w:left w:val="nil"/>
              <w:bottom w:val="single" w:sz="4" w:space="0" w:color="auto"/>
              <w:right w:val="single" w:sz="4" w:space="0" w:color="auto"/>
            </w:tcBorders>
            <w:noWrap/>
            <w:vAlign w:val="center"/>
            <w:hideMark/>
          </w:tcPr>
          <w:p w14:paraId="3F3AE2EC" w14:textId="4E9619CA" w:rsidR="00C239F6" w:rsidRPr="00D10EE7" w:rsidRDefault="00C239F6" w:rsidP="00C239F6">
            <w:pPr>
              <w:jc w:val="right"/>
              <w:rPr>
                <w:rFonts w:ascii="Aptos Narrow" w:hAnsi="Aptos Narrow"/>
                <w:color w:val="000000"/>
              </w:rPr>
            </w:pPr>
            <w:r>
              <w:rPr>
                <w:rFonts w:ascii="Aptos Narrow" w:hAnsi="Aptos Narrow"/>
                <w:color w:val="000000"/>
              </w:rPr>
              <w:t>2 855,24</w:t>
            </w:r>
          </w:p>
        </w:tc>
        <w:tc>
          <w:tcPr>
            <w:tcW w:w="1701" w:type="dxa"/>
            <w:tcBorders>
              <w:top w:val="nil"/>
              <w:left w:val="nil"/>
              <w:bottom w:val="single" w:sz="4" w:space="0" w:color="auto"/>
              <w:right w:val="single" w:sz="4" w:space="0" w:color="auto"/>
            </w:tcBorders>
            <w:noWrap/>
            <w:vAlign w:val="center"/>
            <w:hideMark/>
          </w:tcPr>
          <w:p w14:paraId="512055FE" w14:textId="0F31B7A5" w:rsidR="00C239F6" w:rsidRPr="00D10EE7" w:rsidRDefault="00C239F6" w:rsidP="00C239F6">
            <w:pPr>
              <w:jc w:val="right"/>
              <w:rPr>
                <w:rFonts w:ascii="Aptos Narrow" w:hAnsi="Aptos Narrow"/>
                <w:color w:val="000000"/>
              </w:rPr>
            </w:pPr>
            <w:r>
              <w:rPr>
                <w:rFonts w:ascii="Aptos Narrow" w:hAnsi="Aptos Narrow"/>
                <w:color w:val="000000"/>
              </w:rPr>
              <w:t>32 086</w:t>
            </w:r>
          </w:p>
        </w:tc>
      </w:tr>
      <w:tr w:rsidR="00C239F6" w:rsidRPr="00D10EE7" w14:paraId="71616349"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0A5587D8" w14:textId="77777777" w:rsidR="00C239F6" w:rsidRPr="00D10EE7" w:rsidRDefault="00C239F6" w:rsidP="00C239F6">
            <w:pPr>
              <w:rPr>
                <w:rFonts w:ascii="Aptos Narrow" w:hAnsi="Aptos Narrow"/>
                <w:color w:val="000000"/>
              </w:rPr>
            </w:pPr>
            <w:r w:rsidRPr="00D10EE7">
              <w:rPr>
                <w:rFonts w:ascii="Aptos Narrow" w:hAnsi="Aptos Narrow"/>
                <w:color w:val="000000"/>
              </w:rPr>
              <w:t>FaME</w:t>
            </w:r>
          </w:p>
        </w:tc>
        <w:tc>
          <w:tcPr>
            <w:tcW w:w="1417" w:type="dxa"/>
            <w:tcBorders>
              <w:top w:val="nil"/>
              <w:left w:val="nil"/>
              <w:bottom w:val="single" w:sz="4" w:space="0" w:color="auto"/>
              <w:right w:val="single" w:sz="4" w:space="0" w:color="auto"/>
            </w:tcBorders>
            <w:noWrap/>
            <w:vAlign w:val="center"/>
            <w:hideMark/>
          </w:tcPr>
          <w:p w14:paraId="0E492770" w14:textId="31E75875" w:rsidR="00C239F6" w:rsidRPr="00D10EE7" w:rsidRDefault="00C239F6" w:rsidP="00C239F6">
            <w:pPr>
              <w:jc w:val="right"/>
              <w:rPr>
                <w:rFonts w:ascii="Aptos Narrow" w:hAnsi="Aptos Narrow"/>
                <w:color w:val="000000"/>
              </w:rPr>
            </w:pPr>
            <w:r>
              <w:rPr>
                <w:rFonts w:ascii="Aptos Narrow" w:hAnsi="Aptos Narrow"/>
                <w:color w:val="000000"/>
              </w:rPr>
              <w:t>3 763,61</w:t>
            </w:r>
          </w:p>
        </w:tc>
        <w:tc>
          <w:tcPr>
            <w:tcW w:w="1531" w:type="dxa"/>
            <w:tcBorders>
              <w:top w:val="nil"/>
              <w:left w:val="nil"/>
              <w:bottom w:val="single" w:sz="4" w:space="0" w:color="auto"/>
              <w:right w:val="single" w:sz="4" w:space="0" w:color="auto"/>
            </w:tcBorders>
            <w:noWrap/>
            <w:vAlign w:val="center"/>
            <w:hideMark/>
          </w:tcPr>
          <w:p w14:paraId="277AAF7B" w14:textId="180CD903" w:rsidR="00C239F6" w:rsidRPr="00D10EE7" w:rsidRDefault="00C239F6" w:rsidP="00C239F6">
            <w:pPr>
              <w:jc w:val="right"/>
              <w:rPr>
                <w:rFonts w:ascii="Aptos Narrow" w:hAnsi="Aptos Narrow"/>
                <w:color w:val="000000"/>
              </w:rPr>
            </w:pPr>
            <w:r>
              <w:rPr>
                <w:rFonts w:ascii="Aptos Narrow" w:hAnsi="Aptos Narrow"/>
                <w:color w:val="000000"/>
              </w:rPr>
              <w:t>6 813,35</w:t>
            </w:r>
          </w:p>
        </w:tc>
        <w:tc>
          <w:tcPr>
            <w:tcW w:w="1304" w:type="dxa"/>
            <w:tcBorders>
              <w:top w:val="nil"/>
              <w:left w:val="nil"/>
              <w:bottom w:val="single" w:sz="4" w:space="0" w:color="auto"/>
              <w:right w:val="single" w:sz="4" w:space="0" w:color="auto"/>
            </w:tcBorders>
            <w:noWrap/>
            <w:vAlign w:val="center"/>
            <w:hideMark/>
          </w:tcPr>
          <w:p w14:paraId="28AAD994" w14:textId="270294FC" w:rsidR="00C239F6" w:rsidRPr="00D10EE7" w:rsidRDefault="00C239F6" w:rsidP="00C239F6">
            <w:pPr>
              <w:jc w:val="right"/>
              <w:rPr>
                <w:rFonts w:ascii="Aptos Narrow" w:hAnsi="Aptos Narrow"/>
                <w:color w:val="000000"/>
              </w:rPr>
            </w:pPr>
            <w:r>
              <w:rPr>
                <w:rFonts w:ascii="Aptos Narrow" w:hAnsi="Aptos Narrow"/>
                <w:color w:val="000000"/>
              </w:rPr>
              <w:t>1 861,30</w:t>
            </w:r>
          </w:p>
        </w:tc>
        <w:tc>
          <w:tcPr>
            <w:tcW w:w="1320" w:type="dxa"/>
            <w:tcBorders>
              <w:top w:val="nil"/>
              <w:left w:val="nil"/>
              <w:bottom w:val="single" w:sz="4" w:space="0" w:color="auto"/>
              <w:right w:val="single" w:sz="4" w:space="0" w:color="auto"/>
            </w:tcBorders>
            <w:noWrap/>
            <w:vAlign w:val="center"/>
            <w:hideMark/>
          </w:tcPr>
          <w:p w14:paraId="3D69B8B7" w14:textId="712B8642" w:rsidR="00C239F6" w:rsidRPr="00D10EE7" w:rsidRDefault="00C239F6" w:rsidP="00C239F6">
            <w:pPr>
              <w:jc w:val="right"/>
              <w:rPr>
                <w:rFonts w:ascii="Aptos Narrow" w:hAnsi="Aptos Narrow"/>
                <w:color w:val="000000"/>
              </w:rPr>
            </w:pPr>
            <w:r>
              <w:rPr>
                <w:rFonts w:ascii="Aptos Narrow" w:hAnsi="Aptos Narrow"/>
                <w:color w:val="000000"/>
              </w:rPr>
              <w:t>4 619,48</w:t>
            </w:r>
          </w:p>
        </w:tc>
        <w:tc>
          <w:tcPr>
            <w:tcW w:w="1340" w:type="dxa"/>
            <w:tcBorders>
              <w:top w:val="nil"/>
              <w:left w:val="nil"/>
              <w:bottom w:val="single" w:sz="4" w:space="0" w:color="auto"/>
              <w:right w:val="single" w:sz="4" w:space="0" w:color="auto"/>
            </w:tcBorders>
            <w:noWrap/>
            <w:vAlign w:val="center"/>
            <w:hideMark/>
          </w:tcPr>
          <w:p w14:paraId="1BE015EE" w14:textId="4EDE05E4"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87" w:type="dxa"/>
            <w:tcBorders>
              <w:top w:val="nil"/>
              <w:left w:val="nil"/>
              <w:bottom w:val="single" w:sz="4" w:space="0" w:color="auto"/>
              <w:right w:val="single" w:sz="4" w:space="0" w:color="auto"/>
            </w:tcBorders>
            <w:noWrap/>
            <w:vAlign w:val="center"/>
            <w:hideMark/>
          </w:tcPr>
          <w:p w14:paraId="7EB60FF1" w14:textId="050147E1" w:rsidR="00C239F6" w:rsidRPr="00D10EE7" w:rsidRDefault="00C239F6" w:rsidP="00C239F6">
            <w:pPr>
              <w:jc w:val="right"/>
              <w:rPr>
                <w:rFonts w:ascii="Aptos Narrow" w:hAnsi="Aptos Narrow"/>
                <w:color w:val="000000"/>
              </w:rPr>
            </w:pPr>
            <w:r>
              <w:rPr>
                <w:rFonts w:ascii="Aptos Narrow" w:hAnsi="Aptos Narrow"/>
                <w:color w:val="000000"/>
              </w:rPr>
              <w:t>432,11</w:t>
            </w:r>
          </w:p>
        </w:tc>
        <w:tc>
          <w:tcPr>
            <w:tcW w:w="1304" w:type="dxa"/>
            <w:tcBorders>
              <w:top w:val="nil"/>
              <w:left w:val="nil"/>
              <w:bottom w:val="single" w:sz="4" w:space="0" w:color="auto"/>
              <w:right w:val="single" w:sz="4" w:space="0" w:color="auto"/>
            </w:tcBorders>
            <w:noWrap/>
            <w:vAlign w:val="center"/>
            <w:hideMark/>
          </w:tcPr>
          <w:p w14:paraId="298E9181" w14:textId="345CEEE4" w:rsidR="00C239F6" w:rsidRPr="00D10EE7" w:rsidRDefault="00C239F6" w:rsidP="00C239F6">
            <w:pPr>
              <w:jc w:val="right"/>
              <w:rPr>
                <w:rFonts w:ascii="Aptos Narrow" w:hAnsi="Aptos Narrow"/>
                <w:color w:val="000000"/>
              </w:rPr>
            </w:pPr>
            <w:r>
              <w:rPr>
                <w:rFonts w:ascii="Aptos Narrow" w:hAnsi="Aptos Narrow"/>
                <w:color w:val="000000"/>
              </w:rPr>
              <w:t>1 102,11</w:t>
            </w:r>
          </w:p>
        </w:tc>
        <w:tc>
          <w:tcPr>
            <w:tcW w:w="1361" w:type="dxa"/>
            <w:tcBorders>
              <w:top w:val="nil"/>
              <w:left w:val="nil"/>
              <w:bottom w:val="single" w:sz="4" w:space="0" w:color="auto"/>
              <w:right w:val="single" w:sz="4" w:space="0" w:color="auto"/>
            </w:tcBorders>
            <w:noWrap/>
            <w:vAlign w:val="center"/>
            <w:hideMark/>
          </w:tcPr>
          <w:p w14:paraId="5D70CC91" w14:textId="3E2CBE90" w:rsidR="00C239F6" w:rsidRPr="00D10EE7" w:rsidRDefault="00C239F6" w:rsidP="00C239F6">
            <w:pPr>
              <w:jc w:val="right"/>
              <w:rPr>
                <w:rFonts w:ascii="Aptos Narrow" w:hAnsi="Aptos Narrow"/>
                <w:color w:val="000000"/>
              </w:rPr>
            </w:pPr>
            <w:r>
              <w:rPr>
                <w:rFonts w:ascii="Aptos Narrow" w:hAnsi="Aptos Narrow"/>
                <w:color w:val="000000"/>
              </w:rPr>
              <w:t>2 987,22</w:t>
            </w:r>
          </w:p>
        </w:tc>
        <w:tc>
          <w:tcPr>
            <w:tcW w:w="1701" w:type="dxa"/>
            <w:tcBorders>
              <w:top w:val="nil"/>
              <w:left w:val="nil"/>
              <w:bottom w:val="single" w:sz="4" w:space="0" w:color="auto"/>
              <w:right w:val="single" w:sz="4" w:space="0" w:color="auto"/>
            </w:tcBorders>
            <w:noWrap/>
            <w:vAlign w:val="center"/>
            <w:hideMark/>
          </w:tcPr>
          <w:p w14:paraId="4B64B430" w14:textId="2F9D3ED7" w:rsidR="00C239F6" w:rsidRPr="00D10EE7" w:rsidRDefault="00C239F6" w:rsidP="00C239F6">
            <w:pPr>
              <w:jc w:val="right"/>
              <w:rPr>
                <w:rFonts w:ascii="Aptos Narrow" w:hAnsi="Aptos Narrow"/>
                <w:color w:val="000000"/>
              </w:rPr>
            </w:pPr>
            <w:r>
              <w:rPr>
                <w:rFonts w:ascii="Aptos Narrow" w:hAnsi="Aptos Narrow"/>
                <w:color w:val="000000"/>
              </w:rPr>
              <w:t>21 579</w:t>
            </w:r>
          </w:p>
        </w:tc>
      </w:tr>
      <w:tr w:rsidR="00C239F6" w:rsidRPr="00D10EE7" w14:paraId="25C0F65A"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402ADD28" w14:textId="77777777" w:rsidR="00C239F6" w:rsidRPr="00D10EE7" w:rsidRDefault="00C239F6" w:rsidP="00C239F6">
            <w:pPr>
              <w:rPr>
                <w:rFonts w:ascii="Aptos Narrow" w:hAnsi="Aptos Narrow"/>
                <w:color w:val="000000"/>
              </w:rPr>
            </w:pPr>
            <w:r w:rsidRPr="00D10EE7">
              <w:rPr>
                <w:rFonts w:ascii="Aptos Narrow" w:hAnsi="Aptos Narrow"/>
                <w:color w:val="000000"/>
              </w:rPr>
              <w:t>FHS</w:t>
            </w:r>
          </w:p>
        </w:tc>
        <w:tc>
          <w:tcPr>
            <w:tcW w:w="1417" w:type="dxa"/>
            <w:tcBorders>
              <w:top w:val="nil"/>
              <w:left w:val="nil"/>
              <w:bottom w:val="single" w:sz="4" w:space="0" w:color="auto"/>
              <w:right w:val="single" w:sz="4" w:space="0" w:color="auto"/>
            </w:tcBorders>
            <w:noWrap/>
            <w:vAlign w:val="center"/>
            <w:hideMark/>
          </w:tcPr>
          <w:p w14:paraId="4773281D" w14:textId="639A4FE2" w:rsidR="00C239F6" w:rsidRPr="00D10EE7" w:rsidRDefault="00C239F6" w:rsidP="00C239F6">
            <w:pPr>
              <w:jc w:val="right"/>
              <w:rPr>
                <w:rFonts w:ascii="Aptos Narrow" w:hAnsi="Aptos Narrow"/>
                <w:color w:val="000000"/>
              </w:rPr>
            </w:pPr>
            <w:r>
              <w:rPr>
                <w:rFonts w:ascii="Aptos Narrow" w:hAnsi="Aptos Narrow"/>
                <w:color w:val="000000"/>
              </w:rPr>
              <w:t>6 266,30</w:t>
            </w:r>
          </w:p>
        </w:tc>
        <w:tc>
          <w:tcPr>
            <w:tcW w:w="1531" w:type="dxa"/>
            <w:tcBorders>
              <w:top w:val="nil"/>
              <w:left w:val="nil"/>
              <w:bottom w:val="single" w:sz="4" w:space="0" w:color="auto"/>
              <w:right w:val="single" w:sz="4" w:space="0" w:color="auto"/>
            </w:tcBorders>
            <w:noWrap/>
            <w:vAlign w:val="center"/>
            <w:hideMark/>
          </w:tcPr>
          <w:p w14:paraId="27D6BF8C" w14:textId="7BB77241" w:rsidR="00C239F6" w:rsidRPr="00D10EE7" w:rsidRDefault="00C239F6" w:rsidP="00C239F6">
            <w:pPr>
              <w:jc w:val="right"/>
              <w:rPr>
                <w:rFonts w:ascii="Aptos Narrow" w:hAnsi="Aptos Narrow"/>
                <w:color w:val="000000"/>
              </w:rPr>
            </w:pPr>
            <w:r>
              <w:rPr>
                <w:rFonts w:ascii="Aptos Narrow" w:hAnsi="Aptos Narrow"/>
                <w:color w:val="000000"/>
              </w:rPr>
              <w:t>3 977,03</w:t>
            </w:r>
          </w:p>
        </w:tc>
        <w:tc>
          <w:tcPr>
            <w:tcW w:w="1304" w:type="dxa"/>
            <w:tcBorders>
              <w:top w:val="nil"/>
              <w:left w:val="nil"/>
              <w:bottom w:val="single" w:sz="4" w:space="0" w:color="auto"/>
              <w:right w:val="single" w:sz="4" w:space="0" w:color="auto"/>
            </w:tcBorders>
            <w:noWrap/>
            <w:vAlign w:val="center"/>
            <w:hideMark/>
          </w:tcPr>
          <w:p w14:paraId="747F1D9F" w14:textId="71CF18C2" w:rsidR="00C239F6" w:rsidRPr="00D10EE7" w:rsidRDefault="00C239F6" w:rsidP="00C239F6">
            <w:pPr>
              <w:jc w:val="right"/>
              <w:rPr>
                <w:rFonts w:ascii="Aptos Narrow" w:hAnsi="Aptos Narrow"/>
                <w:color w:val="000000"/>
              </w:rPr>
            </w:pPr>
            <w:r>
              <w:rPr>
                <w:rFonts w:ascii="Aptos Narrow" w:hAnsi="Aptos Narrow"/>
                <w:color w:val="000000"/>
              </w:rPr>
              <w:t>3 996,20</w:t>
            </w:r>
          </w:p>
        </w:tc>
        <w:tc>
          <w:tcPr>
            <w:tcW w:w="1320" w:type="dxa"/>
            <w:tcBorders>
              <w:top w:val="nil"/>
              <w:left w:val="nil"/>
              <w:bottom w:val="single" w:sz="4" w:space="0" w:color="auto"/>
              <w:right w:val="single" w:sz="4" w:space="0" w:color="auto"/>
            </w:tcBorders>
            <w:noWrap/>
            <w:vAlign w:val="center"/>
            <w:hideMark/>
          </w:tcPr>
          <w:p w14:paraId="4BA04CB4" w14:textId="5DD544C1" w:rsidR="00C239F6" w:rsidRPr="00D10EE7" w:rsidRDefault="00C239F6" w:rsidP="00C239F6">
            <w:pPr>
              <w:jc w:val="right"/>
              <w:rPr>
                <w:rFonts w:ascii="Aptos Narrow" w:hAnsi="Aptos Narrow"/>
                <w:color w:val="000000"/>
              </w:rPr>
            </w:pPr>
            <w:r>
              <w:rPr>
                <w:rFonts w:ascii="Aptos Narrow" w:hAnsi="Aptos Narrow"/>
                <w:color w:val="000000"/>
              </w:rPr>
              <w:t>2 370,06</w:t>
            </w:r>
          </w:p>
        </w:tc>
        <w:tc>
          <w:tcPr>
            <w:tcW w:w="1340" w:type="dxa"/>
            <w:tcBorders>
              <w:top w:val="nil"/>
              <w:left w:val="nil"/>
              <w:bottom w:val="single" w:sz="4" w:space="0" w:color="auto"/>
              <w:right w:val="single" w:sz="4" w:space="0" w:color="auto"/>
            </w:tcBorders>
            <w:noWrap/>
            <w:vAlign w:val="center"/>
            <w:hideMark/>
          </w:tcPr>
          <w:p w14:paraId="5FAB7D77" w14:textId="0CDFC22A"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87" w:type="dxa"/>
            <w:tcBorders>
              <w:top w:val="nil"/>
              <w:left w:val="nil"/>
              <w:bottom w:val="single" w:sz="4" w:space="0" w:color="auto"/>
              <w:right w:val="single" w:sz="4" w:space="0" w:color="auto"/>
            </w:tcBorders>
            <w:noWrap/>
            <w:vAlign w:val="center"/>
            <w:hideMark/>
          </w:tcPr>
          <w:p w14:paraId="50F92388" w14:textId="4DBE00B4" w:rsidR="00C239F6" w:rsidRPr="00D10EE7" w:rsidRDefault="00C239F6" w:rsidP="00C239F6">
            <w:pPr>
              <w:jc w:val="right"/>
              <w:rPr>
                <w:rFonts w:ascii="Aptos Narrow" w:hAnsi="Aptos Narrow"/>
                <w:color w:val="000000"/>
              </w:rPr>
            </w:pPr>
            <w:r>
              <w:rPr>
                <w:rFonts w:ascii="Aptos Narrow" w:hAnsi="Aptos Narrow"/>
                <w:color w:val="000000"/>
              </w:rPr>
              <w:t>163,34</w:t>
            </w:r>
          </w:p>
        </w:tc>
        <w:tc>
          <w:tcPr>
            <w:tcW w:w="1304" w:type="dxa"/>
            <w:tcBorders>
              <w:top w:val="nil"/>
              <w:left w:val="nil"/>
              <w:bottom w:val="single" w:sz="4" w:space="0" w:color="auto"/>
              <w:right w:val="single" w:sz="4" w:space="0" w:color="auto"/>
            </w:tcBorders>
            <w:noWrap/>
            <w:vAlign w:val="center"/>
            <w:hideMark/>
          </w:tcPr>
          <w:p w14:paraId="00D5086E" w14:textId="31835650"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07B10648" w14:textId="246A6A06" w:rsidR="00C239F6" w:rsidRPr="00D10EE7" w:rsidRDefault="00C239F6" w:rsidP="00C239F6">
            <w:pPr>
              <w:jc w:val="right"/>
              <w:rPr>
                <w:rFonts w:ascii="Aptos Narrow" w:hAnsi="Aptos Narrow"/>
                <w:color w:val="000000"/>
              </w:rPr>
            </w:pPr>
            <w:r>
              <w:rPr>
                <w:rFonts w:ascii="Aptos Narrow" w:hAnsi="Aptos Narrow"/>
                <w:color w:val="000000"/>
              </w:rPr>
              <w:t>2 940,45</w:t>
            </w:r>
          </w:p>
        </w:tc>
        <w:tc>
          <w:tcPr>
            <w:tcW w:w="1701" w:type="dxa"/>
            <w:tcBorders>
              <w:top w:val="nil"/>
              <w:left w:val="nil"/>
              <w:bottom w:val="single" w:sz="4" w:space="0" w:color="auto"/>
              <w:right w:val="single" w:sz="4" w:space="0" w:color="auto"/>
            </w:tcBorders>
            <w:noWrap/>
            <w:vAlign w:val="center"/>
            <w:hideMark/>
          </w:tcPr>
          <w:p w14:paraId="2D4AB2FA" w14:textId="31D54B1E" w:rsidR="00C239F6" w:rsidRPr="00D10EE7" w:rsidRDefault="00C239F6" w:rsidP="00C239F6">
            <w:pPr>
              <w:jc w:val="right"/>
              <w:rPr>
                <w:rFonts w:ascii="Aptos Narrow" w:hAnsi="Aptos Narrow"/>
                <w:color w:val="000000"/>
              </w:rPr>
            </w:pPr>
            <w:r>
              <w:rPr>
                <w:rFonts w:ascii="Aptos Narrow" w:hAnsi="Aptos Narrow"/>
                <w:color w:val="000000"/>
              </w:rPr>
              <w:t>19 713</w:t>
            </w:r>
          </w:p>
        </w:tc>
      </w:tr>
      <w:tr w:rsidR="00C239F6" w:rsidRPr="00D10EE7" w14:paraId="124B04DC"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76B7AE80" w14:textId="77777777" w:rsidR="00C239F6" w:rsidRPr="00D10EE7" w:rsidRDefault="00C239F6" w:rsidP="00C239F6">
            <w:pPr>
              <w:rPr>
                <w:rFonts w:ascii="Aptos Narrow" w:hAnsi="Aptos Narrow"/>
                <w:color w:val="000000"/>
              </w:rPr>
            </w:pPr>
            <w:r w:rsidRPr="00D10EE7">
              <w:rPr>
                <w:rFonts w:ascii="Aptos Narrow" w:hAnsi="Aptos Narrow"/>
                <w:color w:val="000000"/>
              </w:rPr>
              <w:t>UNI</w:t>
            </w:r>
          </w:p>
        </w:tc>
        <w:tc>
          <w:tcPr>
            <w:tcW w:w="1417" w:type="dxa"/>
            <w:tcBorders>
              <w:top w:val="nil"/>
              <w:left w:val="nil"/>
              <w:bottom w:val="single" w:sz="4" w:space="0" w:color="auto"/>
              <w:right w:val="single" w:sz="4" w:space="0" w:color="auto"/>
            </w:tcBorders>
            <w:noWrap/>
            <w:vAlign w:val="center"/>
            <w:hideMark/>
          </w:tcPr>
          <w:p w14:paraId="7FAE57D9" w14:textId="107149F1" w:rsidR="00C239F6" w:rsidRPr="00D10EE7" w:rsidRDefault="00C239F6" w:rsidP="00C239F6">
            <w:pPr>
              <w:jc w:val="right"/>
              <w:rPr>
                <w:rFonts w:ascii="Aptos Narrow" w:hAnsi="Aptos Narrow"/>
                <w:color w:val="000000"/>
              </w:rPr>
            </w:pPr>
            <w:r>
              <w:rPr>
                <w:rFonts w:ascii="Aptos Narrow" w:hAnsi="Aptos Narrow"/>
                <w:color w:val="000000"/>
              </w:rPr>
              <w:t>51,11</w:t>
            </w:r>
          </w:p>
        </w:tc>
        <w:tc>
          <w:tcPr>
            <w:tcW w:w="1531" w:type="dxa"/>
            <w:tcBorders>
              <w:top w:val="nil"/>
              <w:left w:val="nil"/>
              <w:bottom w:val="single" w:sz="4" w:space="0" w:color="auto"/>
              <w:right w:val="single" w:sz="4" w:space="0" w:color="auto"/>
            </w:tcBorders>
            <w:noWrap/>
            <w:vAlign w:val="center"/>
            <w:hideMark/>
          </w:tcPr>
          <w:p w14:paraId="5E6D2547" w14:textId="3C7C29AA" w:rsidR="00C239F6" w:rsidRPr="00D10EE7" w:rsidRDefault="00C239F6" w:rsidP="00C239F6">
            <w:pPr>
              <w:jc w:val="right"/>
              <w:rPr>
                <w:rFonts w:ascii="Aptos Narrow" w:hAnsi="Aptos Narrow"/>
                <w:color w:val="000000"/>
              </w:rPr>
            </w:pPr>
            <w:r>
              <w:rPr>
                <w:rFonts w:ascii="Aptos Narrow" w:hAnsi="Aptos Narrow"/>
                <w:color w:val="000000"/>
              </w:rPr>
              <w:t>537,11</w:t>
            </w:r>
          </w:p>
        </w:tc>
        <w:tc>
          <w:tcPr>
            <w:tcW w:w="1304" w:type="dxa"/>
            <w:tcBorders>
              <w:top w:val="nil"/>
              <w:left w:val="nil"/>
              <w:bottom w:val="single" w:sz="4" w:space="0" w:color="auto"/>
              <w:right w:val="single" w:sz="4" w:space="0" w:color="auto"/>
            </w:tcBorders>
            <w:noWrap/>
            <w:vAlign w:val="center"/>
            <w:hideMark/>
          </w:tcPr>
          <w:p w14:paraId="1C3C01F7" w14:textId="680ECCA6" w:rsidR="00C239F6" w:rsidRPr="00D10EE7" w:rsidRDefault="00C239F6" w:rsidP="00C239F6">
            <w:pPr>
              <w:jc w:val="right"/>
              <w:rPr>
                <w:rFonts w:ascii="Aptos Narrow" w:hAnsi="Aptos Narrow"/>
                <w:color w:val="000000"/>
              </w:rPr>
            </w:pPr>
            <w:r>
              <w:rPr>
                <w:rFonts w:ascii="Aptos Narrow" w:hAnsi="Aptos Narrow"/>
                <w:color w:val="000000"/>
              </w:rPr>
              <w:t>107,77</w:t>
            </w:r>
          </w:p>
        </w:tc>
        <w:tc>
          <w:tcPr>
            <w:tcW w:w="1320" w:type="dxa"/>
            <w:tcBorders>
              <w:top w:val="nil"/>
              <w:left w:val="nil"/>
              <w:bottom w:val="single" w:sz="4" w:space="0" w:color="auto"/>
              <w:right w:val="single" w:sz="4" w:space="0" w:color="auto"/>
            </w:tcBorders>
            <w:noWrap/>
            <w:vAlign w:val="center"/>
            <w:hideMark/>
          </w:tcPr>
          <w:p w14:paraId="45242D28" w14:textId="66A5A637" w:rsidR="00C239F6" w:rsidRPr="00D10EE7" w:rsidRDefault="00C239F6" w:rsidP="00C239F6">
            <w:pPr>
              <w:jc w:val="right"/>
              <w:rPr>
                <w:rFonts w:ascii="Aptos Narrow" w:hAnsi="Aptos Narrow"/>
                <w:color w:val="000000"/>
              </w:rPr>
            </w:pPr>
            <w:r>
              <w:rPr>
                <w:rFonts w:ascii="Aptos Narrow" w:hAnsi="Aptos Narrow"/>
                <w:color w:val="000000"/>
              </w:rPr>
              <w:t>11 319,11</w:t>
            </w:r>
          </w:p>
        </w:tc>
        <w:tc>
          <w:tcPr>
            <w:tcW w:w="1340" w:type="dxa"/>
            <w:tcBorders>
              <w:top w:val="nil"/>
              <w:left w:val="nil"/>
              <w:bottom w:val="single" w:sz="4" w:space="0" w:color="auto"/>
              <w:right w:val="single" w:sz="4" w:space="0" w:color="auto"/>
            </w:tcBorders>
            <w:noWrap/>
            <w:vAlign w:val="center"/>
            <w:hideMark/>
          </w:tcPr>
          <w:p w14:paraId="17E53BDD" w14:textId="55DC2169" w:rsidR="00C239F6" w:rsidRPr="00D10EE7" w:rsidRDefault="00C239F6" w:rsidP="00C239F6">
            <w:pPr>
              <w:jc w:val="right"/>
              <w:rPr>
                <w:rFonts w:ascii="Aptos Narrow" w:hAnsi="Aptos Narrow"/>
                <w:color w:val="000000"/>
              </w:rPr>
            </w:pPr>
            <w:r>
              <w:rPr>
                <w:rFonts w:ascii="Aptos Narrow" w:hAnsi="Aptos Narrow"/>
                <w:color w:val="000000"/>
              </w:rPr>
              <w:t>145,26</w:t>
            </w:r>
          </w:p>
        </w:tc>
        <w:tc>
          <w:tcPr>
            <w:tcW w:w="1587" w:type="dxa"/>
            <w:tcBorders>
              <w:top w:val="nil"/>
              <w:left w:val="nil"/>
              <w:bottom w:val="single" w:sz="4" w:space="0" w:color="auto"/>
              <w:right w:val="single" w:sz="4" w:space="0" w:color="auto"/>
            </w:tcBorders>
            <w:noWrap/>
            <w:vAlign w:val="center"/>
            <w:hideMark/>
          </w:tcPr>
          <w:p w14:paraId="50364914" w14:textId="40F992CE" w:rsidR="00C239F6" w:rsidRPr="00D10EE7" w:rsidRDefault="00C239F6" w:rsidP="00C239F6">
            <w:pPr>
              <w:jc w:val="right"/>
              <w:rPr>
                <w:rFonts w:ascii="Aptos Narrow" w:hAnsi="Aptos Narrow"/>
                <w:color w:val="000000"/>
              </w:rPr>
            </w:pPr>
            <w:r>
              <w:rPr>
                <w:rFonts w:ascii="Aptos Narrow" w:hAnsi="Aptos Narrow"/>
                <w:color w:val="000000"/>
              </w:rPr>
              <w:t>3 581,78</w:t>
            </w:r>
          </w:p>
        </w:tc>
        <w:tc>
          <w:tcPr>
            <w:tcW w:w="1304" w:type="dxa"/>
            <w:tcBorders>
              <w:top w:val="nil"/>
              <w:left w:val="nil"/>
              <w:bottom w:val="single" w:sz="4" w:space="0" w:color="auto"/>
              <w:right w:val="single" w:sz="4" w:space="0" w:color="auto"/>
            </w:tcBorders>
            <w:noWrap/>
            <w:vAlign w:val="center"/>
            <w:hideMark/>
          </w:tcPr>
          <w:p w14:paraId="4D9E5C28" w14:textId="28390DFD" w:rsidR="00C239F6" w:rsidRPr="00D10EE7" w:rsidRDefault="00C239F6" w:rsidP="00C239F6">
            <w:pPr>
              <w:jc w:val="right"/>
              <w:rPr>
                <w:rFonts w:ascii="Aptos Narrow" w:hAnsi="Aptos Narrow"/>
                <w:color w:val="000000"/>
              </w:rPr>
            </w:pPr>
            <w:r>
              <w:rPr>
                <w:rFonts w:ascii="Aptos Narrow" w:hAnsi="Aptos Narrow"/>
                <w:color w:val="000000"/>
              </w:rPr>
              <w:t>175,37</w:t>
            </w:r>
          </w:p>
        </w:tc>
        <w:tc>
          <w:tcPr>
            <w:tcW w:w="1361" w:type="dxa"/>
            <w:tcBorders>
              <w:top w:val="nil"/>
              <w:left w:val="nil"/>
              <w:bottom w:val="single" w:sz="4" w:space="0" w:color="auto"/>
              <w:right w:val="single" w:sz="4" w:space="0" w:color="auto"/>
            </w:tcBorders>
            <w:noWrap/>
            <w:vAlign w:val="center"/>
            <w:hideMark/>
          </w:tcPr>
          <w:p w14:paraId="4F4246D8" w14:textId="6AE82F51" w:rsidR="00C239F6" w:rsidRPr="00D10EE7" w:rsidRDefault="00C239F6" w:rsidP="00C239F6">
            <w:pPr>
              <w:jc w:val="right"/>
              <w:rPr>
                <w:rFonts w:ascii="Aptos Narrow" w:hAnsi="Aptos Narrow"/>
                <w:color w:val="000000"/>
              </w:rPr>
            </w:pPr>
            <w:r>
              <w:rPr>
                <w:rFonts w:ascii="Aptos Narrow" w:hAnsi="Aptos Narrow"/>
                <w:color w:val="000000"/>
              </w:rPr>
              <w:t>5 186,02</w:t>
            </w:r>
          </w:p>
        </w:tc>
        <w:tc>
          <w:tcPr>
            <w:tcW w:w="1701" w:type="dxa"/>
            <w:tcBorders>
              <w:top w:val="nil"/>
              <w:left w:val="nil"/>
              <w:bottom w:val="single" w:sz="4" w:space="0" w:color="auto"/>
              <w:right w:val="single" w:sz="4" w:space="0" w:color="auto"/>
            </w:tcBorders>
            <w:noWrap/>
            <w:vAlign w:val="center"/>
            <w:hideMark/>
          </w:tcPr>
          <w:p w14:paraId="3CA49DEB" w14:textId="19BAD8C6" w:rsidR="00C239F6" w:rsidRPr="00D10EE7" w:rsidRDefault="00C239F6" w:rsidP="00C239F6">
            <w:pPr>
              <w:jc w:val="right"/>
              <w:rPr>
                <w:rFonts w:ascii="Aptos Narrow" w:hAnsi="Aptos Narrow"/>
                <w:color w:val="000000"/>
              </w:rPr>
            </w:pPr>
            <w:r>
              <w:rPr>
                <w:rFonts w:ascii="Aptos Narrow" w:hAnsi="Aptos Narrow"/>
                <w:color w:val="000000"/>
              </w:rPr>
              <w:t>21 104</w:t>
            </w:r>
          </w:p>
        </w:tc>
      </w:tr>
      <w:tr w:rsidR="00C239F6" w:rsidRPr="00D10EE7" w14:paraId="366FD926"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310BF7F9" w14:textId="77777777" w:rsidR="00C239F6" w:rsidRPr="00D10EE7" w:rsidRDefault="00C239F6" w:rsidP="00C239F6">
            <w:pPr>
              <w:rPr>
                <w:rFonts w:ascii="Aptos Narrow" w:hAnsi="Aptos Narrow"/>
                <w:color w:val="000000"/>
              </w:rPr>
            </w:pPr>
            <w:r w:rsidRPr="00D10EE7">
              <w:rPr>
                <w:rFonts w:ascii="Aptos Narrow" w:hAnsi="Aptos Narrow"/>
                <w:color w:val="000000"/>
              </w:rPr>
              <w:t>Knihovna</w:t>
            </w:r>
          </w:p>
        </w:tc>
        <w:tc>
          <w:tcPr>
            <w:tcW w:w="1417" w:type="dxa"/>
            <w:tcBorders>
              <w:top w:val="nil"/>
              <w:left w:val="nil"/>
              <w:bottom w:val="single" w:sz="4" w:space="0" w:color="auto"/>
              <w:right w:val="single" w:sz="4" w:space="0" w:color="auto"/>
            </w:tcBorders>
            <w:noWrap/>
            <w:vAlign w:val="center"/>
            <w:hideMark/>
          </w:tcPr>
          <w:p w14:paraId="3334CBD2" w14:textId="2C19476D"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31" w:type="dxa"/>
            <w:tcBorders>
              <w:top w:val="nil"/>
              <w:left w:val="nil"/>
              <w:bottom w:val="single" w:sz="4" w:space="0" w:color="auto"/>
              <w:right w:val="single" w:sz="4" w:space="0" w:color="auto"/>
            </w:tcBorders>
            <w:noWrap/>
            <w:vAlign w:val="center"/>
            <w:hideMark/>
          </w:tcPr>
          <w:p w14:paraId="0B7C1241" w14:textId="096340FB"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04" w:type="dxa"/>
            <w:tcBorders>
              <w:top w:val="nil"/>
              <w:left w:val="nil"/>
              <w:bottom w:val="single" w:sz="4" w:space="0" w:color="auto"/>
              <w:right w:val="single" w:sz="4" w:space="0" w:color="auto"/>
            </w:tcBorders>
            <w:noWrap/>
            <w:vAlign w:val="center"/>
            <w:hideMark/>
          </w:tcPr>
          <w:p w14:paraId="31D50EB9" w14:textId="5B7FDDC9"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20" w:type="dxa"/>
            <w:tcBorders>
              <w:top w:val="nil"/>
              <w:left w:val="nil"/>
              <w:bottom w:val="single" w:sz="4" w:space="0" w:color="auto"/>
              <w:right w:val="single" w:sz="4" w:space="0" w:color="auto"/>
            </w:tcBorders>
            <w:noWrap/>
            <w:vAlign w:val="center"/>
            <w:hideMark/>
          </w:tcPr>
          <w:p w14:paraId="55A29125" w14:textId="7EE77B65" w:rsidR="00C239F6" w:rsidRPr="00D10EE7" w:rsidRDefault="00C239F6" w:rsidP="00C239F6">
            <w:pPr>
              <w:jc w:val="right"/>
              <w:rPr>
                <w:rFonts w:ascii="Aptos Narrow" w:hAnsi="Aptos Narrow"/>
                <w:color w:val="000000"/>
              </w:rPr>
            </w:pPr>
            <w:r>
              <w:rPr>
                <w:rFonts w:ascii="Aptos Narrow" w:hAnsi="Aptos Narrow"/>
                <w:color w:val="000000"/>
              </w:rPr>
              <w:t>142,28</w:t>
            </w:r>
          </w:p>
        </w:tc>
        <w:tc>
          <w:tcPr>
            <w:tcW w:w="1340" w:type="dxa"/>
            <w:tcBorders>
              <w:top w:val="nil"/>
              <w:left w:val="nil"/>
              <w:bottom w:val="single" w:sz="4" w:space="0" w:color="auto"/>
              <w:right w:val="single" w:sz="4" w:space="0" w:color="auto"/>
            </w:tcBorders>
            <w:noWrap/>
            <w:vAlign w:val="center"/>
            <w:hideMark/>
          </w:tcPr>
          <w:p w14:paraId="58A70C49" w14:textId="70A308B1"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87" w:type="dxa"/>
            <w:tcBorders>
              <w:top w:val="nil"/>
              <w:left w:val="nil"/>
              <w:bottom w:val="single" w:sz="4" w:space="0" w:color="auto"/>
              <w:right w:val="single" w:sz="4" w:space="0" w:color="auto"/>
            </w:tcBorders>
            <w:noWrap/>
            <w:vAlign w:val="center"/>
            <w:hideMark/>
          </w:tcPr>
          <w:p w14:paraId="1B8F302D" w14:textId="1C2C3252"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04" w:type="dxa"/>
            <w:tcBorders>
              <w:top w:val="nil"/>
              <w:left w:val="nil"/>
              <w:bottom w:val="single" w:sz="4" w:space="0" w:color="auto"/>
              <w:right w:val="single" w:sz="4" w:space="0" w:color="auto"/>
            </w:tcBorders>
            <w:noWrap/>
            <w:vAlign w:val="center"/>
            <w:hideMark/>
          </w:tcPr>
          <w:p w14:paraId="5F37F827" w14:textId="3938EC24"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0137C6CA" w14:textId="2A62A40A" w:rsidR="00C239F6" w:rsidRPr="00D10EE7" w:rsidRDefault="00C239F6" w:rsidP="00C239F6">
            <w:pPr>
              <w:jc w:val="right"/>
              <w:rPr>
                <w:rFonts w:ascii="Aptos Narrow" w:hAnsi="Aptos Narrow"/>
                <w:color w:val="000000"/>
              </w:rPr>
            </w:pPr>
            <w:r>
              <w:rPr>
                <w:rFonts w:ascii="Aptos Narrow" w:hAnsi="Aptos Narrow"/>
                <w:color w:val="000000"/>
              </w:rPr>
              <w:t>230,86</w:t>
            </w:r>
          </w:p>
        </w:tc>
        <w:tc>
          <w:tcPr>
            <w:tcW w:w="1701" w:type="dxa"/>
            <w:tcBorders>
              <w:top w:val="nil"/>
              <w:left w:val="nil"/>
              <w:bottom w:val="single" w:sz="4" w:space="0" w:color="auto"/>
              <w:right w:val="single" w:sz="4" w:space="0" w:color="auto"/>
            </w:tcBorders>
            <w:noWrap/>
            <w:vAlign w:val="center"/>
            <w:hideMark/>
          </w:tcPr>
          <w:p w14:paraId="53D1E5F5" w14:textId="074E69EB" w:rsidR="00C239F6" w:rsidRPr="00D10EE7" w:rsidRDefault="00C239F6" w:rsidP="00C239F6">
            <w:pPr>
              <w:jc w:val="right"/>
              <w:rPr>
                <w:rFonts w:ascii="Aptos Narrow" w:hAnsi="Aptos Narrow"/>
                <w:color w:val="000000"/>
              </w:rPr>
            </w:pPr>
            <w:r>
              <w:rPr>
                <w:rFonts w:ascii="Aptos Narrow" w:hAnsi="Aptos Narrow"/>
                <w:color w:val="000000"/>
              </w:rPr>
              <w:t>373</w:t>
            </w:r>
          </w:p>
        </w:tc>
      </w:tr>
      <w:tr w:rsidR="00C239F6" w:rsidRPr="00D10EE7" w14:paraId="24B643E3"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7BEA5062" w14:textId="77777777" w:rsidR="00C239F6" w:rsidRPr="00D10EE7" w:rsidRDefault="00C239F6" w:rsidP="00C239F6">
            <w:pPr>
              <w:rPr>
                <w:rFonts w:ascii="Aptos Narrow" w:hAnsi="Aptos Narrow"/>
                <w:color w:val="000000"/>
              </w:rPr>
            </w:pPr>
            <w:r w:rsidRPr="00D10EE7">
              <w:rPr>
                <w:rFonts w:ascii="Aptos Narrow" w:hAnsi="Aptos Narrow"/>
                <w:color w:val="000000"/>
              </w:rPr>
              <w:t>KMZ</w:t>
            </w:r>
          </w:p>
        </w:tc>
        <w:tc>
          <w:tcPr>
            <w:tcW w:w="1417" w:type="dxa"/>
            <w:tcBorders>
              <w:top w:val="nil"/>
              <w:left w:val="nil"/>
              <w:bottom w:val="single" w:sz="4" w:space="0" w:color="auto"/>
              <w:right w:val="single" w:sz="4" w:space="0" w:color="auto"/>
            </w:tcBorders>
            <w:noWrap/>
            <w:vAlign w:val="center"/>
            <w:hideMark/>
          </w:tcPr>
          <w:p w14:paraId="671AA7AD" w14:textId="0DDCFB3A"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31" w:type="dxa"/>
            <w:tcBorders>
              <w:top w:val="nil"/>
              <w:left w:val="nil"/>
              <w:bottom w:val="single" w:sz="4" w:space="0" w:color="auto"/>
              <w:right w:val="single" w:sz="4" w:space="0" w:color="auto"/>
            </w:tcBorders>
            <w:noWrap/>
            <w:vAlign w:val="center"/>
            <w:hideMark/>
          </w:tcPr>
          <w:p w14:paraId="049F7D3B" w14:textId="69DD270F"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04" w:type="dxa"/>
            <w:tcBorders>
              <w:top w:val="nil"/>
              <w:left w:val="nil"/>
              <w:bottom w:val="single" w:sz="4" w:space="0" w:color="auto"/>
              <w:right w:val="single" w:sz="4" w:space="0" w:color="auto"/>
            </w:tcBorders>
            <w:noWrap/>
            <w:vAlign w:val="center"/>
            <w:hideMark/>
          </w:tcPr>
          <w:p w14:paraId="7593EAB1" w14:textId="2BEF0E97"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20" w:type="dxa"/>
            <w:tcBorders>
              <w:top w:val="nil"/>
              <w:left w:val="nil"/>
              <w:bottom w:val="single" w:sz="4" w:space="0" w:color="auto"/>
              <w:right w:val="single" w:sz="4" w:space="0" w:color="auto"/>
            </w:tcBorders>
            <w:noWrap/>
            <w:vAlign w:val="center"/>
            <w:hideMark/>
          </w:tcPr>
          <w:p w14:paraId="469F7339" w14:textId="25A836F2"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40" w:type="dxa"/>
            <w:tcBorders>
              <w:top w:val="nil"/>
              <w:left w:val="nil"/>
              <w:bottom w:val="single" w:sz="4" w:space="0" w:color="auto"/>
              <w:right w:val="single" w:sz="4" w:space="0" w:color="auto"/>
            </w:tcBorders>
            <w:noWrap/>
            <w:vAlign w:val="center"/>
            <w:hideMark/>
          </w:tcPr>
          <w:p w14:paraId="6E143356" w14:textId="4FA1BF68"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587" w:type="dxa"/>
            <w:tcBorders>
              <w:top w:val="nil"/>
              <w:left w:val="nil"/>
              <w:bottom w:val="single" w:sz="4" w:space="0" w:color="auto"/>
              <w:right w:val="single" w:sz="4" w:space="0" w:color="auto"/>
            </w:tcBorders>
            <w:noWrap/>
            <w:vAlign w:val="center"/>
            <w:hideMark/>
          </w:tcPr>
          <w:p w14:paraId="18025E16" w14:textId="2095912C"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04" w:type="dxa"/>
            <w:tcBorders>
              <w:top w:val="nil"/>
              <w:left w:val="nil"/>
              <w:bottom w:val="single" w:sz="4" w:space="0" w:color="auto"/>
              <w:right w:val="single" w:sz="4" w:space="0" w:color="auto"/>
            </w:tcBorders>
            <w:noWrap/>
            <w:vAlign w:val="center"/>
            <w:hideMark/>
          </w:tcPr>
          <w:p w14:paraId="2DE01E6D" w14:textId="03A3E028"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361" w:type="dxa"/>
            <w:tcBorders>
              <w:top w:val="nil"/>
              <w:left w:val="nil"/>
              <w:bottom w:val="single" w:sz="4" w:space="0" w:color="auto"/>
              <w:right w:val="single" w:sz="4" w:space="0" w:color="auto"/>
            </w:tcBorders>
            <w:noWrap/>
            <w:vAlign w:val="center"/>
            <w:hideMark/>
          </w:tcPr>
          <w:p w14:paraId="09FC0A6D" w14:textId="302EDE50" w:rsidR="00C239F6" w:rsidRPr="00D10EE7" w:rsidRDefault="00C239F6" w:rsidP="00C239F6">
            <w:pPr>
              <w:jc w:val="right"/>
              <w:rPr>
                <w:rFonts w:ascii="Aptos Narrow" w:hAnsi="Aptos Narrow"/>
                <w:color w:val="000000"/>
              </w:rPr>
            </w:pPr>
            <w:r>
              <w:rPr>
                <w:rFonts w:ascii="Aptos Narrow" w:hAnsi="Aptos Narrow"/>
                <w:color w:val="000000"/>
              </w:rPr>
              <w:t>0,00</w:t>
            </w:r>
          </w:p>
        </w:tc>
        <w:tc>
          <w:tcPr>
            <w:tcW w:w="1701" w:type="dxa"/>
            <w:tcBorders>
              <w:top w:val="nil"/>
              <w:left w:val="nil"/>
              <w:bottom w:val="single" w:sz="4" w:space="0" w:color="auto"/>
              <w:right w:val="single" w:sz="4" w:space="0" w:color="auto"/>
            </w:tcBorders>
            <w:noWrap/>
            <w:vAlign w:val="center"/>
            <w:hideMark/>
          </w:tcPr>
          <w:p w14:paraId="2528AE5F" w14:textId="316C9575" w:rsidR="00C239F6" w:rsidRPr="00D10EE7" w:rsidRDefault="00C239F6" w:rsidP="00C239F6">
            <w:pPr>
              <w:jc w:val="right"/>
              <w:rPr>
                <w:rFonts w:ascii="Aptos Narrow" w:hAnsi="Aptos Narrow"/>
                <w:color w:val="000000"/>
              </w:rPr>
            </w:pPr>
            <w:r>
              <w:rPr>
                <w:rFonts w:ascii="Aptos Narrow" w:hAnsi="Aptos Narrow"/>
                <w:color w:val="000000"/>
              </w:rPr>
              <w:t>0</w:t>
            </w:r>
          </w:p>
        </w:tc>
      </w:tr>
      <w:tr w:rsidR="00C239F6" w:rsidRPr="00D10EE7" w14:paraId="68CC15B5" w14:textId="77777777" w:rsidTr="00C239F6">
        <w:trPr>
          <w:trHeight w:val="320"/>
        </w:trPr>
        <w:tc>
          <w:tcPr>
            <w:tcW w:w="1134" w:type="dxa"/>
            <w:tcBorders>
              <w:top w:val="nil"/>
              <w:left w:val="single" w:sz="4" w:space="0" w:color="auto"/>
              <w:bottom w:val="single" w:sz="4" w:space="0" w:color="auto"/>
              <w:right w:val="single" w:sz="4" w:space="0" w:color="auto"/>
            </w:tcBorders>
            <w:noWrap/>
            <w:vAlign w:val="center"/>
            <w:hideMark/>
          </w:tcPr>
          <w:p w14:paraId="7F5718FA" w14:textId="77777777" w:rsidR="00C239F6" w:rsidRPr="00D10EE7" w:rsidRDefault="00C239F6" w:rsidP="00C239F6">
            <w:pPr>
              <w:rPr>
                <w:rFonts w:ascii="Aptos Narrow" w:hAnsi="Aptos Narrow"/>
                <w:b/>
                <w:bCs/>
                <w:color w:val="000000"/>
              </w:rPr>
            </w:pPr>
            <w:r w:rsidRPr="00D10EE7">
              <w:rPr>
                <w:rFonts w:ascii="Aptos Narrow" w:hAnsi="Aptos Narrow"/>
                <w:b/>
                <w:bCs/>
                <w:color w:val="000000"/>
              </w:rPr>
              <w:t>Celkem</w:t>
            </w:r>
          </w:p>
        </w:tc>
        <w:tc>
          <w:tcPr>
            <w:tcW w:w="1417" w:type="dxa"/>
            <w:tcBorders>
              <w:top w:val="nil"/>
              <w:left w:val="nil"/>
              <w:bottom w:val="single" w:sz="4" w:space="0" w:color="auto"/>
              <w:right w:val="single" w:sz="4" w:space="0" w:color="auto"/>
            </w:tcBorders>
            <w:noWrap/>
            <w:vAlign w:val="center"/>
            <w:hideMark/>
          </w:tcPr>
          <w:p w14:paraId="4B6633E5" w14:textId="5366E98E" w:rsidR="00C239F6" w:rsidRPr="00D10EE7" w:rsidRDefault="00C239F6" w:rsidP="00C239F6">
            <w:pPr>
              <w:jc w:val="right"/>
              <w:rPr>
                <w:rFonts w:ascii="Aptos Narrow" w:hAnsi="Aptos Narrow"/>
                <w:b/>
                <w:bCs/>
                <w:color w:val="000000"/>
              </w:rPr>
            </w:pPr>
            <w:r>
              <w:rPr>
                <w:rFonts w:ascii="Aptos Narrow" w:hAnsi="Aptos Narrow"/>
                <w:b/>
                <w:bCs/>
                <w:color w:val="000000"/>
              </w:rPr>
              <w:t>23 693</w:t>
            </w:r>
          </w:p>
        </w:tc>
        <w:tc>
          <w:tcPr>
            <w:tcW w:w="1531" w:type="dxa"/>
            <w:tcBorders>
              <w:top w:val="nil"/>
              <w:left w:val="nil"/>
              <w:bottom w:val="single" w:sz="4" w:space="0" w:color="auto"/>
              <w:right w:val="single" w:sz="4" w:space="0" w:color="auto"/>
            </w:tcBorders>
            <w:noWrap/>
            <w:vAlign w:val="center"/>
            <w:hideMark/>
          </w:tcPr>
          <w:p w14:paraId="2AE1A272" w14:textId="54383566" w:rsidR="00C239F6" w:rsidRPr="00D10EE7" w:rsidRDefault="00C239F6" w:rsidP="00C239F6">
            <w:pPr>
              <w:jc w:val="right"/>
              <w:rPr>
                <w:rFonts w:ascii="Aptos Narrow" w:hAnsi="Aptos Narrow"/>
                <w:b/>
                <w:bCs/>
                <w:color w:val="000000"/>
              </w:rPr>
            </w:pPr>
            <w:r>
              <w:rPr>
                <w:rFonts w:ascii="Aptos Narrow" w:hAnsi="Aptos Narrow"/>
                <w:b/>
                <w:bCs/>
                <w:color w:val="000000"/>
              </w:rPr>
              <w:t>27 793</w:t>
            </w:r>
          </w:p>
        </w:tc>
        <w:tc>
          <w:tcPr>
            <w:tcW w:w="1304" w:type="dxa"/>
            <w:tcBorders>
              <w:top w:val="nil"/>
              <w:left w:val="nil"/>
              <w:bottom w:val="single" w:sz="4" w:space="0" w:color="auto"/>
              <w:right w:val="single" w:sz="4" w:space="0" w:color="auto"/>
            </w:tcBorders>
            <w:noWrap/>
            <w:vAlign w:val="center"/>
            <w:hideMark/>
          </w:tcPr>
          <w:p w14:paraId="2D21C97B" w14:textId="4C42F387" w:rsidR="00C239F6" w:rsidRPr="00D10EE7" w:rsidRDefault="00C239F6" w:rsidP="00C239F6">
            <w:pPr>
              <w:jc w:val="right"/>
              <w:rPr>
                <w:rFonts w:ascii="Aptos Narrow" w:hAnsi="Aptos Narrow"/>
                <w:b/>
                <w:bCs/>
                <w:color w:val="000000"/>
              </w:rPr>
            </w:pPr>
            <w:r>
              <w:rPr>
                <w:rFonts w:ascii="Aptos Narrow" w:hAnsi="Aptos Narrow"/>
                <w:b/>
                <w:bCs/>
                <w:color w:val="000000"/>
              </w:rPr>
              <w:t>18 202</w:t>
            </w:r>
          </w:p>
        </w:tc>
        <w:tc>
          <w:tcPr>
            <w:tcW w:w="1320" w:type="dxa"/>
            <w:tcBorders>
              <w:top w:val="nil"/>
              <w:left w:val="nil"/>
              <w:bottom w:val="single" w:sz="4" w:space="0" w:color="auto"/>
              <w:right w:val="single" w:sz="4" w:space="0" w:color="auto"/>
            </w:tcBorders>
            <w:noWrap/>
            <w:vAlign w:val="center"/>
            <w:hideMark/>
          </w:tcPr>
          <w:p w14:paraId="043B33E7" w14:textId="788D7101" w:rsidR="00C239F6" w:rsidRPr="00D10EE7" w:rsidRDefault="00C239F6" w:rsidP="00C239F6">
            <w:pPr>
              <w:jc w:val="right"/>
              <w:rPr>
                <w:rFonts w:ascii="Aptos Narrow" w:hAnsi="Aptos Narrow"/>
                <w:b/>
                <w:bCs/>
                <w:color w:val="000000"/>
              </w:rPr>
            </w:pPr>
            <w:r>
              <w:rPr>
                <w:rFonts w:ascii="Aptos Narrow" w:hAnsi="Aptos Narrow"/>
                <w:b/>
                <w:bCs/>
                <w:color w:val="000000"/>
              </w:rPr>
              <w:t>33 393</w:t>
            </w:r>
          </w:p>
        </w:tc>
        <w:tc>
          <w:tcPr>
            <w:tcW w:w="1340" w:type="dxa"/>
            <w:tcBorders>
              <w:top w:val="nil"/>
              <w:left w:val="nil"/>
              <w:bottom w:val="single" w:sz="4" w:space="0" w:color="auto"/>
              <w:right w:val="single" w:sz="4" w:space="0" w:color="auto"/>
            </w:tcBorders>
            <w:noWrap/>
            <w:vAlign w:val="center"/>
            <w:hideMark/>
          </w:tcPr>
          <w:p w14:paraId="6E42CB94" w14:textId="45CE6A6D" w:rsidR="00C239F6" w:rsidRPr="00D10EE7" w:rsidRDefault="00C239F6" w:rsidP="00C239F6">
            <w:pPr>
              <w:jc w:val="right"/>
              <w:rPr>
                <w:rFonts w:ascii="Aptos Narrow" w:hAnsi="Aptos Narrow"/>
                <w:b/>
                <w:bCs/>
                <w:color w:val="000000"/>
              </w:rPr>
            </w:pPr>
            <w:r>
              <w:rPr>
                <w:rFonts w:ascii="Aptos Narrow" w:hAnsi="Aptos Narrow"/>
                <w:b/>
                <w:bCs/>
                <w:color w:val="000000"/>
              </w:rPr>
              <w:t>11 517</w:t>
            </w:r>
          </w:p>
        </w:tc>
        <w:tc>
          <w:tcPr>
            <w:tcW w:w="1587" w:type="dxa"/>
            <w:tcBorders>
              <w:top w:val="nil"/>
              <w:left w:val="nil"/>
              <w:bottom w:val="single" w:sz="4" w:space="0" w:color="auto"/>
              <w:right w:val="single" w:sz="4" w:space="0" w:color="auto"/>
            </w:tcBorders>
            <w:noWrap/>
            <w:vAlign w:val="center"/>
            <w:hideMark/>
          </w:tcPr>
          <w:p w14:paraId="1388E27B" w14:textId="1095236D" w:rsidR="00C239F6" w:rsidRPr="00D10EE7" w:rsidRDefault="00C239F6" w:rsidP="00C239F6">
            <w:pPr>
              <w:jc w:val="right"/>
              <w:rPr>
                <w:rFonts w:ascii="Aptos Narrow" w:hAnsi="Aptos Narrow"/>
                <w:b/>
                <w:bCs/>
                <w:color w:val="000000"/>
              </w:rPr>
            </w:pPr>
            <w:r>
              <w:rPr>
                <w:rFonts w:ascii="Aptos Narrow" w:hAnsi="Aptos Narrow"/>
                <w:b/>
                <w:bCs/>
                <w:color w:val="000000"/>
              </w:rPr>
              <w:t>5 738</w:t>
            </w:r>
          </w:p>
        </w:tc>
        <w:tc>
          <w:tcPr>
            <w:tcW w:w="1304" w:type="dxa"/>
            <w:tcBorders>
              <w:top w:val="nil"/>
              <w:left w:val="nil"/>
              <w:bottom w:val="single" w:sz="4" w:space="0" w:color="auto"/>
              <w:right w:val="single" w:sz="4" w:space="0" w:color="auto"/>
            </w:tcBorders>
            <w:noWrap/>
            <w:vAlign w:val="center"/>
            <w:hideMark/>
          </w:tcPr>
          <w:p w14:paraId="056549F3" w14:textId="029936CB" w:rsidR="00C239F6" w:rsidRPr="00D10EE7" w:rsidRDefault="00C239F6" w:rsidP="00C239F6">
            <w:pPr>
              <w:jc w:val="right"/>
              <w:rPr>
                <w:rFonts w:ascii="Aptos Narrow" w:hAnsi="Aptos Narrow"/>
                <w:b/>
                <w:bCs/>
                <w:color w:val="000000"/>
              </w:rPr>
            </w:pPr>
            <w:r>
              <w:rPr>
                <w:rFonts w:ascii="Aptos Narrow" w:hAnsi="Aptos Narrow"/>
                <w:b/>
                <w:bCs/>
                <w:color w:val="000000"/>
              </w:rPr>
              <w:t>2 319</w:t>
            </w:r>
          </w:p>
        </w:tc>
        <w:tc>
          <w:tcPr>
            <w:tcW w:w="1361" w:type="dxa"/>
            <w:tcBorders>
              <w:top w:val="nil"/>
              <w:left w:val="nil"/>
              <w:bottom w:val="single" w:sz="4" w:space="0" w:color="auto"/>
              <w:right w:val="single" w:sz="4" w:space="0" w:color="auto"/>
            </w:tcBorders>
            <w:noWrap/>
            <w:vAlign w:val="center"/>
            <w:hideMark/>
          </w:tcPr>
          <w:p w14:paraId="19D2AAC6" w14:textId="4EF0C2FF" w:rsidR="00C239F6" w:rsidRPr="00D10EE7" w:rsidRDefault="00C239F6" w:rsidP="00C239F6">
            <w:pPr>
              <w:jc w:val="right"/>
              <w:rPr>
                <w:rFonts w:ascii="Aptos Narrow" w:hAnsi="Aptos Narrow"/>
                <w:b/>
                <w:bCs/>
                <w:color w:val="000000"/>
              </w:rPr>
            </w:pPr>
            <w:r>
              <w:rPr>
                <w:rFonts w:ascii="Aptos Narrow" w:hAnsi="Aptos Narrow"/>
                <w:b/>
                <w:bCs/>
                <w:color w:val="000000"/>
              </w:rPr>
              <w:t>18 573</w:t>
            </w:r>
          </w:p>
        </w:tc>
        <w:tc>
          <w:tcPr>
            <w:tcW w:w="1701" w:type="dxa"/>
            <w:tcBorders>
              <w:top w:val="nil"/>
              <w:left w:val="nil"/>
              <w:bottom w:val="single" w:sz="4" w:space="0" w:color="auto"/>
              <w:right w:val="single" w:sz="4" w:space="0" w:color="auto"/>
            </w:tcBorders>
            <w:noWrap/>
            <w:vAlign w:val="center"/>
            <w:hideMark/>
          </w:tcPr>
          <w:p w14:paraId="41EE29F3" w14:textId="0A622F95" w:rsidR="00C239F6" w:rsidRPr="00D10EE7" w:rsidRDefault="00C239F6" w:rsidP="00C239F6">
            <w:pPr>
              <w:jc w:val="right"/>
              <w:rPr>
                <w:rFonts w:ascii="Aptos Narrow" w:hAnsi="Aptos Narrow"/>
                <w:b/>
                <w:bCs/>
                <w:color w:val="000000"/>
              </w:rPr>
            </w:pPr>
            <w:r>
              <w:rPr>
                <w:rFonts w:ascii="Aptos Narrow" w:hAnsi="Aptos Narrow"/>
                <w:b/>
                <w:bCs/>
                <w:color w:val="000000"/>
              </w:rPr>
              <w:t>141 227</w:t>
            </w:r>
          </w:p>
        </w:tc>
      </w:tr>
    </w:tbl>
    <w:p w14:paraId="3CDAE935" w14:textId="77777777" w:rsidR="00D21C45" w:rsidRDefault="00D21C45" w:rsidP="00AE46FC">
      <w:pPr>
        <w:pStyle w:val="RozpocetOdstavec"/>
      </w:pPr>
    </w:p>
    <w:p w14:paraId="72442648" w14:textId="77777777" w:rsidR="00603B37" w:rsidRDefault="00603B37" w:rsidP="00AE46FC">
      <w:pPr>
        <w:pStyle w:val="RozpocetOdstavec"/>
        <w:sectPr w:rsidR="00603B37" w:rsidSect="00495879">
          <w:pgSz w:w="16838" w:h="11906" w:orient="landscape"/>
          <w:pgMar w:top="1417" w:right="1417" w:bottom="1417" w:left="1417" w:header="708" w:footer="708" w:gutter="0"/>
          <w:cols w:space="708"/>
          <w:titlePg/>
          <w:docGrid w:linePitch="360"/>
        </w:sectPr>
      </w:pPr>
    </w:p>
    <w:p w14:paraId="3B7D9BCE" w14:textId="7D69C77A" w:rsidR="00D21C45" w:rsidRDefault="00D21C45" w:rsidP="00D21C45">
      <w:pPr>
        <w:pStyle w:val="RozpoetNadpis3"/>
      </w:pPr>
      <w:bookmarkStart w:id="34" w:name="_Toc228824345"/>
      <w:r>
        <w:lastRenderedPageBreak/>
        <w:t xml:space="preserve">Rozdělení ukazatele </w:t>
      </w:r>
      <w:r w:rsidR="00D93734">
        <w:t>F</w:t>
      </w:r>
      <w:bookmarkEnd w:id="34"/>
    </w:p>
    <w:p w14:paraId="092FC8C5" w14:textId="5F82146D" w:rsidR="00D020A2" w:rsidRPr="000A20AA" w:rsidRDefault="00D020A2" w:rsidP="00D020A2">
      <w:pPr>
        <w:pStyle w:val="RozpocetOdstavec"/>
      </w:pPr>
      <w:r w:rsidRPr="000A20AA">
        <w:t>Rozdělení ukazatele F, bude realizováno podle klíče k rozdělení podle Pravidel poskytování příspěvků a dotací MŠM</w:t>
      </w:r>
      <w:r w:rsidR="003F5A45">
        <w:t xml:space="preserve">T </w:t>
      </w:r>
      <w:r w:rsidRPr="000A20AA">
        <w:t xml:space="preserve">pro rok 2026. </w:t>
      </w:r>
    </w:p>
    <w:p w14:paraId="0E3AFFF4" w14:textId="77777777" w:rsidR="00FA0B0C" w:rsidRPr="00DC3F9E" w:rsidRDefault="00FA0B0C" w:rsidP="00AE46FC">
      <w:pPr>
        <w:pStyle w:val="RozpocetOdstavec"/>
      </w:pPr>
    </w:p>
    <w:p w14:paraId="64CE733D" w14:textId="77777777" w:rsidR="00FA0B0C" w:rsidRDefault="00FA0B0C" w:rsidP="00FA0B0C">
      <w:pPr>
        <w:pStyle w:val="RozpoetNadpis3"/>
      </w:pPr>
      <w:bookmarkStart w:id="35" w:name="_Toc228824346"/>
      <w:r>
        <w:t>Rozdělení ukazatele FUČ</w:t>
      </w:r>
      <w:bookmarkEnd w:id="35"/>
    </w:p>
    <w:p w14:paraId="057DD548" w14:textId="3D594154" w:rsidR="00954BBA" w:rsidRPr="000A20AA" w:rsidRDefault="00954BBA" w:rsidP="00954BBA">
      <w:pPr>
        <w:pStyle w:val="RozpocetOdstavec"/>
      </w:pPr>
      <w:r w:rsidRPr="000A20AA">
        <w:t>Ukazatel FUČ, který zajišťuje systémovou podporu oblasti umělecké činnosti, bude přidělen FMK ve 100% výši prostředků</w:t>
      </w:r>
      <w:r w:rsidR="003F5A45">
        <w:t>, tj. 12,161 mil. Kč,</w:t>
      </w:r>
      <w:r w:rsidRPr="000A20AA">
        <w:t xml:space="preserve"> přidělených UTB v tomto ukazateli podle Pravidel poskytování příspěvků a dotací.</w:t>
      </w:r>
    </w:p>
    <w:p w14:paraId="71791D60" w14:textId="77777777" w:rsidR="0020588A" w:rsidRDefault="0020588A" w:rsidP="00954BBA">
      <w:pPr>
        <w:pStyle w:val="RozpocetOdstavec"/>
        <w:rPr>
          <w:color w:val="00B050"/>
        </w:rPr>
      </w:pPr>
    </w:p>
    <w:p w14:paraId="286C8181" w14:textId="68C56AB7" w:rsidR="0020588A" w:rsidRPr="00FD048C" w:rsidRDefault="0020588A" w:rsidP="0020588A">
      <w:pPr>
        <w:pStyle w:val="Nadpis3"/>
        <w:rPr>
          <w:color w:val="2F5496" w:themeColor="accent1" w:themeShade="BF"/>
        </w:rPr>
      </w:pPr>
      <w:r w:rsidRPr="00FD048C">
        <w:rPr>
          <w:color w:val="2F5496" w:themeColor="accent1" w:themeShade="BF"/>
        </w:rPr>
        <w:t>Rozdělení ukazatele P</w:t>
      </w:r>
    </w:p>
    <w:p w14:paraId="461F9576" w14:textId="77777777" w:rsidR="0020588A" w:rsidRDefault="0020588A" w:rsidP="0020588A">
      <w:pPr>
        <w:pStyle w:val="RozpocetOdstavec"/>
      </w:pPr>
    </w:p>
    <w:p w14:paraId="2A0D8C91" w14:textId="7ED5A405" w:rsidR="0020588A" w:rsidRDefault="000A20AA" w:rsidP="000A20AA">
      <w:pPr>
        <w:jc w:val="both"/>
      </w:pPr>
      <w:r w:rsidRPr="002F46EE">
        <w:t xml:space="preserve">Ukazatel P představuje část společenské poptávky a slouží k institucionální podpoře </w:t>
      </w:r>
      <w:r>
        <w:t>VVŠ</w:t>
      </w:r>
      <w:r w:rsidRPr="002F46EE">
        <w:t xml:space="preserve"> v konkrétních oblastech vzdělávací a tvůrčí činnosti definovaných programy schválenými vládou České republiky. UTB jsou v roce 2026 prostřednictvím ukazatele P poskytovány prostředky v rámci Programu na podporu navýšení kapacit veřejných vysokých škol v nelékařských zdravotnických studijních programech</w:t>
      </w:r>
      <w:r w:rsidR="004912DE">
        <w:t>, a to FHS ve 100% výši prostředků, tj. 22, 129 mil. Kč</w:t>
      </w:r>
      <w:r>
        <w:t>.</w:t>
      </w:r>
    </w:p>
    <w:p w14:paraId="51CA9E8C" w14:textId="77777777" w:rsidR="000A20AA" w:rsidRPr="000A20AA" w:rsidRDefault="000A20AA" w:rsidP="0020588A"/>
    <w:p w14:paraId="0CB96267" w14:textId="2ADFF3FE" w:rsidR="0020588A" w:rsidRPr="00FD048C" w:rsidRDefault="0020588A" w:rsidP="0020588A">
      <w:pPr>
        <w:pStyle w:val="Nadpis3"/>
        <w:rPr>
          <w:color w:val="2F5496" w:themeColor="accent1" w:themeShade="BF"/>
        </w:rPr>
      </w:pPr>
      <w:r w:rsidRPr="00FD048C">
        <w:rPr>
          <w:color w:val="2F5496" w:themeColor="accent1" w:themeShade="BF"/>
        </w:rPr>
        <w:t>Rozdělení ukazatele C</w:t>
      </w:r>
    </w:p>
    <w:p w14:paraId="680BE1BD" w14:textId="77777777" w:rsidR="0020588A" w:rsidRDefault="0020588A" w:rsidP="0020588A">
      <w:pPr>
        <w:pStyle w:val="RozpocetOdstavec"/>
      </w:pPr>
    </w:p>
    <w:p w14:paraId="6D98AD82" w14:textId="77777777" w:rsidR="0020588A" w:rsidRPr="000A20AA" w:rsidRDefault="0020588A" w:rsidP="0020588A">
      <w:pPr>
        <w:jc w:val="both"/>
      </w:pPr>
      <w:r w:rsidRPr="000A20AA">
        <w:t xml:space="preserve">Finanční prostředky na stipendia doktorandů budou součástem, které realizují doktorské studijní programy, přiděleny na základě známého počtu studentů DSP studujících v českém jazyce v prezenční formě studia k 31. 3., 30. 6. a k 30. 9. 2026 ve výši 90 % hodnoty přidělené na studenta v roce 2025. K 31. 12. 2026 bude rozdělena zbývající část dle </w:t>
      </w:r>
      <w:bookmarkStart w:id="36" w:name="_Hlk180514589"/>
      <w:r w:rsidRPr="000A20AA">
        <w:t xml:space="preserve">přesného počtu studento-měsíců v DSP studujících v prezenční formě studia v jazyce českém za celý rok 2026. </w:t>
      </w:r>
    </w:p>
    <w:bookmarkEnd w:id="36"/>
    <w:p w14:paraId="1545588E" w14:textId="77777777" w:rsidR="0020588A" w:rsidRPr="000A20AA" w:rsidRDefault="0020588A" w:rsidP="0020588A">
      <w:pPr>
        <w:jc w:val="both"/>
      </w:pPr>
    </w:p>
    <w:p w14:paraId="2062EAAC" w14:textId="77777777" w:rsidR="0020588A" w:rsidRPr="000A20AA" w:rsidRDefault="0020588A" w:rsidP="0020588A">
      <w:pPr>
        <w:jc w:val="both"/>
      </w:pPr>
      <w:bookmarkStart w:id="37" w:name="_Hlk180514675"/>
      <w:r w:rsidRPr="000A20AA">
        <w:t xml:space="preserve">V případě, že nebudou všechny prostředky na stipendia doktorandů vyčerpány k datu    </w:t>
      </w:r>
      <w:r w:rsidRPr="000A20AA">
        <w:br/>
        <w:t>31. 12. 2026, budou tyto finanční prostředky převedeny do fondu provozních prostředků, které je možné v následujícím roce vyčerpat pouze na stipendia DSP v prezenční formě studia v jazyce českém.</w:t>
      </w:r>
    </w:p>
    <w:bookmarkEnd w:id="37"/>
    <w:p w14:paraId="0A9768B5" w14:textId="77777777" w:rsidR="0020588A" w:rsidRPr="000A20AA" w:rsidRDefault="0020588A" w:rsidP="0020588A">
      <w:pPr>
        <w:pStyle w:val="RozpocetOdstavec"/>
      </w:pPr>
    </w:p>
    <w:p w14:paraId="23B7FD44" w14:textId="77777777" w:rsidR="00270ACE" w:rsidRDefault="00270ACE" w:rsidP="00270ACE">
      <w:pPr>
        <w:pStyle w:val="RozpocetNadpis2"/>
      </w:pPr>
      <w:bookmarkStart w:id="38" w:name="_Toc228824347"/>
      <w:r>
        <w:t xml:space="preserve">Rozdělení </w:t>
      </w:r>
      <w:r w:rsidR="003B2142">
        <w:t>DKRVO</w:t>
      </w:r>
      <w:bookmarkEnd w:id="38"/>
    </w:p>
    <w:p w14:paraId="10842029" w14:textId="7D7297D5" w:rsidR="00BE55AA" w:rsidRPr="000A20AA" w:rsidRDefault="006568DF" w:rsidP="00BE55AA">
      <w:pPr>
        <w:pStyle w:val="RozpocetOdstavec"/>
      </w:pPr>
      <w:bookmarkStart w:id="39" w:name="_Hlk228350740"/>
      <w:r w:rsidRPr="000A20AA">
        <w:t>Z DKRVO budou mezi součásti rozděleny obě části, tj. stabilizační a motivační.</w:t>
      </w:r>
    </w:p>
    <w:p w14:paraId="25BB372F" w14:textId="77777777" w:rsidR="00DF7147" w:rsidRDefault="00DF7147" w:rsidP="00BE55AA">
      <w:pPr>
        <w:pStyle w:val="RozpocetOdstavec"/>
        <w:rPr>
          <w:color w:val="00B050"/>
        </w:rPr>
      </w:pPr>
    </w:p>
    <w:p w14:paraId="4F827F91" w14:textId="77777777" w:rsidR="00DF7147" w:rsidRPr="00EA3C17" w:rsidRDefault="00DF7147" w:rsidP="00DF7147">
      <w:pPr>
        <w:pStyle w:val="RozpoetNadpis3"/>
        <w:rPr>
          <w:color w:val="2F5496" w:themeColor="accent1" w:themeShade="BF"/>
        </w:rPr>
      </w:pPr>
      <w:bookmarkStart w:id="40" w:name="_Toc155555621"/>
      <w:bookmarkStart w:id="41" w:name="_Toc218018974"/>
      <w:bookmarkStart w:id="42" w:name="_Toc228824348"/>
      <w:r w:rsidRPr="00EA3C17">
        <w:rPr>
          <w:color w:val="2F5496" w:themeColor="accent1" w:themeShade="BF"/>
        </w:rPr>
        <w:t>Rozdělení stabilizační složky DKRVO</w:t>
      </w:r>
      <w:bookmarkEnd w:id="40"/>
      <w:bookmarkEnd w:id="41"/>
      <w:bookmarkEnd w:id="42"/>
    </w:p>
    <w:p w14:paraId="5C64BACF" w14:textId="77777777" w:rsidR="00DF7147" w:rsidRPr="000A20AA" w:rsidRDefault="00DF7147" w:rsidP="00DF7147">
      <w:pPr>
        <w:pStyle w:val="RozpocetOdstavec"/>
      </w:pPr>
      <w:r w:rsidRPr="000A20AA">
        <w:t>Rozdělení stabilizační složky DKRVO mezi součásti bude realizováno podle indikátoru DKRVO stabilizační. Podle tohoto indikátoru bude mezi součásti rozděleno 100 % stabilizační složky DKRVO přiděleného UTB.</w:t>
      </w:r>
    </w:p>
    <w:p w14:paraId="1F5F8EF0" w14:textId="77777777" w:rsidR="00DF7147" w:rsidRPr="000A20AA" w:rsidRDefault="00DF7147" w:rsidP="00DF7147">
      <w:pPr>
        <w:pStyle w:val="RozpocetOdstavec"/>
      </w:pPr>
    </w:p>
    <w:p w14:paraId="2FFB4AB4" w14:textId="77777777" w:rsidR="00DF7147" w:rsidRPr="00EA3C17" w:rsidRDefault="00DF7147" w:rsidP="00DF7147">
      <w:pPr>
        <w:pStyle w:val="RozpoetNadpis3"/>
        <w:rPr>
          <w:color w:val="2F5496" w:themeColor="accent1" w:themeShade="BF"/>
        </w:rPr>
      </w:pPr>
      <w:bookmarkStart w:id="43" w:name="_Toc155555622"/>
      <w:bookmarkStart w:id="44" w:name="_Toc218018975"/>
      <w:bookmarkStart w:id="45" w:name="_Toc228824349"/>
      <w:r w:rsidRPr="00EA3C17">
        <w:rPr>
          <w:color w:val="2F5496" w:themeColor="accent1" w:themeShade="BF"/>
        </w:rPr>
        <w:t>Rozdělení motivační složky DKRVO</w:t>
      </w:r>
      <w:bookmarkEnd w:id="43"/>
      <w:bookmarkEnd w:id="44"/>
      <w:bookmarkEnd w:id="45"/>
    </w:p>
    <w:p w14:paraId="566DBA19" w14:textId="77777777" w:rsidR="00DF7147" w:rsidRPr="000A20AA" w:rsidRDefault="00DF7147" w:rsidP="00DF7147">
      <w:pPr>
        <w:pStyle w:val="RozpocetOdstavec"/>
      </w:pPr>
      <w:r w:rsidRPr="000A20AA">
        <w:t>Rozdělení motivační složky DKRVO mezi součásti bude realizováno podle indikátoru DKRVO motivační. Podle tohoto indikátoru bude mezi součásti rozděleno 100 % motivační složky DKRVO přiděleného UTB.</w:t>
      </w:r>
    </w:p>
    <w:p w14:paraId="42AA8A69" w14:textId="78E049F7" w:rsidR="00DF7147" w:rsidRPr="00DF7147" w:rsidRDefault="00DF7147" w:rsidP="00BE55AA">
      <w:pPr>
        <w:pStyle w:val="RozpocetOdstavec"/>
        <w:rPr>
          <w:rFonts w:asciiTheme="majorHAnsi" w:hAnsiTheme="majorHAnsi" w:cstheme="majorHAnsi"/>
          <w:color w:val="2F5496" w:themeColor="accent1" w:themeShade="BF"/>
        </w:rPr>
      </w:pPr>
    </w:p>
    <w:tbl>
      <w:tblPr>
        <w:tblW w:w="9071" w:type="dxa"/>
        <w:tblLook w:val="04A0" w:firstRow="1" w:lastRow="0" w:firstColumn="1" w:lastColumn="0" w:noHBand="0" w:noVBand="1"/>
      </w:tblPr>
      <w:tblGrid>
        <w:gridCol w:w="2041"/>
        <w:gridCol w:w="2381"/>
        <w:gridCol w:w="2381"/>
        <w:gridCol w:w="2268"/>
      </w:tblGrid>
      <w:tr w:rsidR="007B2B87" w:rsidRPr="007B2B87" w14:paraId="209BAF44" w14:textId="77777777" w:rsidTr="007B2B87">
        <w:trPr>
          <w:trHeight w:val="320"/>
        </w:trPr>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39"/>
          <w:p w14:paraId="08A1918B" w14:textId="266D4DEB" w:rsidR="007B2B87" w:rsidRPr="007B2B87" w:rsidRDefault="007B2B87" w:rsidP="007B2B87">
            <w:pPr>
              <w:jc w:val="center"/>
              <w:rPr>
                <w:rFonts w:ascii="Aptos Narrow" w:hAnsi="Aptos Narrow"/>
                <w:b/>
                <w:bCs/>
                <w:color w:val="000000"/>
              </w:rPr>
            </w:pPr>
            <w:r>
              <w:rPr>
                <w:rFonts w:ascii="Aptos Narrow" w:hAnsi="Aptos Narrow"/>
                <w:b/>
                <w:bCs/>
                <w:color w:val="000000"/>
              </w:rPr>
              <w:t>Součást</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C8D9BC" w14:textId="77777777" w:rsidR="007B2B87" w:rsidRDefault="007B2B87" w:rsidP="007B2B87">
            <w:pPr>
              <w:jc w:val="center"/>
              <w:rPr>
                <w:rFonts w:ascii="Aptos Narrow" w:hAnsi="Aptos Narrow"/>
                <w:b/>
                <w:bCs/>
                <w:color w:val="000000"/>
              </w:rPr>
            </w:pPr>
            <w:r w:rsidRPr="007B2B87">
              <w:rPr>
                <w:rFonts w:ascii="Aptos Narrow" w:hAnsi="Aptos Narrow"/>
                <w:b/>
                <w:bCs/>
                <w:color w:val="000000"/>
              </w:rPr>
              <w:t>DKRVO stabilizační</w:t>
            </w:r>
          </w:p>
          <w:p w14:paraId="39592A2F" w14:textId="0102FDA2"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v tis. Kč</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B3341B" w14:textId="77777777" w:rsidR="007B2B87" w:rsidRDefault="007B2B87" w:rsidP="007B2B87">
            <w:pPr>
              <w:jc w:val="center"/>
              <w:rPr>
                <w:rFonts w:ascii="Aptos Narrow" w:hAnsi="Aptos Narrow"/>
                <w:b/>
                <w:bCs/>
                <w:color w:val="000000"/>
              </w:rPr>
            </w:pPr>
            <w:r w:rsidRPr="007B2B87">
              <w:rPr>
                <w:rFonts w:ascii="Aptos Narrow" w:hAnsi="Aptos Narrow"/>
                <w:b/>
                <w:bCs/>
                <w:color w:val="000000"/>
              </w:rPr>
              <w:t>DKRVO motivační</w:t>
            </w:r>
          </w:p>
          <w:p w14:paraId="2CB418C1" w14:textId="01EDCBE1"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v tis Kč</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9E5E8D" w14:textId="77777777" w:rsidR="007B2B87" w:rsidRDefault="007B2B87" w:rsidP="007B2B87">
            <w:pPr>
              <w:jc w:val="center"/>
              <w:rPr>
                <w:rFonts w:ascii="Aptos Narrow" w:hAnsi="Aptos Narrow"/>
                <w:b/>
                <w:bCs/>
                <w:color w:val="000000"/>
              </w:rPr>
            </w:pPr>
            <w:r w:rsidRPr="007B2B87">
              <w:rPr>
                <w:rFonts w:ascii="Aptos Narrow" w:hAnsi="Aptos Narrow"/>
                <w:b/>
                <w:bCs/>
                <w:color w:val="000000"/>
              </w:rPr>
              <w:t>DKRVO</w:t>
            </w:r>
          </w:p>
          <w:p w14:paraId="14266920" w14:textId="2B183B0E"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v tis. Kč</w:t>
            </w:r>
          </w:p>
        </w:tc>
      </w:tr>
      <w:tr w:rsidR="007B2B87" w:rsidRPr="007B2B87" w14:paraId="2129CA15"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0F9F97DA" w14:textId="77777777" w:rsidR="007B2B87" w:rsidRPr="007B2B87" w:rsidRDefault="007B2B87" w:rsidP="007B2B87">
            <w:pPr>
              <w:rPr>
                <w:rFonts w:ascii="Aptos Narrow" w:hAnsi="Aptos Narrow"/>
                <w:color w:val="000000"/>
              </w:rPr>
            </w:pPr>
            <w:r w:rsidRPr="007B2B87">
              <w:rPr>
                <w:rFonts w:ascii="Aptos Narrow" w:hAnsi="Aptos Narrow"/>
                <w:color w:val="000000"/>
              </w:rPr>
              <w:t>FT</w:t>
            </w:r>
          </w:p>
        </w:tc>
        <w:tc>
          <w:tcPr>
            <w:tcW w:w="2381" w:type="dxa"/>
            <w:tcBorders>
              <w:top w:val="nil"/>
              <w:left w:val="nil"/>
              <w:bottom w:val="single" w:sz="4" w:space="0" w:color="auto"/>
              <w:right w:val="single" w:sz="4" w:space="0" w:color="auto"/>
            </w:tcBorders>
            <w:noWrap/>
            <w:vAlign w:val="center"/>
            <w:hideMark/>
          </w:tcPr>
          <w:p w14:paraId="789138FE"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30 211,28</w:t>
            </w:r>
          </w:p>
        </w:tc>
        <w:tc>
          <w:tcPr>
            <w:tcW w:w="2381" w:type="dxa"/>
            <w:tcBorders>
              <w:top w:val="nil"/>
              <w:left w:val="nil"/>
              <w:bottom w:val="single" w:sz="4" w:space="0" w:color="auto"/>
              <w:right w:val="single" w:sz="4" w:space="0" w:color="auto"/>
            </w:tcBorders>
            <w:noWrap/>
            <w:vAlign w:val="center"/>
            <w:hideMark/>
          </w:tcPr>
          <w:p w14:paraId="76446E51"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5 467,54</w:t>
            </w:r>
          </w:p>
        </w:tc>
        <w:tc>
          <w:tcPr>
            <w:tcW w:w="2268" w:type="dxa"/>
            <w:tcBorders>
              <w:top w:val="nil"/>
              <w:left w:val="nil"/>
              <w:bottom w:val="single" w:sz="4" w:space="0" w:color="auto"/>
              <w:right w:val="single" w:sz="4" w:space="0" w:color="auto"/>
            </w:tcBorders>
            <w:noWrap/>
            <w:vAlign w:val="center"/>
            <w:hideMark/>
          </w:tcPr>
          <w:p w14:paraId="3A4917FB"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35 678,82</w:t>
            </w:r>
          </w:p>
        </w:tc>
      </w:tr>
      <w:tr w:rsidR="007B2B87" w:rsidRPr="007B2B87" w14:paraId="130C187B"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5B3A4F8F" w14:textId="77777777" w:rsidR="007B2B87" w:rsidRPr="007B2B87" w:rsidRDefault="007B2B87" w:rsidP="007B2B87">
            <w:pPr>
              <w:rPr>
                <w:rFonts w:ascii="Aptos Narrow" w:hAnsi="Aptos Narrow"/>
                <w:color w:val="000000"/>
              </w:rPr>
            </w:pPr>
            <w:r w:rsidRPr="007B2B87">
              <w:rPr>
                <w:rFonts w:ascii="Aptos Narrow" w:hAnsi="Aptos Narrow"/>
                <w:color w:val="000000"/>
              </w:rPr>
              <w:t>FLKŘ</w:t>
            </w:r>
          </w:p>
        </w:tc>
        <w:tc>
          <w:tcPr>
            <w:tcW w:w="2381" w:type="dxa"/>
            <w:tcBorders>
              <w:top w:val="nil"/>
              <w:left w:val="nil"/>
              <w:bottom w:val="single" w:sz="4" w:space="0" w:color="auto"/>
              <w:right w:val="single" w:sz="4" w:space="0" w:color="auto"/>
            </w:tcBorders>
            <w:noWrap/>
            <w:vAlign w:val="center"/>
            <w:hideMark/>
          </w:tcPr>
          <w:p w14:paraId="670B092C"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5 183,29</w:t>
            </w:r>
          </w:p>
        </w:tc>
        <w:tc>
          <w:tcPr>
            <w:tcW w:w="2381" w:type="dxa"/>
            <w:tcBorders>
              <w:top w:val="nil"/>
              <w:left w:val="nil"/>
              <w:bottom w:val="single" w:sz="4" w:space="0" w:color="auto"/>
              <w:right w:val="single" w:sz="4" w:space="0" w:color="auto"/>
            </w:tcBorders>
            <w:noWrap/>
            <w:vAlign w:val="center"/>
            <w:hideMark/>
          </w:tcPr>
          <w:p w14:paraId="2D6BD03A"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437,61</w:t>
            </w:r>
          </w:p>
        </w:tc>
        <w:tc>
          <w:tcPr>
            <w:tcW w:w="2268" w:type="dxa"/>
            <w:tcBorders>
              <w:top w:val="nil"/>
              <w:left w:val="nil"/>
              <w:bottom w:val="single" w:sz="4" w:space="0" w:color="auto"/>
              <w:right w:val="single" w:sz="4" w:space="0" w:color="auto"/>
            </w:tcBorders>
            <w:noWrap/>
            <w:vAlign w:val="center"/>
            <w:hideMark/>
          </w:tcPr>
          <w:p w14:paraId="1C20027C"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5 620,91</w:t>
            </w:r>
          </w:p>
        </w:tc>
      </w:tr>
      <w:tr w:rsidR="007B2B87" w:rsidRPr="007B2B87" w14:paraId="6B7346A5"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5213DA75" w14:textId="77777777" w:rsidR="007B2B87" w:rsidRPr="007B2B87" w:rsidRDefault="007B2B87" w:rsidP="007B2B87">
            <w:pPr>
              <w:rPr>
                <w:rFonts w:ascii="Aptos Narrow" w:hAnsi="Aptos Narrow"/>
                <w:color w:val="000000"/>
              </w:rPr>
            </w:pPr>
            <w:r w:rsidRPr="007B2B87">
              <w:rPr>
                <w:rFonts w:ascii="Aptos Narrow" w:hAnsi="Aptos Narrow"/>
                <w:color w:val="000000"/>
              </w:rPr>
              <w:lastRenderedPageBreak/>
              <w:t>FAI</w:t>
            </w:r>
          </w:p>
        </w:tc>
        <w:tc>
          <w:tcPr>
            <w:tcW w:w="2381" w:type="dxa"/>
            <w:tcBorders>
              <w:top w:val="nil"/>
              <w:left w:val="nil"/>
              <w:bottom w:val="single" w:sz="4" w:space="0" w:color="auto"/>
              <w:right w:val="single" w:sz="4" w:space="0" w:color="auto"/>
            </w:tcBorders>
            <w:noWrap/>
            <w:vAlign w:val="center"/>
            <w:hideMark/>
          </w:tcPr>
          <w:p w14:paraId="5EB0A80C"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23 697,67</w:t>
            </w:r>
          </w:p>
        </w:tc>
        <w:tc>
          <w:tcPr>
            <w:tcW w:w="2381" w:type="dxa"/>
            <w:tcBorders>
              <w:top w:val="nil"/>
              <w:left w:val="nil"/>
              <w:bottom w:val="single" w:sz="4" w:space="0" w:color="auto"/>
              <w:right w:val="single" w:sz="4" w:space="0" w:color="auto"/>
            </w:tcBorders>
            <w:noWrap/>
            <w:vAlign w:val="center"/>
            <w:hideMark/>
          </w:tcPr>
          <w:p w14:paraId="3A2BC3A1"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3 195,52</w:t>
            </w:r>
          </w:p>
        </w:tc>
        <w:tc>
          <w:tcPr>
            <w:tcW w:w="2268" w:type="dxa"/>
            <w:tcBorders>
              <w:top w:val="nil"/>
              <w:left w:val="nil"/>
              <w:bottom w:val="single" w:sz="4" w:space="0" w:color="auto"/>
              <w:right w:val="single" w:sz="4" w:space="0" w:color="auto"/>
            </w:tcBorders>
            <w:noWrap/>
            <w:vAlign w:val="center"/>
            <w:hideMark/>
          </w:tcPr>
          <w:p w14:paraId="3BFCC736"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26 893,19</w:t>
            </w:r>
          </w:p>
        </w:tc>
      </w:tr>
      <w:tr w:rsidR="007B2B87" w:rsidRPr="007B2B87" w14:paraId="3A4A6499"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406A1496" w14:textId="77777777" w:rsidR="007B2B87" w:rsidRPr="007B2B87" w:rsidRDefault="007B2B87" w:rsidP="007B2B87">
            <w:pPr>
              <w:rPr>
                <w:rFonts w:ascii="Aptos Narrow" w:hAnsi="Aptos Narrow"/>
                <w:color w:val="000000"/>
              </w:rPr>
            </w:pPr>
            <w:r w:rsidRPr="007B2B87">
              <w:rPr>
                <w:rFonts w:ascii="Aptos Narrow" w:hAnsi="Aptos Narrow"/>
                <w:color w:val="000000"/>
              </w:rPr>
              <w:t>FMK</w:t>
            </w:r>
          </w:p>
        </w:tc>
        <w:tc>
          <w:tcPr>
            <w:tcW w:w="2381" w:type="dxa"/>
            <w:tcBorders>
              <w:top w:val="nil"/>
              <w:left w:val="nil"/>
              <w:bottom w:val="single" w:sz="4" w:space="0" w:color="auto"/>
              <w:right w:val="single" w:sz="4" w:space="0" w:color="auto"/>
            </w:tcBorders>
            <w:noWrap/>
            <w:vAlign w:val="center"/>
            <w:hideMark/>
          </w:tcPr>
          <w:p w14:paraId="40A4A6DE"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6 974,34</w:t>
            </w:r>
          </w:p>
        </w:tc>
        <w:tc>
          <w:tcPr>
            <w:tcW w:w="2381" w:type="dxa"/>
            <w:tcBorders>
              <w:top w:val="nil"/>
              <w:left w:val="nil"/>
              <w:bottom w:val="single" w:sz="4" w:space="0" w:color="auto"/>
              <w:right w:val="single" w:sz="4" w:space="0" w:color="auto"/>
            </w:tcBorders>
            <w:noWrap/>
            <w:vAlign w:val="center"/>
            <w:hideMark/>
          </w:tcPr>
          <w:p w14:paraId="07A26D77"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222,08</w:t>
            </w:r>
          </w:p>
        </w:tc>
        <w:tc>
          <w:tcPr>
            <w:tcW w:w="2268" w:type="dxa"/>
            <w:tcBorders>
              <w:top w:val="nil"/>
              <w:left w:val="nil"/>
              <w:bottom w:val="single" w:sz="4" w:space="0" w:color="auto"/>
              <w:right w:val="single" w:sz="4" w:space="0" w:color="auto"/>
            </w:tcBorders>
            <w:noWrap/>
            <w:vAlign w:val="center"/>
            <w:hideMark/>
          </w:tcPr>
          <w:p w14:paraId="7D4E2766"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7 196,42</w:t>
            </w:r>
          </w:p>
        </w:tc>
      </w:tr>
      <w:tr w:rsidR="007B2B87" w:rsidRPr="007B2B87" w14:paraId="2D096EA9"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530214AD" w14:textId="77777777" w:rsidR="007B2B87" w:rsidRPr="007B2B87" w:rsidRDefault="007B2B87" w:rsidP="007B2B87">
            <w:pPr>
              <w:rPr>
                <w:rFonts w:ascii="Aptos Narrow" w:hAnsi="Aptos Narrow"/>
                <w:color w:val="000000"/>
              </w:rPr>
            </w:pPr>
            <w:r w:rsidRPr="007B2B87">
              <w:rPr>
                <w:rFonts w:ascii="Aptos Narrow" w:hAnsi="Aptos Narrow"/>
                <w:color w:val="000000"/>
              </w:rPr>
              <w:t>FaME</w:t>
            </w:r>
          </w:p>
        </w:tc>
        <w:tc>
          <w:tcPr>
            <w:tcW w:w="2381" w:type="dxa"/>
            <w:tcBorders>
              <w:top w:val="nil"/>
              <w:left w:val="nil"/>
              <w:bottom w:val="single" w:sz="4" w:space="0" w:color="auto"/>
              <w:right w:val="single" w:sz="4" w:space="0" w:color="auto"/>
            </w:tcBorders>
            <w:noWrap/>
            <w:vAlign w:val="center"/>
            <w:hideMark/>
          </w:tcPr>
          <w:p w14:paraId="11E01B8C"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18 569,74</w:t>
            </w:r>
          </w:p>
        </w:tc>
        <w:tc>
          <w:tcPr>
            <w:tcW w:w="2381" w:type="dxa"/>
            <w:tcBorders>
              <w:top w:val="nil"/>
              <w:left w:val="nil"/>
              <w:bottom w:val="single" w:sz="4" w:space="0" w:color="auto"/>
              <w:right w:val="single" w:sz="4" w:space="0" w:color="auto"/>
            </w:tcBorders>
            <w:noWrap/>
            <w:vAlign w:val="center"/>
            <w:hideMark/>
          </w:tcPr>
          <w:p w14:paraId="5D8D9682"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3 580,16</w:t>
            </w:r>
          </w:p>
        </w:tc>
        <w:tc>
          <w:tcPr>
            <w:tcW w:w="2268" w:type="dxa"/>
            <w:tcBorders>
              <w:top w:val="nil"/>
              <w:left w:val="nil"/>
              <w:bottom w:val="single" w:sz="4" w:space="0" w:color="auto"/>
              <w:right w:val="single" w:sz="4" w:space="0" w:color="auto"/>
            </w:tcBorders>
            <w:noWrap/>
            <w:vAlign w:val="center"/>
            <w:hideMark/>
          </w:tcPr>
          <w:p w14:paraId="1BD3F277"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22 149,91</w:t>
            </w:r>
          </w:p>
        </w:tc>
      </w:tr>
      <w:tr w:rsidR="007B2B87" w:rsidRPr="007B2B87" w14:paraId="25CBF5B3"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5DE72268" w14:textId="77777777" w:rsidR="007B2B87" w:rsidRPr="007B2B87" w:rsidRDefault="007B2B87" w:rsidP="007B2B87">
            <w:pPr>
              <w:rPr>
                <w:rFonts w:ascii="Aptos Narrow" w:hAnsi="Aptos Narrow"/>
                <w:color w:val="000000"/>
              </w:rPr>
            </w:pPr>
            <w:r w:rsidRPr="007B2B87">
              <w:rPr>
                <w:rFonts w:ascii="Aptos Narrow" w:hAnsi="Aptos Narrow"/>
                <w:color w:val="000000"/>
              </w:rPr>
              <w:t>FHS</w:t>
            </w:r>
          </w:p>
        </w:tc>
        <w:tc>
          <w:tcPr>
            <w:tcW w:w="2381" w:type="dxa"/>
            <w:tcBorders>
              <w:top w:val="nil"/>
              <w:left w:val="nil"/>
              <w:bottom w:val="single" w:sz="4" w:space="0" w:color="auto"/>
              <w:right w:val="single" w:sz="4" w:space="0" w:color="auto"/>
            </w:tcBorders>
            <w:noWrap/>
            <w:vAlign w:val="center"/>
            <w:hideMark/>
          </w:tcPr>
          <w:p w14:paraId="071FE7E5"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12 151,93</w:t>
            </w:r>
          </w:p>
        </w:tc>
        <w:tc>
          <w:tcPr>
            <w:tcW w:w="2381" w:type="dxa"/>
            <w:tcBorders>
              <w:top w:val="nil"/>
              <w:left w:val="nil"/>
              <w:bottom w:val="single" w:sz="4" w:space="0" w:color="auto"/>
              <w:right w:val="single" w:sz="4" w:space="0" w:color="auto"/>
            </w:tcBorders>
            <w:noWrap/>
            <w:vAlign w:val="center"/>
            <w:hideMark/>
          </w:tcPr>
          <w:p w14:paraId="6E0FF62F"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1 043,25</w:t>
            </w:r>
          </w:p>
        </w:tc>
        <w:tc>
          <w:tcPr>
            <w:tcW w:w="2268" w:type="dxa"/>
            <w:tcBorders>
              <w:top w:val="nil"/>
              <w:left w:val="nil"/>
              <w:bottom w:val="single" w:sz="4" w:space="0" w:color="auto"/>
              <w:right w:val="single" w:sz="4" w:space="0" w:color="auto"/>
            </w:tcBorders>
            <w:noWrap/>
            <w:vAlign w:val="center"/>
            <w:hideMark/>
          </w:tcPr>
          <w:p w14:paraId="7564598A"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13 195,18</w:t>
            </w:r>
          </w:p>
        </w:tc>
      </w:tr>
      <w:tr w:rsidR="007B2B87" w:rsidRPr="007B2B87" w14:paraId="560F7A05"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1C9DA387" w14:textId="77777777" w:rsidR="007B2B87" w:rsidRPr="007B2B87" w:rsidRDefault="007B2B87" w:rsidP="007B2B87">
            <w:pPr>
              <w:rPr>
                <w:rFonts w:ascii="Aptos Narrow" w:hAnsi="Aptos Narrow"/>
                <w:color w:val="000000"/>
              </w:rPr>
            </w:pPr>
            <w:r w:rsidRPr="007B2B87">
              <w:rPr>
                <w:rFonts w:ascii="Aptos Narrow" w:hAnsi="Aptos Narrow"/>
                <w:color w:val="000000"/>
              </w:rPr>
              <w:t>UNI</w:t>
            </w:r>
          </w:p>
        </w:tc>
        <w:tc>
          <w:tcPr>
            <w:tcW w:w="2381" w:type="dxa"/>
            <w:tcBorders>
              <w:top w:val="nil"/>
              <w:left w:val="nil"/>
              <w:bottom w:val="single" w:sz="4" w:space="0" w:color="auto"/>
              <w:right w:val="single" w:sz="4" w:space="0" w:color="auto"/>
            </w:tcBorders>
            <w:noWrap/>
            <w:vAlign w:val="center"/>
            <w:hideMark/>
          </w:tcPr>
          <w:p w14:paraId="6697412A"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45 062,27</w:t>
            </w:r>
          </w:p>
        </w:tc>
        <w:tc>
          <w:tcPr>
            <w:tcW w:w="2381" w:type="dxa"/>
            <w:tcBorders>
              <w:top w:val="nil"/>
              <w:left w:val="nil"/>
              <w:bottom w:val="single" w:sz="4" w:space="0" w:color="auto"/>
              <w:right w:val="single" w:sz="4" w:space="0" w:color="auto"/>
            </w:tcBorders>
            <w:noWrap/>
            <w:vAlign w:val="center"/>
            <w:hideMark/>
          </w:tcPr>
          <w:p w14:paraId="53ABE144"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10 972,05</w:t>
            </w:r>
          </w:p>
        </w:tc>
        <w:tc>
          <w:tcPr>
            <w:tcW w:w="2268" w:type="dxa"/>
            <w:tcBorders>
              <w:top w:val="nil"/>
              <w:left w:val="nil"/>
              <w:bottom w:val="single" w:sz="4" w:space="0" w:color="auto"/>
              <w:right w:val="single" w:sz="4" w:space="0" w:color="auto"/>
            </w:tcBorders>
            <w:noWrap/>
            <w:vAlign w:val="center"/>
            <w:hideMark/>
          </w:tcPr>
          <w:p w14:paraId="03EDD4F5"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56 034,32</w:t>
            </w:r>
          </w:p>
        </w:tc>
      </w:tr>
      <w:tr w:rsidR="007B2B87" w:rsidRPr="007B2B87" w14:paraId="5DBD32FB"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4ED0A710" w14:textId="77777777" w:rsidR="007B2B87" w:rsidRPr="007B2B87" w:rsidRDefault="007B2B87" w:rsidP="007B2B87">
            <w:pPr>
              <w:rPr>
                <w:rFonts w:ascii="Aptos Narrow" w:hAnsi="Aptos Narrow"/>
                <w:color w:val="000000"/>
              </w:rPr>
            </w:pPr>
            <w:r w:rsidRPr="007B2B87">
              <w:rPr>
                <w:rFonts w:ascii="Aptos Narrow" w:hAnsi="Aptos Narrow"/>
                <w:color w:val="000000"/>
              </w:rPr>
              <w:t>Knihovna</w:t>
            </w:r>
          </w:p>
        </w:tc>
        <w:tc>
          <w:tcPr>
            <w:tcW w:w="2381" w:type="dxa"/>
            <w:tcBorders>
              <w:top w:val="nil"/>
              <w:left w:val="nil"/>
              <w:bottom w:val="single" w:sz="4" w:space="0" w:color="auto"/>
              <w:right w:val="single" w:sz="4" w:space="0" w:color="auto"/>
            </w:tcBorders>
            <w:noWrap/>
            <w:vAlign w:val="center"/>
            <w:hideMark/>
          </w:tcPr>
          <w:p w14:paraId="35A5E87B"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641,94</w:t>
            </w:r>
          </w:p>
        </w:tc>
        <w:tc>
          <w:tcPr>
            <w:tcW w:w="2381" w:type="dxa"/>
            <w:tcBorders>
              <w:top w:val="nil"/>
              <w:left w:val="nil"/>
              <w:bottom w:val="single" w:sz="4" w:space="0" w:color="auto"/>
              <w:right w:val="single" w:sz="4" w:space="0" w:color="auto"/>
            </w:tcBorders>
            <w:noWrap/>
            <w:vAlign w:val="center"/>
            <w:hideMark/>
          </w:tcPr>
          <w:p w14:paraId="38D47E17"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23,67</w:t>
            </w:r>
          </w:p>
        </w:tc>
        <w:tc>
          <w:tcPr>
            <w:tcW w:w="2268" w:type="dxa"/>
            <w:tcBorders>
              <w:top w:val="nil"/>
              <w:left w:val="nil"/>
              <w:bottom w:val="single" w:sz="4" w:space="0" w:color="auto"/>
              <w:right w:val="single" w:sz="4" w:space="0" w:color="auto"/>
            </w:tcBorders>
            <w:noWrap/>
            <w:vAlign w:val="center"/>
            <w:hideMark/>
          </w:tcPr>
          <w:p w14:paraId="4AF6162A"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665,62</w:t>
            </w:r>
          </w:p>
        </w:tc>
      </w:tr>
      <w:tr w:rsidR="007B2B87" w:rsidRPr="007B2B87" w14:paraId="33E93751"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3E59AC56" w14:textId="77777777" w:rsidR="007B2B87" w:rsidRPr="007B2B87" w:rsidRDefault="007B2B87" w:rsidP="007B2B87">
            <w:pPr>
              <w:rPr>
                <w:rFonts w:ascii="Aptos Narrow" w:hAnsi="Aptos Narrow"/>
                <w:color w:val="000000"/>
              </w:rPr>
            </w:pPr>
            <w:r w:rsidRPr="007B2B87">
              <w:rPr>
                <w:rFonts w:ascii="Aptos Narrow" w:hAnsi="Aptos Narrow"/>
                <w:color w:val="000000"/>
              </w:rPr>
              <w:t>KMZ</w:t>
            </w:r>
          </w:p>
        </w:tc>
        <w:tc>
          <w:tcPr>
            <w:tcW w:w="2381" w:type="dxa"/>
            <w:tcBorders>
              <w:top w:val="nil"/>
              <w:left w:val="nil"/>
              <w:bottom w:val="single" w:sz="4" w:space="0" w:color="auto"/>
              <w:right w:val="single" w:sz="4" w:space="0" w:color="auto"/>
            </w:tcBorders>
            <w:noWrap/>
            <w:vAlign w:val="center"/>
            <w:hideMark/>
          </w:tcPr>
          <w:p w14:paraId="11354154"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0,00</w:t>
            </w:r>
          </w:p>
        </w:tc>
        <w:tc>
          <w:tcPr>
            <w:tcW w:w="2381" w:type="dxa"/>
            <w:tcBorders>
              <w:top w:val="nil"/>
              <w:left w:val="nil"/>
              <w:bottom w:val="single" w:sz="4" w:space="0" w:color="auto"/>
              <w:right w:val="single" w:sz="4" w:space="0" w:color="auto"/>
            </w:tcBorders>
            <w:noWrap/>
            <w:vAlign w:val="center"/>
            <w:hideMark/>
          </w:tcPr>
          <w:p w14:paraId="4317DE13"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0,00</w:t>
            </w:r>
          </w:p>
        </w:tc>
        <w:tc>
          <w:tcPr>
            <w:tcW w:w="2268" w:type="dxa"/>
            <w:tcBorders>
              <w:top w:val="nil"/>
              <w:left w:val="nil"/>
              <w:bottom w:val="single" w:sz="4" w:space="0" w:color="auto"/>
              <w:right w:val="single" w:sz="4" w:space="0" w:color="auto"/>
            </w:tcBorders>
            <w:noWrap/>
            <w:vAlign w:val="center"/>
            <w:hideMark/>
          </w:tcPr>
          <w:p w14:paraId="05AF5F57" w14:textId="77777777" w:rsidR="007B2B87" w:rsidRPr="007B2B87" w:rsidRDefault="007B2B87" w:rsidP="007B2B87">
            <w:pPr>
              <w:jc w:val="right"/>
              <w:rPr>
                <w:rFonts w:ascii="Aptos Narrow" w:hAnsi="Aptos Narrow"/>
                <w:color w:val="000000"/>
              </w:rPr>
            </w:pPr>
            <w:r w:rsidRPr="007B2B87">
              <w:rPr>
                <w:rFonts w:ascii="Aptos Narrow" w:hAnsi="Aptos Narrow"/>
                <w:color w:val="000000"/>
              </w:rPr>
              <w:t>0,00</w:t>
            </w:r>
          </w:p>
        </w:tc>
      </w:tr>
      <w:tr w:rsidR="007B2B87" w:rsidRPr="007B2B87" w14:paraId="03E52065" w14:textId="77777777" w:rsidTr="007B2B87">
        <w:trPr>
          <w:trHeight w:val="320"/>
        </w:trPr>
        <w:tc>
          <w:tcPr>
            <w:tcW w:w="2041" w:type="dxa"/>
            <w:tcBorders>
              <w:top w:val="nil"/>
              <w:left w:val="single" w:sz="4" w:space="0" w:color="auto"/>
              <w:bottom w:val="single" w:sz="4" w:space="0" w:color="auto"/>
              <w:right w:val="single" w:sz="4" w:space="0" w:color="auto"/>
            </w:tcBorders>
            <w:noWrap/>
            <w:vAlign w:val="center"/>
            <w:hideMark/>
          </w:tcPr>
          <w:p w14:paraId="14FBE66F" w14:textId="77777777" w:rsidR="007B2B87" w:rsidRPr="007B2B87" w:rsidRDefault="007B2B87" w:rsidP="007B2B87">
            <w:pPr>
              <w:rPr>
                <w:rFonts w:ascii="Aptos Narrow" w:hAnsi="Aptos Narrow"/>
                <w:b/>
                <w:bCs/>
                <w:color w:val="000000"/>
              </w:rPr>
            </w:pPr>
            <w:r w:rsidRPr="007B2B87">
              <w:rPr>
                <w:rFonts w:ascii="Aptos Narrow" w:hAnsi="Aptos Narrow"/>
                <w:b/>
                <w:bCs/>
                <w:color w:val="000000"/>
              </w:rPr>
              <w:t>Celkem</w:t>
            </w:r>
          </w:p>
        </w:tc>
        <w:tc>
          <w:tcPr>
            <w:tcW w:w="2381" w:type="dxa"/>
            <w:tcBorders>
              <w:top w:val="nil"/>
              <w:left w:val="nil"/>
              <w:bottom w:val="single" w:sz="4" w:space="0" w:color="auto"/>
              <w:right w:val="single" w:sz="4" w:space="0" w:color="auto"/>
            </w:tcBorders>
            <w:noWrap/>
            <w:vAlign w:val="center"/>
            <w:hideMark/>
          </w:tcPr>
          <w:p w14:paraId="1EC3F928" w14:textId="77777777" w:rsidR="007B2B87" w:rsidRPr="007B2B87" w:rsidRDefault="007B2B87" w:rsidP="007B2B87">
            <w:pPr>
              <w:jc w:val="right"/>
              <w:rPr>
                <w:rFonts w:ascii="Aptos Narrow" w:hAnsi="Aptos Narrow"/>
                <w:b/>
                <w:bCs/>
                <w:color w:val="000000"/>
              </w:rPr>
            </w:pPr>
            <w:r w:rsidRPr="007B2B87">
              <w:rPr>
                <w:rFonts w:ascii="Aptos Narrow" w:hAnsi="Aptos Narrow"/>
                <w:b/>
                <w:bCs/>
                <w:color w:val="000000"/>
              </w:rPr>
              <w:t>142 492</w:t>
            </w:r>
          </w:p>
        </w:tc>
        <w:tc>
          <w:tcPr>
            <w:tcW w:w="2381" w:type="dxa"/>
            <w:tcBorders>
              <w:top w:val="nil"/>
              <w:left w:val="nil"/>
              <w:bottom w:val="single" w:sz="4" w:space="0" w:color="auto"/>
              <w:right w:val="single" w:sz="4" w:space="0" w:color="auto"/>
            </w:tcBorders>
            <w:noWrap/>
            <w:vAlign w:val="center"/>
            <w:hideMark/>
          </w:tcPr>
          <w:p w14:paraId="5F3A3C49" w14:textId="77777777" w:rsidR="007B2B87" w:rsidRPr="007B2B87" w:rsidRDefault="007B2B87" w:rsidP="007B2B87">
            <w:pPr>
              <w:jc w:val="right"/>
              <w:rPr>
                <w:rFonts w:ascii="Aptos Narrow" w:hAnsi="Aptos Narrow"/>
                <w:b/>
                <w:bCs/>
                <w:color w:val="000000"/>
              </w:rPr>
            </w:pPr>
            <w:r w:rsidRPr="007B2B87">
              <w:rPr>
                <w:rFonts w:ascii="Aptos Narrow" w:hAnsi="Aptos Narrow"/>
                <w:b/>
                <w:bCs/>
                <w:color w:val="000000"/>
              </w:rPr>
              <w:t>24 942</w:t>
            </w:r>
          </w:p>
        </w:tc>
        <w:tc>
          <w:tcPr>
            <w:tcW w:w="2268" w:type="dxa"/>
            <w:tcBorders>
              <w:top w:val="nil"/>
              <w:left w:val="nil"/>
              <w:bottom w:val="single" w:sz="4" w:space="0" w:color="auto"/>
              <w:right w:val="single" w:sz="4" w:space="0" w:color="auto"/>
            </w:tcBorders>
            <w:noWrap/>
            <w:vAlign w:val="center"/>
            <w:hideMark/>
          </w:tcPr>
          <w:p w14:paraId="5827A4AB" w14:textId="77777777" w:rsidR="007B2B87" w:rsidRPr="007B2B87" w:rsidRDefault="007B2B87" w:rsidP="007B2B87">
            <w:pPr>
              <w:jc w:val="right"/>
              <w:rPr>
                <w:rFonts w:ascii="Aptos Narrow" w:hAnsi="Aptos Narrow"/>
                <w:b/>
                <w:bCs/>
                <w:color w:val="000000"/>
              </w:rPr>
            </w:pPr>
            <w:r w:rsidRPr="007B2B87">
              <w:rPr>
                <w:rFonts w:ascii="Aptos Narrow" w:hAnsi="Aptos Narrow"/>
                <w:b/>
                <w:bCs/>
                <w:color w:val="000000"/>
              </w:rPr>
              <w:t>167 434</w:t>
            </w:r>
          </w:p>
        </w:tc>
      </w:tr>
    </w:tbl>
    <w:p w14:paraId="7BC36936" w14:textId="77777777" w:rsidR="00856D8E" w:rsidRDefault="00856D8E" w:rsidP="00AE46FC">
      <w:pPr>
        <w:pStyle w:val="RozpocetOdstavec"/>
      </w:pPr>
    </w:p>
    <w:p w14:paraId="12A82884" w14:textId="77777777" w:rsidR="00054859" w:rsidRDefault="00054859" w:rsidP="00054859">
      <w:pPr>
        <w:pStyle w:val="RozpocetNadpis2"/>
      </w:pPr>
      <w:bookmarkStart w:id="46" w:name="_Toc228824350"/>
      <w:r>
        <w:t>Rozdělení účelové podpory na SVV</w:t>
      </w:r>
      <w:bookmarkEnd w:id="46"/>
    </w:p>
    <w:p w14:paraId="69BFECDA" w14:textId="77777777" w:rsidR="00DF7147" w:rsidRPr="000A20AA" w:rsidRDefault="00DF7147" w:rsidP="00DF7147">
      <w:pPr>
        <w:pStyle w:val="RozpocetOdstavec"/>
      </w:pPr>
      <w:r w:rsidRPr="000A20AA">
        <w:t>Účelová podpora na specifický vysokoškolský výzkum bude mezi součásti rozdělena v celé výši podle indikátoru SVV.</w:t>
      </w:r>
    </w:p>
    <w:p w14:paraId="741CD460" w14:textId="77777777" w:rsidR="007B2B87" w:rsidRDefault="007B2B87" w:rsidP="00DF7147">
      <w:pPr>
        <w:pStyle w:val="RozpocetOdstavec"/>
        <w:rPr>
          <w:color w:val="00B050"/>
        </w:rPr>
      </w:pPr>
    </w:p>
    <w:tbl>
      <w:tblPr>
        <w:tblW w:w="9070" w:type="dxa"/>
        <w:tblLook w:val="04A0" w:firstRow="1" w:lastRow="0" w:firstColumn="1" w:lastColumn="0" w:noHBand="0" w:noVBand="1"/>
      </w:tblPr>
      <w:tblGrid>
        <w:gridCol w:w="4535"/>
        <w:gridCol w:w="4535"/>
      </w:tblGrid>
      <w:tr w:rsidR="007B2B87" w:rsidRPr="007B2B87" w14:paraId="2848ADC1" w14:textId="77777777" w:rsidTr="007B2B87">
        <w:trPr>
          <w:trHeight w:val="340"/>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291D9D" w14:textId="690000F0" w:rsidR="007B2B87" w:rsidRPr="007B2B87" w:rsidRDefault="007B2B87" w:rsidP="007B2B87">
            <w:pPr>
              <w:jc w:val="center"/>
              <w:rPr>
                <w:rFonts w:ascii="Aptos Narrow" w:hAnsi="Aptos Narrow"/>
                <w:b/>
                <w:bCs/>
                <w:color w:val="000000"/>
              </w:rPr>
            </w:pPr>
            <w:r>
              <w:rPr>
                <w:rFonts w:ascii="Aptos Narrow" w:hAnsi="Aptos Narrow"/>
                <w:b/>
                <w:bCs/>
                <w:color w:val="000000"/>
              </w:rPr>
              <w:t>Součást</w:t>
            </w:r>
          </w:p>
        </w:tc>
        <w:tc>
          <w:tcPr>
            <w:tcW w:w="45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61C17E" w14:textId="77777777" w:rsidR="007B2B87" w:rsidRPr="007B2B87" w:rsidRDefault="007B2B87" w:rsidP="007B2B87">
            <w:pPr>
              <w:jc w:val="center"/>
              <w:rPr>
                <w:rFonts w:ascii="Aptos Narrow" w:hAnsi="Aptos Narrow"/>
                <w:b/>
                <w:bCs/>
                <w:color w:val="000000"/>
              </w:rPr>
            </w:pPr>
            <w:r w:rsidRPr="007B2B87">
              <w:rPr>
                <w:rFonts w:ascii="Aptos Narrow" w:hAnsi="Aptos Narrow"/>
                <w:b/>
                <w:bCs/>
                <w:color w:val="000000"/>
              </w:rPr>
              <w:t>SVV v tis. Kč</w:t>
            </w:r>
          </w:p>
        </w:tc>
      </w:tr>
      <w:tr w:rsidR="007B2B87" w:rsidRPr="007B2B87" w14:paraId="0FB7EAB0" w14:textId="77777777" w:rsidTr="007D68AF">
        <w:trPr>
          <w:trHeight w:val="340"/>
        </w:trPr>
        <w:tc>
          <w:tcPr>
            <w:tcW w:w="4535" w:type="dxa"/>
            <w:tcBorders>
              <w:top w:val="nil"/>
              <w:left w:val="single" w:sz="4" w:space="0" w:color="auto"/>
              <w:bottom w:val="single" w:sz="4" w:space="0" w:color="auto"/>
              <w:right w:val="single" w:sz="4" w:space="0" w:color="auto"/>
            </w:tcBorders>
            <w:vAlign w:val="center"/>
            <w:hideMark/>
          </w:tcPr>
          <w:p w14:paraId="073E9AAF" w14:textId="77777777" w:rsidR="007B2B87" w:rsidRPr="007B2B87" w:rsidRDefault="007B2B87" w:rsidP="007B2B87">
            <w:pPr>
              <w:rPr>
                <w:rFonts w:ascii="Aptos Narrow" w:hAnsi="Aptos Narrow"/>
                <w:color w:val="000000"/>
              </w:rPr>
            </w:pPr>
            <w:r w:rsidRPr="007B2B87">
              <w:rPr>
                <w:rFonts w:ascii="Aptos Narrow" w:hAnsi="Aptos Narrow"/>
                <w:color w:val="000000"/>
              </w:rPr>
              <w:t>FT</w:t>
            </w:r>
          </w:p>
        </w:tc>
        <w:tc>
          <w:tcPr>
            <w:tcW w:w="4535" w:type="dxa"/>
            <w:tcBorders>
              <w:top w:val="nil"/>
              <w:left w:val="nil"/>
              <w:bottom w:val="single" w:sz="4" w:space="0" w:color="auto"/>
              <w:right w:val="single" w:sz="4" w:space="0" w:color="auto"/>
            </w:tcBorders>
            <w:noWrap/>
            <w:vAlign w:val="bottom"/>
            <w:hideMark/>
          </w:tcPr>
          <w:p w14:paraId="07C0EFB0" w14:textId="2A35F381" w:rsidR="007B2B87" w:rsidRPr="007B2B87" w:rsidRDefault="007B2B87" w:rsidP="007B2B87">
            <w:pPr>
              <w:jc w:val="right"/>
              <w:rPr>
                <w:rFonts w:ascii="Aptos Narrow" w:hAnsi="Aptos Narrow"/>
                <w:color w:val="000000"/>
              </w:rPr>
            </w:pPr>
            <w:r>
              <w:rPr>
                <w:rFonts w:ascii="Aptos Narrow" w:hAnsi="Aptos Narrow"/>
                <w:color w:val="000000"/>
              </w:rPr>
              <w:t>5 185,61</w:t>
            </w:r>
          </w:p>
        </w:tc>
      </w:tr>
      <w:tr w:rsidR="007B2B87" w:rsidRPr="007B2B87" w14:paraId="6E23673A" w14:textId="77777777" w:rsidTr="007D68AF">
        <w:trPr>
          <w:trHeight w:val="340"/>
        </w:trPr>
        <w:tc>
          <w:tcPr>
            <w:tcW w:w="4535" w:type="dxa"/>
            <w:tcBorders>
              <w:top w:val="nil"/>
              <w:left w:val="single" w:sz="4" w:space="0" w:color="auto"/>
              <w:bottom w:val="single" w:sz="4" w:space="0" w:color="auto"/>
              <w:right w:val="single" w:sz="4" w:space="0" w:color="auto"/>
            </w:tcBorders>
            <w:vAlign w:val="center"/>
            <w:hideMark/>
          </w:tcPr>
          <w:p w14:paraId="1DB31ACF" w14:textId="77777777" w:rsidR="007B2B87" w:rsidRPr="007B2B87" w:rsidRDefault="007B2B87" w:rsidP="007B2B87">
            <w:pPr>
              <w:rPr>
                <w:rFonts w:ascii="Aptos Narrow" w:hAnsi="Aptos Narrow"/>
                <w:color w:val="000000"/>
              </w:rPr>
            </w:pPr>
            <w:r w:rsidRPr="007B2B87">
              <w:rPr>
                <w:rFonts w:ascii="Aptos Narrow" w:hAnsi="Aptos Narrow"/>
                <w:color w:val="000000"/>
              </w:rPr>
              <w:t>FLKŘ</w:t>
            </w:r>
          </w:p>
        </w:tc>
        <w:tc>
          <w:tcPr>
            <w:tcW w:w="4535" w:type="dxa"/>
            <w:tcBorders>
              <w:top w:val="nil"/>
              <w:left w:val="nil"/>
              <w:bottom w:val="single" w:sz="4" w:space="0" w:color="auto"/>
              <w:right w:val="single" w:sz="4" w:space="0" w:color="auto"/>
            </w:tcBorders>
            <w:noWrap/>
            <w:vAlign w:val="bottom"/>
            <w:hideMark/>
          </w:tcPr>
          <w:p w14:paraId="7B184BDD" w14:textId="6060846B" w:rsidR="007B2B87" w:rsidRPr="007B2B87" w:rsidRDefault="007B2B87" w:rsidP="007B2B87">
            <w:pPr>
              <w:jc w:val="right"/>
              <w:rPr>
                <w:rFonts w:ascii="Aptos Narrow" w:hAnsi="Aptos Narrow"/>
                <w:color w:val="000000"/>
              </w:rPr>
            </w:pPr>
            <w:r>
              <w:rPr>
                <w:rFonts w:ascii="Aptos Narrow" w:hAnsi="Aptos Narrow"/>
                <w:color w:val="000000"/>
              </w:rPr>
              <w:t>631,72</w:t>
            </w:r>
          </w:p>
        </w:tc>
      </w:tr>
      <w:tr w:rsidR="007B2B87" w:rsidRPr="007B2B87" w14:paraId="22F8BB2A" w14:textId="77777777" w:rsidTr="007D68AF">
        <w:trPr>
          <w:trHeight w:val="340"/>
        </w:trPr>
        <w:tc>
          <w:tcPr>
            <w:tcW w:w="4535" w:type="dxa"/>
            <w:tcBorders>
              <w:top w:val="nil"/>
              <w:left w:val="single" w:sz="4" w:space="0" w:color="auto"/>
              <w:bottom w:val="single" w:sz="4" w:space="0" w:color="auto"/>
              <w:right w:val="single" w:sz="4" w:space="0" w:color="auto"/>
            </w:tcBorders>
            <w:vAlign w:val="center"/>
            <w:hideMark/>
          </w:tcPr>
          <w:p w14:paraId="5F3C0558" w14:textId="77777777" w:rsidR="007B2B87" w:rsidRPr="007B2B87" w:rsidRDefault="007B2B87" w:rsidP="007B2B87">
            <w:pPr>
              <w:rPr>
                <w:rFonts w:ascii="Aptos Narrow" w:hAnsi="Aptos Narrow"/>
                <w:color w:val="000000"/>
              </w:rPr>
            </w:pPr>
            <w:r w:rsidRPr="007B2B87">
              <w:rPr>
                <w:rFonts w:ascii="Aptos Narrow" w:hAnsi="Aptos Narrow"/>
                <w:color w:val="000000"/>
              </w:rPr>
              <w:t>FAI</w:t>
            </w:r>
          </w:p>
        </w:tc>
        <w:tc>
          <w:tcPr>
            <w:tcW w:w="4535" w:type="dxa"/>
            <w:tcBorders>
              <w:top w:val="nil"/>
              <w:left w:val="nil"/>
              <w:bottom w:val="single" w:sz="4" w:space="0" w:color="auto"/>
              <w:right w:val="single" w:sz="4" w:space="0" w:color="auto"/>
            </w:tcBorders>
            <w:noWrap/>
            <w:vAlign w:val="bottom"/>
            <w:hideMark/>
          </w:tcPr>
          <w:p w14:paraId="1CA5E2C1" w14:textId="2C1F5FBB" w:rsidR="007B2B87" w:rsidRPr="007B2B87" w:rsidRDefault="007B2B87" w:rsidP="007B2B87">
            <w:pPr>
              <w:jc w:val="right"/>
              <w:rPr>
                <w:rFonts w:ascii="Aptos Narrow" w:hAnsi="Aptos Narrow"/>
                <w:color w:val="000000"/>
              </w:rPr>
            </w:pPr>
            <w:r>
              <w:rPr>
                <w:rFonts w:ascii="Aptos Narrow" w:hAnsi="Aptos Narrow"/>
                <w:color w:val="000000"/>
              </w:rPr>
              <w:t>4 264,76</w:t>
            </w:r>
          </w:p>
        </w:tc>
      </w:tr>
      <w:tr w:rsidR="007B2B87" w:rsidRPr="007B2B87" w14:paraId="26BE67CF" w14:textId="77777777" w:rsidTr="007D68AF">
        <w:trPr>
          <w:trHeight w:val="340"/>
        </w:trPr>
        <w:tc>
          <w:tcPr>
            <w:tcW w:w="4535" w:type="dxa"/>
            <w:tcBorders>
              <w:top w:val="nil"/>
              <w:left w:val="single" w:sz="4" w:space="0" w:color="auto"/>
              <w:bottom w:val="single" w:sz="4" w:space="0" w:color="auto"/>
              <w:right w:val="single" w:sz="4" w:space="0" w:color="auto"/>
            </w:tcBorders>
            <w:vAlign w:val="center"/>
            <w:hideMark/>
          </w:tcPr>
          <w:p w14:paraId="3B3104D0" w14:textId="77777777" w:rsidR="007B2B87" w:rsidRPr="007B2B87" w:rsidRDefault="007B2B87" w:rsidP="007B2B87">
            <w:pPr>
              <w:rPr>
                <w:rFonts w:ascii="Aptos Narrow" w:hAnsi="Aptos Narrow"/>
                <w:color w:val="000000"/>
              </w:rPr>
            </w:pPr>
            <w:r w:rsidRPr="007B2B87">
              <w:rPr>
                <w:rFonts w:ascii="Aptos Narrow" w:hAnsi="Aptos Narrow"/>
                <w:color w:val="000000"/>
              </w:rPr>
              <w:t>FMK</w:t>
            </w:r>
          </w:p>
        </w:tc>
        <w:tc>
          <w:tcPr>
            <w:tcW w:w="4535" w:type="dxa"/>
            <w:tcBorders>
              <w:top w:val="nil"/>
              <w:left w:val="nil"/>
              <w:bottom w:val="single" w:sz="4" w:space="0" w:color="auto"/>
              <w:right w:val="single" w:sz="4" w:space="0" w:color="auto"/>
            </w:tcBorders>
            <w:noWrap/>
            <w:vAlign w:val="bottom"/>
            <w:hideMark/>
          </w:tcPr>
          <w:p w14:paraId="62926F22" w14:textId="396091E9" w:rsidR="007B2B87" w:rsidRPr="007B2B87" w:rsidRDefault="007B2B87" w:rsidP="007B2B87">
            <w:pPr>
              <w:jc w:val="right"/>
              <w:rPr>
                <w:rFonts w:ascii="Aptos Narrow" w:hAnsi="Aptos Narrow"/>
                <w:color w:val="000000"/>
              </w:rPr>
            </w:pPr>
            <w:r>
              <w:rPr>
                <w:rFonts w:ascii="Aptos Narrow" w:hAnsi="Aptos Narrow"/>
                <w:color w:val="000000"/>
              </w:rPr>
              <w:t>1 406,36</w:t>
            </w:r>
          </w:p>
        </w:tc>
      </w:tr>
      <w:tr w:rsidR="007B2B87" w:rsidRPr="007B2B87" w14:paraId="050E9B50" w14:textId="77777777" w:rsidTr="007D68AF">
        <w:trPr>
          <w:trHeight w:val="340"/>
        </w:trPr>
        <w:tc>
          <w:tcPr>
            <w:tcW w:w="4535" w:type="dxa"/>
            <w:tcBorders>
              <w:top w:val="nil"/>
              <w:left w:val="single" w:sz="4" w:space="0" w:color="auto"/>
              <w:bottom w:val="single" w:sz="4" w:space="0" w:color="auto"/>
              <w:right w:val="single" w:sz="4" w:space="0" w:color="auto"/>
            </w:tcBorders>
            <w:vAlign w:val="center"/>
            <w:hideMark/>
          </w:tcPr>
          <w:p w14:paraId="71A13EB9" w14:textId="77777777" w:rsidR="007B2B87" w:rsidRPr="007B2B87" w:rsidRDefault="007B2B87" w:rsidP="007B2B87">
            <w:pPr>
              <w:rPr>
                <w:rFonts w:ascii="Aptos Narrow" w:hAnsi="Aptos Narrow"/>
                <w:color w:val="000000"/>
              </w:rPr>
            </w:pPr>
            <w:r w:rsidRPr="007B2B87">
              <w:rPr>
                <w:rFonts w:ascii="Aptos Narrow" w:hAnsi="Aptos Narrow"/>
                <w:color w:val="000000"/>
              </w:rPr>
              <w:t>FaME</w:t>
            </w:r>
          </w:p>
        </w:tc>
        <w:tc>
          <w:tcPr>
            <w:tcW w:w="4535" w:type="dxa"/>
            <w:tcBorders>
              <w:top w:val="nil"/>
              <w:left w:val="nil"/>
              <w:bottom w:val="single" w:sz="4" w:space="0" w:color="auto"/>
              <w:right w:val="single" w:sz="4" w:space="0" w:color="auto"/>
            </w:tcBorders>
            <w:noWrap/>
            <w:vAlign w:val="bottom"/>
            <w:hideMark/>
          </w:tcPr>
          <w:p w14:paraId="51F026D5" w14:textId="1AF1A264" w:rsidR="007B2B87" w:rsidRPr="007B2B87" w:rsidRDefault="007B2B87" w:rsidP="007B2B87">
            <w:pPr>
              <w:jc w:val="right"/>
              <w:rPr>
                <w:rFonts w:ascii="Aptos Narrow" w:hAnsi="Aptos Narrow"/>
                <w:color w:val="000000"/>
              </w:rPr>
            </w:pPr>
            <w:r>
              <w:rPr>
                <w:rFonts w:ascii="Aptos Narrow" w:hAnsi="Aptos Narrow"/>
                <w:color w:val="000000"/>
              </w:rPr>
              <w:t>2 682,23</w:t>
            </w:r>
          </w:p>
        </w:tc>
      </w:tr>
      <w:tr w:rsidR="007B2B87" w:rsidRPr="007B2B87" w14:paraId="2DD3B198" w14:textId="77777777" w:rsidTr="007D68AF">
        <w:trPr>
          <w:trHeight w:val="340"/>
        </w:trPr>
        <w:tc>
          <w:tcPr>
            <w:tcW w:w="4535" w:type="dxa"/>
            <w:tcBorders>
              <w:top w:val="nil"/>
              <w:left w:val="single" w:sz="4" w:space="0" w:color="auto"/>
              <w:bottom w:val="single" w:sz="4" w:space="0" w:color="auto"/>
              <w:right w:val="single" w:sz="4" w:space="0" w:color="auto"/>
            </w:tcBorders>
            <w:vAlign w:val="center"/>
            <w:hideMark/>
          </w:tcPr>
          <w:p w14:paraId="1C690F0D" w14:textId="77777777" w:rsidR="007B2B87" w:rsidRPr="007B2B87" w:rsidRDefault="007B2B87" w:rsidP="007B2B87">
            <w:pPr>
              <w:rPr>
                <w:rFonts w:ascii="Aptos Narrow" w:hAnsi="Aptos Narrow"/>
                <w:color w:val="000000"/>
              </w:rPr>
            </w:pPr>
            <w:r w:rsidRPr="007B2B87">
              <w:rPr>
                <w:rFonts w:ascii="Aptos Narrow" w:hAnsi="Aptos Narrow"/>
                <w:color w:val="000000"/>
              </w:rPr>
              <w:t>FHS</w:t>
            </w:r>
          </w:p>
        </w:tc>
        <w:tc>
          <w:tcPr>
            <w:tcW w:w="4535" w:type="dxa"/>
            <w:tcBorders>
              <w:top w:val="nil"/>
              <w:left w:val="nil"/>
              <w:bottom w:val="single" w:sz="4" w:space="0" w:color="auto"/>
              <w:right w:val="single" w:sz="4" w:space="0" w:color="auto"/>
            </w:tcBorders>
            <w:noWrap/>
            <w:vAlign w:val="bottom"/>
            <w:hideMark/>
          </w:tcPr>
          <w:p w14:paraId="0573280A" w14:textId="7DF04E30" w:rsidR="007B2B87" w:rsidRPr="007B2B87" w:rsidRDefault="007B2B87" w:rsidP="007B2B87">
            <w:pPr>
              <w:jc w:val="right"/>
              <w:rPr>
                <w:rFonts w:ascii="Aptos Narrow" w:hAnsi="Aptos Narrow"/>
                <w:color w:val="000000"/>
              </w:rPr>
            </w:pPr>
            <w:r>
              <w:rPr>
                <w:rFonts w:ascii="Aptos Narrow" w:hAnsi="Aptos Narrow"/>
                <w:color w:val="000000"/>
              </w:rPr>
              <w:t>1 270,49</w:t>
            </w:r>
          </w:p>
        </w:tc>
      </w:tr>
      <w:tr w:rsidR="007B2B87" w:rsidRPr="007B2B87" w14:paraId="0AB5F966" w14:textId="77777777" w:rsidTr="007D68AF">
        <w:trPr>
          <w:trHeight w:val="340"/>
        </w:trPr>
        <w:tc>
          <w:tcPr>
            <w:tcW w:w="4535" w:type="dxa"/>
            <w:tcBorders>
              <w:top w:val="nil"/>
              <w:left w:val="single" w:sz="4" w:space="0" w:color="auto"/>
              <w:bottom w:val="single" w:sz="4" w:space="0" w:color="auto"/>
              <w:right w:val="single" w:sz="4" w:space="0" w:color="auto"/>
            </w:tcBorders>
            <w:vAlign w:val="center"/>
            <w:hideMark/>
          </w:tcPr>
          <w:p w14:paraId="2D50E345" w14:textId="77777777" w:rsidR="007B2B87" w:rsidRPr="007B2B87" w:rsidRDefault="007B2B87" w:rsidP="007B2B87">
            <w:pPr>
              <w:rPr>
                <w:rFonts w:ascii="Aptos Narrow" w:hAnsi="Aptos Narrow"/>
                <w:color w:val="000000"/>
              </w:rPr>
            </w:pPr>
            <w:r w:rsidRPr="007B2B87">
              <w:rPr>
                <w:rFonts w:ascii="Aptos Narrow" w:hAnsi="Aptos Narrow"/>
                <w:color w:val="000000"/>
              </w:rPr>
              <w:t>UNI</w:t>
            </w:r>
          </w:p>
        </w:tc>
        <w:tc>
          <w:tcPr>
            <w:tcW w:w="4535" w:type="dxa"/>
            <w:tcBorders>
              <w:top w:val="nil"/>
              <w:left w:val="nil"/>
              <w:bottom w:val="single" w:sz="4" w:space="0" w:color="auto"/>
              <w:right w:val="single" w:sz="4" w:space="0" w:color="auto"/>
            </w:tcBorders>
            <w:noWrap/>
            <w:vAlign w:val="bottom"/>
            <w:hideMark/>
          </w:tcPr>
          <w:p w14:paraId="132B99BF" w14:textId="6FED1A56" w:rsidR="007B2B87" w:rsidRPr="007B2B87" w:rsidRDefault="007B2B87" w:rsidP="007B2B87">
            <w:pPr>
              <w:jc w:val="right"/>
              <w:rPr>
                <w:rFonts w:ascii="Aptos Narrow" w:hAnsi="Aptos Narrow"/>
                <w:color w:val="000000"/>
              </w:rPr>
            </w:pPr>
            <w:r>
              <w:rPr>
                <w:rFonts w:ascii="Aptos Narrow" w:hAnsi="Aptos Narrow"/>
                <w:color w:val="000000"/>
              </w:rPr>
              <w:t>5 142,41</w:t>
            </w:r>
          </w:p>
        </w:tc>
      </w:tr>
      <w:tr w:rsidR="007B2B87" w:rsidRPr="007B2B87" w14:paraId="1565E71D" w14:textId="77777777" w:rsidTr="007B2B87">
        <w:trPr>
          <w:trHeight w:val="340"/>
        </w:trPr>
        <w:tc>
          <w:tcPr>
            <w:tcW w:w="4535" w:type="dxa"/>
            <w:tcBorders>
              <w:top w:val="nil"/>
              <w:left w:val="single" w:sz="4" w:space="0" w:color="auto"/>
              <w:bottom w:val="single" w:sz="4" w:space="0" w:color="auto"/>
              <w:right w:val="single" w:sz="4" w:space="0" w:color="auto"/>
            </w:tcBorders>
            <w:vAlign w:val="center"/>
            <w:hideMark/>
          </w:tcPr>
          <w:p w14:paraId="41C1A3CA" w14:textId="77777777" w:rsidR="007B2B87" w:rsidRPr="007B2B87" w:rsidRDefault="007B2B87" w:rsidP="007B2B87">
            <w:pPr>
              <w:rPr>
                <w:rFonts w:ascii="Aptos Narrow" w:hAnsi="Aptos Narrow"/>
                <w:color w:val="000000"/>
              </w:rPr>
            </w:pPr>
            <w:r w:rsidRPr="007B2B87">
              <w:rPr>
                <w:rFonts w:ascii="Aptos Narrow" w:hAnsi="Aptos Narrow"/>
                <w:color w:val="000000"/>
              </w:rPr>
              <w:t>Knihovna</w:t>
            </w:r>
          </w:p>
        </w:tc>
        <w:tc>
          <w:tcPr>
            <w:tcW w:w="4535" w:type="dxa"/>
            <w:tcBorders>
              <w:top w:val="nil"/>
              <w:left w:val="nil"/>
              <w:bottom w:val="single" w:sz="4" w:space="0" w:color="auto"/>
              <w:right w:val="single" w:sz="4" w:space="0" w:color="auto"/>
            </w:tcBorders>
            <w:noWrap/>
            <w:vAlign w:val="center"/>
            <w:hideMark/>
          </w:tcPr>
          <w:p w14:paraId="3CB56163" w14:textId="65C03253" w:rsidR="007B2B87" w:rsidRPr="007B2B87" w:rsidRDefault="007B2B87" w:rsidP="007B2B87">
            <w:pPr>
              <w:jc w:val="right"/>
              <w:rPr>
                <w:rFonts w:ascii="Aptos Narrow" w:hAnsi="Aptos Narrow"/>
                <w:color w:val="000000"/>
              </w:rPr>
            </w:pPr>
            <w:r>
              <w:rPr>
                <w:rFonts w:ascii="Aptos Narrow" w:hAnsi="Aptos Narrow"/>
                <w:color w:val="000000"/>
              </w:rPr>
              <w:t>0</w:t>
            </w:r>
          </w:p>
        </w:tc>
      </w:tr>
      <w:tr w:rsidR="007B2B87" w:rsidRPr="007B2B87" w14:paraId="3D4DFC37" w14:textId="77777777" w:rsidTr="007B2B87">
        <w:trPr>
          <w:trHeight w:val="320"/>
        </w:trPr>
        <w:tc>
          <w:tcPr>
            <w:tcW w:w="4535" w:type="dxa"/>
            <w:tcBorders>
              <w:top w:val="nil"/>
              <w:left w:val="single" w:sz="4" w:space="0" w:color="auto"/>
              <w:bottom w:val="single" w:sz="4" w:space="0" w:color="auto"/>
              <w:right w:val="single" w:sz="4" w:space="0" w:color="auto"/>
            </w:tcBorders>
            <w:noWrap/>
            <w:vAlign w:val="center"/>
            <w:hideMark/>
          </w:tcPr>
          <w:p w14:paraId="015FF657" w14:textId="77777777" w:rsidR="007B2B87" w:rsidRPr="007B2B87" w:rsidRDefault="007B2B87" w:rsidP="007B2B87">
            <w:pPr>
              <w:rPr>
                <w:rFonts w:ascii="Aptos Narrow" w:hAnsi="Aptos Narrow"/>
                <w:color w:val="000000"/>
              </w:rPr>
            </w:pPr>
            <w:r w:rsidRPr="007B2B87">
              <w:rPr>
                <w:rFonts w:ascii="Aptos Narrow" w:hAnsi="Aptos Narrow"/>
                <w:color w:val="000000"/>
              </w:rPr>
              <w:t>KMZ</w:t>
            </w:r>
          </w:p>
        </w:tc>
        <w:tc>
          <w:tcPr>
            <w:tcW w:w="4535" w:type="dxa"/>
            <w:tcBorders>
              <w:top w:val="nil"/>
              <w:left w:val="nil"/>
              <w:bottom w:val="single" w:sz="4" w:space="0" w:color="auto"/>
              <w:right w:val="single" w:sz="4" w:space="0" w:color="auto"/>
            </w:tcBorders>
            <w:noWrap/>
            <w:vAlign w:val="center"/>
            <w:hideMark/>
          </w:tcPr>
          <w:p w14:paraId="597A20ED" w14:textId="4D06720E" w:rsidR="007B2B87" w:rsidRPr="007B2B87" w:rsidRDefault="007B2B87" w:rsidP="007B2B87">
            <w:pPr>
              <w:jc w:val="right"/>
              <w:rPr>
                <w:rFonts w:ascii="Aptos Narrow" w:hAnsi="Aptos Narrow"/>
                <w:color w:val="000000"/>
              </w:rPr>
            </w:pPr>
            <w:r>
              <w:rPr>
                <w:rFonts w:ascii="Aptos Narrow" w:hAnsi="Aptos Narrow"/>
                <w:color w:val="000000"/>
              </w:rPr>
              <w:t>0</w:t>
            </w:r>
          </w:p>
        </w:tc>
      </w:tr>
      <w:tr w:rsidR="007B2B87" w:rsidRPr="007B2B87" w14:paraId="2020C5F9" w14:textId="77777777" w:rsidTr="007B2B87">
        <w:trPr>
          <w:trHeight w:val="320"/>
        </w:trPr>
        <w:tc>
          <w:tcPr>
            <w:tcW w:w="4535" w:type="dxa"/>
            <w:tcBorders>
              <w:top w:val="nil"/>
              <w:left w:val="single" w:sz="4" w:space="0" w:color="auto"/>
              <w:bottom w:val="single" w:sz="4" w:space="0" w:color="auto"/>
              <w:right w:val="single" w:sz="4" w:space="0" w:color="auto"/>
            </w:tcBorders>
            <w:noWrap/>
            <w:vAlign w:val="center"/>
            <w:hideMark/>
          </w:tcPr>
          <w:p w14:paraId="73D1A04C" w14:textId="77777777" w:rsidR="007B2B87" w:rsidRPr="007B2B87" w:rsidRDefault="007B2B87" w:rsidP="007B2B87">
            <w:pPr>
              <w:rPr>
                <w:rFonts w:ascii="Aptos Narrow" w:hAnsi="Aptos Narrow"/>
                <w:b/>
                <w:bCs/>
                <w:color w:val="000000"/>
              </w:rPr>
            </w:pPr>
            <w:r w:rsidRPr="007B2B87">
              <w:rPr>
                <w:rFonts w:ascii="Aptos Narrow" w:hAnsi="Aptos Narrow"/>
                <w:b/>
                <w:bCs/>
                <w:color w:val="000000"/>
              </w:rPr>
              <w:t>Celkem</w:t>
            </w:r>
          </w:p>
        </w:tc>
        <w:tc>
          <w:tcPr>
            <w:tcW w:w="4535" w:type="dxa"/>
            <w:tcBorders>
              <w:top w:val="nil"/>
              <w:left w:val="nil"/>
              <w:bottom w:val="single" w:sz="4" w:space="0" w:color="auto"/>
              <w:right w:val="single" w:sz="4" w:space="0" w:color="auto"/>
            </w:tcBorders>
            <w:noWrap/>
            <w:vAlign w:val="center"/>
            <w:hideMark/>
          </w:tcPr>
          <w:p w14:paraId="4BFF670A" w14:textId="645A1B60" w:rsidR="007B2B87" w:rsidRPr="007B2B87" w:rsidRDefault="007B2B87" w:rsidP="007B2B87">
            <w:pPr>
              <w:jc w:val="right"/>
              <w:rPr>
                <w:rFonts w:ascii="Aptos Narrow" w:hAnsi="Aptos Narrow"/>
                <w:b/>
                <w:bCs/>
                <w:color w:val="000000"/>
              </w:rPr>
            </w:pPr>
            <w:r w:rsidRPr="007B2B87">
              <w:rPr>
                <w:rFonts w:ascii="Aptos Narrow" w:hAnsi="Aptos Narrow"/>
                <w:b/>
                <w:bCs/>
                <w:color w:val="000000"/>
              </w:rPr>
              <w:t>20 583,59</w:t>
            </w:r>
          </w:p>
        </w:tc>
      </w:tr>
    </w:tbl>
    <w:p w14:paraId="233A4342" w14:textId="77777777" w:rsidR="007B2B87" w:rsidRPr="00DF7147" w:rsidRDefault="007B2B87" w:rsidP="00DF7147">
      <w:pPr>
        <w:pStyle w:val="RozpocetOdstavec"/>
        <w:rPr>
          <w:color w:val="00B050"/>
        </w:rPr>
      </w:pPr>
    </w:p>
    <w:p w14:paraId="544D0C19" w14:textId="77777777" w:rsidR="00B2532E" w:rsidRDefault="00B2532E" w:rsidP="00AE46FC">
      <w:pPr>
        <w:pStyle w:val="RozpocetOdstavec"/>
        <w:sectPr w:rsidR="00B2532E" w:rsidSect="00495879">
          <w:pgSz w:w="11906" w:h="16838"/>
          <w:pgMar w:top="1417" w:right="1417" w:bottom="1417" w:left="1417" w:header="708" w:footer="708" w:gutter="0"/>
          <w:cols w:space="708"/>
          <w:titlePg/>
          <w:docGrid w:linePitch="360"/>
        </w:sectPr>
      </w:pPr>
    </w:p>
    <w:p w14:paraId="5574EFBA" w14:textId="08CF59B1" w:rsidR="007B2B87" w:rsidRPr="00997289" w:rsidRDefault="00B2532E" w:rsidP="007B2B87">
      <w:pPr>
        <w:pStyle w:val="RozpocetNadpis2"/>
      </w:pPr>
      <w:bookmarkStart w:id="47" w:name="_Toc228824351"/>
      <w:r w:rsidRPr="00997289">
        <w:lastRenderedPageBreak/>
        <w:t>Přehled interního rozdělení financí</w:t>
      </w:r>
      <w:bookmarkEnd w:id="47"/>
    </w:p>
    <w:p w14:paraId="3AF7C9FF" w14:textId="77777777" w:rsidR="007B2B87" w:rsidRDefault="007B2B87" w:rsidP="007B2B87">
      <w:pPr>
        <w:rPr>
          <w:highlight w:val="yellow"/>
        </w:rPr>
      </w:pPr>
    </w:p>
    <w:tbl>
      <w:tblPr>
        <w:tblW w:w="12946" w:type="dxa"/>
        <w:tblLook w:val="04A0" w:firstRow="1" w:lastRow="0" w:firstColumn="1" w:lastColumn="0" w:noHBand="0" w:noVBand="1"/>
      </w:tblPr>
      <w:tblGrid>
        <w:gridCol w:w="1098"/>
        <w:gridCol w:w="1304"/>
        <w:gridCol w:w="1304"/>
        <w:gridCol w:w="1417"/>
        <w:gridCol w:w="1474"/>
        <w:gridCol w:w="1757"/>
        <w:gridCol w:w="1417"/>
        <w:gridCol w:w="1814"/>
        <w:gridCol w:w="1361"/>
      </w:tblGrid>
      <w:tr w:rsidR="000A20AA" w:rsidRPr="007B2B87" w14:paraId="59E4E4DC" w14:textId="77777777" w:rsidTr="000A20AA">
        <w:trPr>
          <w:trHeight w:val="397"/>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335949" w14:textId="6461B8D9" w:rsidR="000A20AA" w:rsidRPr="007B2B87" w:rsidRDefault="000A20AA" w:rsidP="007B2B87">
            <w:pPr>
              <w:jc w:val="center"/>
              <w:rPr>
                <w:rFonts w:ascii="Aptos Narrow" w:hAnsi="Aptos Narrow"/>
                <w:b/>
                <w:bCs/>
                <w:color w:val="000000"/>
              </w:rPr>
            </w:pPr>
            <w:r>
              <w:rPr>
                <w:rFonts w:ascii="Aptos Narrow" w:hAnsi="Aptos Narrow"/>
                <w:b/>
                <w:bCs/>
                <w:color w:val="000000"/>
              </w:rPr>
              <w:t>Součást</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F5062E"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A 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FB098C"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K v tis. Kč</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AA1CD8"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F (P)v tis. Kč</w:t>
            </w:r>
          </w:p>
        </w:tc>
        <w:tc>
          <w:tcPr>
            <w:tcW w:w="147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7640D2" w14:textId="77777777" w:rsidR="000A20AA" w:rsidRPr="007B2B87" w:rsidRDefault="000A20AA" w:rsidP="007B2B87">
            <w:pPr>
              <w:jc w:val="center"/>
              <w:rPr>
                <w:rFonts w:ascii="Aptos Narrow" w:hAnsi="Aptos Narrow"/>
                <w:b/>
                <w:bCs/>
              </w:rPr>
            </w:pPr>
            <w:r w:rsidRPr="007B2B87">
              <w:rPr>
                <w:rFonts w:ascii="Aptos Narrow" w:hAnsi="Aptos Narrow"/>
                <w:b/>
                <w:bCs/>
              </w:rPr>
              <w:t>FUČ v tis. Kč</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A1BC9D"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DKRVO v tis. Kč</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CDA455"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SVV v tis. Kč</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262DCA"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Celkem v tis. Kč</w:t>
            </w:r>
          </w:p>
        </w:tc>
        <w:tc>
          <w:tcPr>
            <w:tcW w:w="13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B78136" w14:textId="77777777" w:rsidR="000A20AA" w:rsidRPr="007B2B87" w:rsidRDefault="000A20AA" w:rsidP="007B2B87">
            <w:pPr>
              <w:jc w:val="center"/>
              <w:rPr>
                <w:rFonts w:ascii="Aptos Narrow" w:hAnsi="Aptos Narrow"/>
                <w:b/>
                <w:bCs/>
                <w:color w:val="000000"/>
              </w:rPr>
            </w:pPr>
            <w:r w:rsidRPr="007B2B87">
              <w:rPr>
                <w:rFonts w:ascii="Aptos Narrow" w:hAnsi="Aptos Narrow"/>
                <w:b/>
                <w:bCs/>
                <w:color w:val="000000"/>
              </w:rPr>
              <w:t>Celkem v %</w:t>
            </w:r>
          </w:p>
        </w:tc>
      </w:tr>
      <w:tr w:rsidR="0099254F" w:rsidRPr="007B2B87" w14:paraId="0773B9D0"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3D2CA982" w14:textId="77777777" w:rsidR="0099254F" w:rsidRPr="007B2B87" w:rsidRDefault="0099254F" w:rsidP="0099254F">
            <w:pPr>
              <w:rPr>
                <w:rFonts w:ascii="Aptos Narrow" w:hAnsi="Aptos Narrow"/>
                <w:color w:val="000000"/>
              </w:rPr>
            </w:pPr>
            <w:r w:rsidRPr="007B2B87">
              <w:rPr>
                <w:rFonts w:ascii="Aptos Narrow" w:hAnsi="Aptos Narrow"/>
                <w:color w:val="000000"/>
              </w:rPr>
              <w:t>FT</w:t>
            </w:r>
          </w:p>
        </w:tc>
        <w:tc>
          <w:tcPr>
            <w:tcW w:w="1304" w:type="dxa"/>
            <w:tcBorders>
              <w:top w:val="nil"/>
              <w:left w:val="nil"/>
              <w:bottom w:val="single" w:sz="4" w:space="0" w:color="auto"/>
              <w:right w:val="single" w:sz="4" w:space="0" w:color="auto"/>
            </w:tcBorders>
            <w:noWrap/>
            <w:vAlign w:val="center"/>
            <w:hideMark/>
          </w:tcPr>
          <w:p w14:paraId="756FB50B" w14:textId="6D29C3AB"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161 056,10</w:t>
            </w:r>
          </w:p>
        </w:tc>
        <w:tc>
          <w:tcPr>
            <w:tcW w:w="1304" w:type="dxa"/>
            <w:tcBorders>
              <w:top w:val="nil"/>
              <w:left w:val="nil"/>
              <w:bottom w:val="single" w:sz="4" w:space="0" w:color="auto"/>
              <w:right w:val="single" w:sz="4" w:space="0" w:color="auto"/>
            </w:tcBorders>
            <w:noWrap/>
            <w:vAlign w:val="center"/>
            <w:hideMark/>
          </w:tcPr>
          <w:p w14:paraId="59815883" w14:textId="38D0FD49"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19 814,00</w:t>
            </w:r>
          </w:p>
        </w:tc>
        <w:tc>
          <w:tcPr>
            <w:tcW w:w="1417" w:type="dxa"/>
            <w:tcBorders>
              <w:top w:val="nil"/>
              <w:left w:val="nil"/>
              <w:bottom w:val="single" w:sz="4" w:space="0" w:color="auto"/>
              <w:right w:val="single" w:sz="4" w:space="0" w:color="auto"/>
            </w:tcBorders>
            <w:noWrap/>
            <w:vAlign w:val="center"/>
            <w:hideMark/>
          </w:tcPr>
          <w:p w14:paraId="522D7A9F" w14:textId="5E76CBE0"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093619C0" w14:textId="3BA5D9EB"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7B868036" w14:textId="55BAD849" w:rsidR="0099254F" w:rsidRPr="007B2B87" w:rsidRDefault="0099254F" w:rsidP="0099254F">
            <w:pPr>
              <w:jc w:val="right"/>
              <w:rPr>
                <w:rFonts w:ascii="Aptos Narrow" w:hAnsi="Aptos Narrow"/>
                <w:color w:val="000000" w:themeColor="text1"/>
              </w:rPr>
            </w:pPr>
            <w:r>
              <w:rPr>
                <w:rFonts w:ascii="Aptos Narrow" w:hAnsi="Aptos Narrow"/>
                <w:color w:val="000000"/>
              </w:rPr>
              <w:t>35 678,82</w:t>
            </w:r>
          </w:p>
        </w:tc>
        <w:tc>
          <w:tcPr>
            <w:tcW w:w="1417" w:type="dxa"/>
            <w:tcBorders>
              <w:top w:val="nil"/>
              <w:left w:val="nil"/>
              <w:bottom w:val="single" w:sz="4" w:space="0" w:color="auto"/>
              <w:right w:val="single" w:sz="4" w:space="0" w:color="auto"/>
            </w:tcBorders>
            <w:noWrap/>
            <w:vAlign w:val="center"/>
            <w:hideMark/>
          </w:tcPr>
          <w:p w14:paraId="71F190EC" w14:textId="679E0A49" w:rsidR="0099254F" w:rsidRPr="007B2B87" w:rsidRDefault="0099254F" w:rsidP="0099254F">
            <w:pPr>
              <w:jc w:val="right"/>
              <w:rPr>
                <w:rFonts w:ascii="Aptos Narrow" w:hAnsi="Aptos Narrow"/>
                <w:color w:val="000000" w:themeColor="text1"/>
              </w:rPr>
            </w:pPr>
            <w:r>
              <w:rPr>
                <w:rFonts w:ascii="Aptos Narrow" w:hAnsi="Aptos Narrow"/>
                <w:color w:val="000000"/>
              </w:rPr>
              <w:t>5 185,61</w:t>
            </w:r>
          </w:p>
        </w:tc>
        <w:tc>
          <w:tcPr>
            <w:tcW w:w="1814" w:type="dxa"/>
            <w:tcBorders>
              <w:top w:val="nil"/>
              <w:left w:val="nil"/>
              <w:bottom w:val="single" w:sz="4" w:space="0" w:color="auto"/>
              <w:right w:val="single" w:sz="4" w:space="0" w:color="auto"/>
            </w:tcBorders>
            <w:noWrap/>
            <w:vAlign w:val="center"/>
            <w:hideMark/>
          </w:tcPr>
          <w:p w14:paraId="5B51B0EF" w14:textId="7BB0FA61" w:rsidR="0099254F" w:rsidRPr="007B2B87" w:rsidRDefault="0099254F" w:rsidP="0099254F">
            <w:pPr>
              <w:jc w:val="right"/>
              <w:rPr>
                <w:rFonts w:ascii="Aptos Narrow" w:hAnsi="Aptos Narrow"/>
                <w:color w:val="000000" w:themeColor="text1"/>
              </w:rPr>
            </w:pPr>
            <w:r>
              <w:rPr>
                <w:rFonts w:ascii="Aptos Narrow" w:hAnsi="Aptos Narrow"/>
                <w:color w:val="000000"/>
              </w:rPr>
              <w:t>221 735</w:t>
            </w:r>
          </w:p>
        </w:tc>
        <w:tc>
          <w:tcPr>
            <w:tcW w:w="1361" w:type="dxa"/>
            <w:tcBorders>
              <w:top w:val="nil"/>
              <w:left w:val="nil"/>
              <w:bottom w:val="single" w:sz="4" w:space="0" w:color="auto"/>
              <w:right w:val="single" w:sz="4" w:space="0" w:color="auto"/>
            </w:tcBorders>
            <w:noWrap/>
            <w:vAlign w:val="center"/>
            <w:hideMark/>
          </w:tcPr>
          <w:p w14:paraId="67FD9CC2" w14:textId="57C9C67C" w:rsidR="0099254F" w:rsidRPr="007B2B87" w:rsidRDefault="0099254F" w:rsidP="0099254F">
            <w:pPr>
              <w:jc w:val="right"/>
              <w:rPr>
                <w:rFonts w:ascii="Aptos Narrow" w:hAnsi="Aptos Narrow"/>
                <w:color w:val="000000" w:themeColor="text1"/>
              </w:rPr>
            </w:pPr>
            <w:r>
              <w:rPr>
                <w:rFonts w:ascii="Aptos Narrow" w:hAnsi="Aptos Narrow"/>
                <w:color w:val="000000"/>
              </w:rPr>
              <w:t>21,83</w:t>
            </w:r>
          </w:p>
        </w:tc>
      </w:tr>
      <w:tr w:rsidR="0099254F" w:rsidRPr="007B2B87" w14:paraId="432E66BF"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7DAC1349" w14:textId="77777777" w:rsidR="0099254F" w:rsidRPr="007B2B87" w:rsidRDefault="0099254F" w:rsidP="0099254F">
            <w:pPr>
              <w:rPr>
                <w:rFonts w:ascii="Aptos Narrow" w:hAnsi="Aptos Narrow"/>
                <w:color w:val="000000"/>
              </w:rPr>
            </w:pPr>
            <w:r w:rsidRPr="007B2B87">
              <w:rPr>
                <w:rFonts w:ascii="Aptos Narrow" w:hAnsi="Aptos Narrow"/>
                <w:color w:val="000000"/>
              </w:rPr>
              <w:t>FLKŘ</w:t>
            </w:r>
          </w:p>
        </w:tc>
        <w:tc>
          <w:tcPr>
            <w:tcW w:w="1304" w:type="dxa"/>
            <w:tcBorders>
              <w:top w:val="nil"/>
              <w:left w:val="nil"/>
              <w:bottom w:val="single" w:sz="4" w:space="0" w:color="auto"/>
              <w:right w:val="single" w:sz="4" w:space="0" w:color="auto"/>
            </w:tcBorders>
            <w:noWrap/>
            <w:vAlign w:val="center"/>
            <w:hideMark/>
          </w:tcPr>
          <w:p w14:paraId="4D6CD699" w14:textId="56D21788"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78 808,84</w:t>
            </w:r>
          </w:p>
        </w:tc>
        <w:tc>
          <w:tcPr>
            <w:tcW w:w="1304" w:type="dxa"/>
            <w:tcBorders>
              <w:top w:val="nil"/>
              <w:left w:val="nil"/>
              <w:bottom w:val="single" w:sz="4" w:space="0" w:color="auto"/>
              <w:right w:val="single" w:sz="4" w:space="0" w:color="auto"/>
            </w:tcBorders>
            <w:noWrap/>
            <w:vAlign w:val="center"/>
            <w:hideMark/>
          </w:tcPr>
          <w:p w14:paraId="637187D1" w14:textId="52E84B6C"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9 188,30</w:t>
            </w:r>
          </w:p>
        </w:tc>
        <w:tc>
          <w:tcPr>
            <w:tcW w:w="1417" w:type="dxa"/>
            <w:tcBorders>
              <w:top w:val="nil"/>
              <w:left w:val="nil"/>
              <w:bottom w:val="single" w:sz="4" w:space="0" w:color="auto"/>
              <w:right w:val="single" w:sz="4" w:space="0" w:color="auto"/>
            </w:tcBorders>
            <w:noWrap/>
            <w:vAlign w:val="center"/>
            <w:hideMark/>
          </w:tcPr>
          <w:p w14:paraId="15744DC5" w14:textId="085FCE37"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692F3D32" w14:textId="64A5D533"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544B9BAD" w14:textId="4109454C" w:rsidR="0099254F" w:rsidRPr="007B2B87" w:rsidRDefault="0099254F" w:rsidP="0099254F">
            <w:pPr>
              <w:jc w:val="right"/>
              <w:rPr>
                <w:rFonts w:ascii="Aptos Narrow" w:hAnsi="Aptos Narrow"/>
                <w:color w:val="000000" w:themeColor="text1"/>
              </w:rPr>
            </w:pPr>
            <w:r>
              <w:rPr>
                <w:rFonts w:ascii="Aptos Narrow" w:hAnsi="Aptos Narrow"/>
                <w:color w:val="000000"/>
              </w:rPr>
              <w:t>5 620,91</w:t>
            </w:r>
          </w:p>
        </w:tc>
        <w:tc>
          <w:tcPr>
            <w:tcW w:w="1417" w:type="dxa"/>
            <w:tcBorders>
              <w:top w:val="nil"/>
              <w:left w:val="nil"/>
              <w:bottom w:val="single" w:sz="4" w:space="0" w:color="auto"/>
              <w:right w:val="single" w:sz="4" w:space="0" w:color="auto"/>
            </w:tcBorders>
            <w:noWrap/>
            <w:vAlign w:val="center"/>
            <w:hideMark/>
          </w:tcPr>
          <w:p w14:paraId="73A026FE" w14:textId="6F66211E" w:rsidR="0099254F" w:rsidRPr="007B2B87" w:rsidRDefault="0099254F" w:rsidP="0099254F">
            <w:pPr>
              <w:jc w:val="right"/>
              <w:rPr>
                <w:rFonts w:ascii="Aptos Narrow" w:hAnsi="Aptos Narrow"/>
                <w:color w:val="000000" w:themeColor="text1"/>
              </w:rPr>
            </w:pPr>
            <w:r>
              <w:rPr>
                <w:rFonts w:ascii="Aptos Narrow" w:hAnsi="Aptos Narrow"/>
                <w:color w:val="000000"/>
              </w:rPr>
              <w:t>631,72</w:t>
            </w:r>
          </w:p>
        </w:tc>
        <w:tc>
          <w:tcPr>
            <w:tcW w:w="1814" w:type="dxa"/>
            <w:tcBorders>
              <w:top w:val="nil"/>
              <w:left w:val="nil"/>
              <w:bottom w:val="single" w:sz="4" w:space="0" w:color="auto"/>
              <w:right w:val="single" w:sz="4" w:space="0" w:color="auto"/>
            </w:tcBorders>
            <w:noWrap/>
            <w:vAlign w:val="center"/>
            <w:hideMark/>
          </w:tcPr>
          <w:p w14:paraId="6204D4BC" w14:textId="06233F93" w:rsidR="0099254F" w:rsidRPr="007B2B87" w:rsidRDefault="0099254F" w:rsidP="0099254F">
            <w:pPr>
              <w:jc w:val="right"/>
              <w:rPr>
                <w:rFonts w:ascii="Aptos Narrow" w:hAnsi="Aptos Narrow"/>
                <w:color w:val="000000" w:themeColor="text1"/>
              </w:rPr>
            </w:pPr>
            <w:r>
              <w:rPr>
                <w:rFonts w:ascii="Aptos Narrow" w:hAnsi="Aptos Narrow"/>
                <w:color w:val="000000"/>
              </w:rPr>
              <w:t>94 250</w:t>
            </w:r>
          </w:p>
        </w:tc>
        <w:tc>
          <w:tcPr>
            <w:tcW w:w="1361" w:type="dxa"/>
            <w:tcBorders>
              <w:top w:val="nil"/>
              <w:left w:val="nil"/>
              <w:bottom w:val="single" w:sz="4" w:space="0" w:color="auto"/>
              <w:right w:val="single" w:sz="4" w:space="0" w:color="auto"/>
            </w:tcBorders>
            <w:noWrap/>
            <w:vAlign w:val="center"/>
            <w:hideMark/>
          </w:tcPr>
          <w:p w14:paraId="6E6210E0" w14:textId="778627AC" w:rsidR="0099254F" w:rsidRPr="007B2B87" w:rsidRDefault="0099254F" w:rsidP="0099254F">
            <w:pPr>
              <w:jc w:val="right"/>
              <w:rPr>
                <w:rFonts w:ascii="Aptos Narrow" w:hAnsi="Aptos Narrow"/>
                <w:color w:val="000000" w:themeColor="text1"/>
              </w:rPr>
            </w:pPr>
            <w:r>
              <w:rPr>
                <w:rFonts w:ascii="Aptos Narrow" w:hAnsi="Aptos Narrow"/>
                <w:color w:val="000000"/>
              </w:rPr>
              <w:t>9,28</w:t>
            </w:r>
          </w:p>
        </w:tc>
      </w:tr>
      <w:tr w:rsidR="0099254F" w:rsidRPr="007B2B87" w14:paraId="18F3D4A3"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66289383" w14:textId="77777777" w:rsidR="0099254F" w:rsidRPr="007B2B87" w:rsidRDefault="0099254F" w:rsidP="0099254F">
            <w:pPr>
              <w:rPr>
                <w:rFonts w:ascii="Aptos Narrow" w:hAnsi="Aptos Narrow"/>
                <w:color w:val="000000"/>
              </w:rPr>
            </w:pPr>
            <w:r w:rsidRPr="007B2B87">
              <w:rPr>
                <w:rFonts w:ascii="Aptos Narrow" w:hAnsi="Aptos Narrow"/>
                <w:color w:val="000000"/>
              </w:rPr>
              <w:t>FAI</w:t>
            </w:r>
          </w:p>
        </w:tc>
        <w:tc>
          <w:tcPr>
            <w:tcW w:w="1304" w:type="dxa"/>
            <w:tcBorders>
              <w:top w:val="nil"/>
              <w:left w:val="nil"/>
              <w:bottom w:val="single" w:sz="4" w:space="0" w:color="auto"/>
              <w:right w:val="single" w:sz="4" w:space="0" w:color="auto"/>
            </w:tcBorders>
            <w:noWrap/>
            <w:vAlign w:val="center"/>
            <w:hideMark/>
          </w:tcPr>
          <w:p w14:paraId="3DAFF888" w14:textId="051A5D31"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89 730,86</w:t>
            </w:r>
          </w:p>
        </w:tc>
        <w:tc>
          <w:tcPr>
            <w:tcW w:w="1304" w:type="dxa"/>
            <w:tcBorders>
              <w:top w:val="nil"/>
              <w:left w:val="nil"/>
              <w:bottom w:val="single" w:sz="4" w:space="0" w:color="auto"/>
              <w:right w:val="single" w:sz="4" w:space="0" w:color="auto"/>
            </w:tcBorders>
            <w:noWrap/>
            <w:vAlign w:val="center"/>
            <w:hideMark/>
          </w:tcPr>
          <w:p w14:paraId="22DE617C" w14:textId="46D63408"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17 369,39</w:t>
            </w:r>
          </w:p>
        </w:tc>
        <w:tc>
          <w:tcPr>
            <w:tcW w:w="1417" w:type="dxa"/>
            <w:tcBorders>
              <w:top w:val="nil"/>
              <w:left w:val="nil"/>
              <w:bottom w:val="single" w:sz="4" w:space="0" w:color="auto"/>
              <w:right w:val="single" w:sz="4" w:space="0" w:color="auto"/>
            </w:tcBorders>
            <w:noWrap/>
            <w:vAlign w:val="center"/>
            <w:hideMark/>
          </w:tcPr>
          <w:p w14:paraId="484E90FD" w14:textId="655EFEBF"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391E9A5B" w14:textId="48F0F4A5"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6614763D" w14:textId="362B19D3" w:rsidR="0099254F" w:rsidRPr="007B2B87" w:rsidRDefault="0099254F" w:rsidP="0099254F">
            <w:pPr>
              <w:jc w:val="right"/>
              <w:rPr>
                <w:rFonts w:ascii="Aptos Narrow" w:hAnsi="Aptos Narrow"/>
                <w:color w:val="000000" w:themeColor="text1"/>
              </w:rPr>
            </w:pPr>
            <w:r>
              <w:rPr>
                <w:rFonts w:ascii="Aptos Narrow" w:hAnsi="Aptos Narrow"/>
                <w:color w:val="000000"/>
              </w:rPr>
              <w:t>26 893,19</w:t>
            </w:r>
          </w:p>
        </w:tc>
        <w:tc>
          <w:tcPr>
            <w:tcW w:w="1417" w:type="dxa"/>
            <w:tcBorders>
              <w:top w:val="nil"/>
              <w:left w:val="nil"/>
              <w:bottom w:val="single" w:sz="4" w:space="0" w:color="auto"/>
              <w:right w:val="single" w:sz="4" w:space="0" w:color="auto"/>
            </w:tcBorders>
            <w:noWrap/>
            <w:vAlign w:val="center"/>
            <w:hideMark/>
          </w:tcPr>
          <w:p w14:paraId="3A08F28E" w14:textId="1479EB6A" w:rsidR="0099254F" w:rsidRPr="007B2B87" w:rsidRDefault="0099254F" w:rsidP="0099254F">
            <w:pPr>
              <w:jc w:val="right"/>
              <w:rPr>
                <w:rFonts w:ascii="Aptos Narrow" w:hAnsi="Aptos Narrow"/>
                <w:color w:val="000000" w:themeColor="text1"/>
              </w:rPr>
            </w:pPr>
            <w:r>
              <w:rPr>
                <w:rFonts w:ascii="Aptos Narrow" w:hAnsi="Aptos Narrow"/>
                <w:color w:val="000000"/>
              </w:rPr>
              <w:t>4 264,76</w:t>
            </w:r>
          </w:p>
        </w:tc>
        <w:tc>
          <w:tcPr>
            <w:tcW w:w="1814" w:type="dxa"/>
            <w:tcBorders>
              <w:top w:val="nil"/>
              <w:left w:val="nil"/>
              <w:bottom w:val="single" w:sz="4" w:space="0" w:color="auto"/>
              <w:right w:val="single" w:sz="4" w:space="0" w:color="auto"/>
            </w:tcBorders>
            <w:noWrap/>
            <w:vAlign w:val="center"/>
            <w:hideMark/>
          </w:tcPr>
          <w:p w14:paraId="044DF6C0" w14:textId="1EA8F0B0" w:rsidR="0099254F" w:rsidRPr="007B2B87" w:rsidRDefault="0099254F" w:rsidP="0099254F">
            <w:pPr>
              <w:jc w:val="right"/>
              <w:rPr>
                <w:rFonts w:ascii="Aptos Narrow" w:hAnsi="Aptos Narrow"/>
                <w:color w:val="000000" w:themeColor="text1"/>
              </w:rPr>
            </w:pPr>
            <w:r>
              <w:rPr>
                <w:rFonts w:ascii="Aptos Narrow" w:hAnsi="Aptos Narrow"/>
                <w:color w:val="000000"/>
              </w:rPr>
              <w:t>138 258</w:t>
            </w:r>
          </w:p>
        </w:tc>
        <w:tc>
          <w:tcPr>
            <w:tcW w:w="1361" w:type="dxa"/>
            <w:tcBorders>
              <w:top w:val="nil"/>
              <w:left w:val="nil"/>
              <w:bottom w:val="single" w:sz="4" w:space="0" w:color="auto"/>
              <w:right w:val="single" w:sz="4" w:space="0" w:color="auto"/>
            </w:tcBorders>
            <w:noWrap/>
            <w:vAlign w:val="center"/>
            <w:hideMark/>
          </w:tcPr>
          <w:p w14:paraId="3DFFC9F7" w14:textId="205F91E8" w:rsidR="0099254F" w:rsidRPr="007B2B87" w:rsidRDefault="0099254F" w:rsidP="0099254F">
            <w:pPr>
              <w:jc w:val="right"/>
              <w:rPr>
                <w:rFonts w:ascii="Aptos Narrow" w:hAnsi="Aptos Narrow"/>
                <w:color w:val="000000" w:themeColor="text1"/>
              </w:rPr>
            </w:pPr>
            <w:r>
              <w:rPr>
                <w:rFonts w:ascii="Aptos Narrow" w:hAnsi="Aptos Narrow"/>
                <w:color w:val="000000"/>
              </w:rPr>
              <w:t>13,61</w:t>
            </w:r>
          </w:p>
        </w:tc>
      </w:tr>
      <w:tr w:rsidR="0099254F" w:rsidRPr="007B2B87" w14:paraId="32EAB371"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5D3124C4" w14:textId="77777777" w:rsidR="0099254F" w:rsidRPr="007B2B87" w:rsidRDefault="0099254F" w:rsidP="0099254F">
            <w:pPr>
              <w:rPr>
                <w:rFonts w:ascii="Aptos Narrow" w:hAnsi="Aptos Narrow"/>
                <w:color w:val="000000"/>
              </w:rPr>
            </w:pPr>
            <w:r w:rsidRPr="007B2B87">
              <w:rPr>
                <w:rFonts w:ascii="Aptos Narrow" w:hAnsi="Aptos Narrow"/>
                <w:color w:val="000000"/>
              </w:rPr>
              <w:t>FMK</w:t>
            </w:r>
          </w:p>
        </w:tc>
        <w:tc>
          <w:tcPr>
            <w:tcW w:w="1304" w:type="dxa"/>
            <w:tcBorders>
              <w:top w:val="nil"/>
              <w:left w:val="nil"/>
              <w:bottom w:val="single" w:sz="4" w:space="0" w:color="auto"/>
              <w:right w:val="single" w:sz="4" w:space="0" w:color="auto"/>
            </w:tcBorders>
            <w:noWrap/>
            <w:vAlign w:val="center"/>
            <w:hideMark/>
          </w:tcPr>
          <w:p w14:paraId="415C4BD8" w14:textId="755E98CD"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119 757,59</w:t>
            </w:r>
          </w:p>
        </w:tc>
        <w:tc>
          <w:tcPr>
            <w:tcW w:w="1304" w:type="dxa"/>
            <w:tcBorders>
              <w:top w:val="nil"/>
              <w:left w:val="nil"/>
              <w:bottom w:val="single" w:sz="4" w:space="0" w:color="auto"/>
              <w:right w:val="single" w:sz="4" w:space="0" w:color="auto"/>
            </w:tcBorders>
            <w:noWrap/>
            <w:vAlign w:val="center"/>
            <w:hideMark/>
          </w:tcPr>
          <w:p w14:paraId="0CD672BE" w14:textId="5E2EDF13"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32 086,05</w:t>
            </w:r>
          </w:p>
        </w:tc>
        <w:tc>
          <w:tcPr>
            <w:tcW w:w="1417" w:type="dxa"/>
            <w:tcBorders>
              <w:top w:val="nil"/>
              <w:left w:val="nil"/>
              <w:bottom w:val="single" w:sz="4" w:space="0" w:color="auto"/>
              <w:right w:val="single" w:sz="4" w:space="0" w:color="auto"/>
            </w:tcBorders>
            <w:noWrap/>
            <w:vAlign w:val="center"/>
            <w:hideMark/>
          </w:tcPr>
          <w:p w14:paraId="19FC8B43" w14:textId="24016A7D"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64812BC6" w14:textId="2C43300C"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12 160,52</w:t>
            </w:r>
          </w:p>
        </w:tc>
        <w:tc>
          <w:tcPr>
            <w:tcW w:w="1757" w:type="dxa"/>
            <w:tcBorders>
              <w:top w:val="nil"/>
              <w:left w:val="nil"/>
              <w:bottom w:val="single" w:sz="4" w:space="0" w:color="auto"/>
              <w:right w:val="single" w:sz="4" w:space="0" w:color="auto"/>
            </w:tcBorders>
            <w:noWrap/>
            <w:vAlign w:val="center"/>
            <w:hideMark/>
          </w:tcPr>
          <w:p w14:paraId="4A792DAF" w14:textId="32751221" w:rsidR="0099254F" w:rsidRPr="007B2B87" w:rsidRDefault="0099254F" w:rsidP="0099254F">
            <w:pPr>
              <w:jc w:val="right"/>
              <w:rPr>
                <w:rFonts w:ascii="Aptos Narrow" w:hAnsi="Aptos Narrow"/>
                <w:color w:val="000000" w:themeColor="text1"/>
              </w:rPr>
            </w:pPr>
            <w:r>
              <w:rPr>
                <w:rFonts w:ascii="Aptos Narrow" w:hAnsi="Aptos Narrow"/>
                <w:color w:val="000000"/>
              </w:rPr>
              <w:t>7 196,42</w:t>
            </w:r>
          </w:p>
        </w:tc>
        <w:tc>
          <w:tcPr>
            <w:tcW w:w="1417" w:type="dxa"/>
            <w:tcBorders>
              <w:top w:val="nil"/>
              <w:left w:val="nil"/>
              <w:bottom w:val="single" w:sz="4" w:space="0" w:color="auto"/>
              <w:right w:val="single" w:sz="4" w:space="0" w:color="auto"/>
            </w:tcBorders>
            <w:noWrap/>
            <w:vAlign w:val="center"/>
            <w:hideMark/>
          </w:tcPr>
          <w:p w14:paraId="25DA7BDA" w14:textId="0B909F02" w:rsidR="0099254F" w:rsidRPr="007B2B87" w:rsidRDefault="0099254F" w:rsidP="0099254F">
            <w:pPr>
              <w:jc w:val="right"/>
              <w:rPr>
                <w:rFonts w:ascii="Aptos Narrow" w:hAnsi="Aptos Narrow"/>
                <w:color w:val="000000" w:themeColor="text1"/>
              </w:rPr>
            </w:pPr>
            <w:r>
              <w:rPr>
                <w:rFonts w:ascii="Aptos Narrow" w:hAnsi="Aptos Narrow"/>
                <w:color w:val="000000"/>
              </w:rPr>
              <w:t>1 406,36</w:t>
            </w:r>
          </w:p>
        </w:tc>
        <w:tc>
          <w:tcPr>
            <w:tcW w:w="1814" w:type="dxa"/>
            <w:tcBorders>
              <w:top w:val="nil"/>
              <w:left w:val="nil"/>
              <w:bottom w:val="single" w:sz="4" w:space="0" w:color="auto"/>
              <w:right w:val="single" w:sz="4" w:space="0" w:color="auto"/>
            </w:tcBorders>
            <w:noWrap/>
            <w:vAlign w:val="center"/>
            <w:hideMark/>
          </w:tcPr>
          <w:p w14:paraId="49CE158A" w14:textId="55B24B19" w:rsidR="0099254F" w:rsidRPr="007B2B87" w:rsidRDefault="0099254F" w:rsidP="0099254F">
            <w:pPr>
              <w:jc w:val="right"/>
              <w:rPr>
                <w:rFonts w:ascii="Aptos Narrow" w:hAnsi="Aptos Narrow"/>
                <w:color w:val="000000" w:themeColor="text1"/>
              </w:rPr>
            </w:pPr>
            <w:r>
              <w:rPr>
                <w:rFonts w:ascii="Aptos Narrow" w:hAnsi="Aptos Narrow"/>
                <w:color w:val="000000"/>
              </w:rPr>
              <w:t>172 607</w:t>
            </w:r>
          </w:p>
        </w:tc>
        <w:tc>
          <w:tcPr>
            <w:tcW w:w="1361" w:type="dxa"/>
            <w:tcBorders>
              <w:top w:val="nil"/>
              <w:left w:val="nil"/>
              <w:bottom w:val="single" w:sz="4" w:space="0" w:color="auto"/>
              <w:right w:val="single" w:sz="4" w:space="0" w:color="auto"/>
            </w:tcBorders>
            <w:noWrap/>
            <w:vAlign w:val="center"/>
            <w:hideMark/>
          </w:tcPr>
          <w:p w14:paraId="021D2395" w14:textId="493CA6B6" w:rsidR="0099254F" w:rsidRPr="007B2B87" w:rsidRDefault="0099254F" w:rsidP="0099254F">
            <w:pPr>
              <w:jc w:val="right"/>
              <w:rPr>
                <w:rFonts w:ascii="Aptos Narrow" w:hAnsi="Aptos Narrow"/>
                <w:color w:val="000000" w:themeColor="text1"/>
              </w:rPr>
            </w:pPr>
            <w:r>
              <w:rPr>
                <w:rFonts w:ascii="Aptos Narrow" w:hAnsi="Aptos Narrow"/>
                <w:color w:val="000000"/>
              </w:rPr>
              <w:t>16,99</w:t>
            </w:r>
          </w:p>
        </w:tc>
      </w:tr>
      <w:tr w:rsidR="0099254F" w:rsidRPr="007B2B87" w14:paraId="7167B83A"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70F2C540" w14:textId="77777777" w:rsidR="0099254F" w:rsidRPr="007B2B87" w:rsidRDefault="0099254F" w:rsidP="0099254F">
            <w:pPr>
              <w:rPr>
                <w:rFonts w:ascii="Aptos Narrow" w:hAnsi="Aptos Narrow"/>
                <w:color w:val="000000"/>
              </w:rPr>
            </w:pPr>
            <w:r w:rsidRPr="007B2B87">
              <w:rPr>
                <w:rFonts w:ascii="Aptos Narrow" w:hAnsi="Aptos Narrow"/>
                <w:color w:val="000000"/>
              </w:rPr>
              <w:t>FaME</w:t>
            </w:r>
          </w:p>
        </w:tc>
        <w:tc>
          <w:tcPr>
            <w:tcW w:w="1304" w:type="dxa"/>
            <w:tcBorders>
              <w:top w:val="nil"/>
              <w:left w:val="nil"/>
              <w:bottom w:val="single" w:sz="4" w:space="0" w:color="auto"/>
              <w:right w:val="single" w:sz="4" w:space="0" w:color="auto"/>
            </w:tcBorders>
            <w:noWrap/>
            <w:vAlign w:val="center"/>
            <w:hideMark/>
          </w:tcPr>
          <w:p w14:paraId="2C8618DE" w14:textId="5358054E"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88 134,26</w:t>
            </w:r>
          </w:p>
        </w:tc>
        <w:tc>
          <w:tcPr>
            <w:tcW w:w="1304" w:type="dxa"/>
            <w:tcBorders>
              <w:top w:val="nil"/>
              <w:left w:val="nil"/>
              <w:bottom w:val="single" w:sz="4" w:space="0" w:color="auto"/>
              <w:right w:val="single" w:sz="4" w:space="0" w:color="auto"/>
            </w:tcBorders>
            <w:noWrap/>
            <w:vAlign w:val="center"/>
            <w:hideMark/>
          </w:tcPr>
          <w:p w14:paraId="2F74D6CA" w14:textId="412F1D86"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21 579,18</w:t>
            </w:r>
          </w:p>
        </w:tc>
        <w:tc>
          <w:tcPr>
            <w:tcW w:w="1417" w:type="dxa"/>
            <w:tcBorders>
              <w:top w:val="nil"/>
              <w:left w:val="nil"/>
              <w:bottom w:val="single" w:sz="4" w:space="0" w:color="auto"/>
              <w:right w:val="single" w:sz="4" w:space="0" w:color="auto"/>
            </w:tcBorders>
            <w:noWrap/>
            <w:vAlign w:val="center"/>
            <w:hideMark/>
          </w:tcPr>
          <w:p w14:paraId="3060CA91" w14:textId="351C915D"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3D3F54DA" w14:textId="5EE64617"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41A7133A" w14:textId="107F4B2D" w:rsidR="0099254F" w:rsidRPr="007B2B87" w:rsidRDefault="0099254F" w:rsidP="0099254F">
            <w:pPr>
              <w:jc w:val="right"/>
              <w:rPr>
                <w:rFonts w:ascii="Aptos Narrow" w:hAnsi="Aptos Narrow"/>
                <w:color w:val="000000" w:themeColor="text1"/>
              </w:rPr>
            </w:pPr>
            <w:r>
              <w:rPr>
                <w:rFonts w:ascii="Aptos Narrow" w:hAnsi="Aptos Narrow"/>
                <w:color w:val="000000"/>
              </w:rPr>
              <w:t>22 149,91</w:t>
            </w:r>
          </w:p>
        </w:tc>
        <w:tc>
          <w:tcPr>
            <w:tcW w:w="1417" w:type="dxa"/>
            <w:tcBorders>
              <w:top w:val="nil"/>
              <w:left w:val="nil"/>
              <w:bottom w:val="single" w:sz="4" w:space="0" w:color="auto"/>
              <w:right w:val="single" w:sz="4" w:space="0" w:color="auto"/>
            </w:tcBorders>
            <w:noWrap/>
            <w:vAlign w:val="center"/>
            <w:hideMark/>
          </w:tcPr>
          <w:p w14:paraId="41995E5A" w14:textId="39084CAB" w:rsidR="0099254F" w:rsidRPr="007B2B87" w:rsidRDefault="0099254F" w:rsidP="0099254F">
            <w:pPr>
              <w:jc w:val="right"/>
              <w:rPr>
                <w:rFonts w:ascii="Aptos Narrow" w:hAnsi="Aptos Narrow"/>
                <w:color w:val="000000" w:themeColor="text1"/>
              </w:rPr>
            </w:pPr>
            <w:r>
              <w:rPr>
                <w:rFonts w:ascii="Aptos Narrow" w:hAnsi="Aptos Narrow"/>
                <w:color w:val="000000"/>
              </w:rPr>
              <w:t>2 682,23</w:t>
            </w:r>
          </w:p>
        </w:tc>
        <w:tc>
          <w:tcPr>
            <w:tcW w:w="1814" w:type="dxa"/>
            <w:tcBorders>
              <w:top w:val="nil"/>
              <w:left w:val="nil"/>
              <w:bottom w:val="single" w:sz="4" w:space="0" w:color="auto"/>
              <w:right w:val="single" w:sz="4" w:space="0" w:color="auto"/>
            </w:tcBorders>
            <w:noWrap/>
            <w:vAlign w:val="center"/>
            <w:hideMark/>
          </w:tcPr>
          <w:p w14:paraId="33C58B12" w14:textId="47CD268B" w:rsidR="0099254F" w:rsidRPr="007B2B87" w:rsidRDefault="0099254F" w:rsidP="0099254F">
            <w:pPr>
              <w:jc w:val="right"/>
              <w:rPr>
                <w:rFonts w:ascii="Aptos Narrow" w:hAnsi="Aptos Narrow"/>
                <w:color w:val="000000" w:themeColor="text1"/>
              </w:rPr>
            </w:pPr>
            <w:r>
              <w:rPr>
                <w:rFonts w:ascii="Aptos Narrow" w:hAnsi="Aptos Narrow"/>
                <w:color w:val="000000"/>
              </w:rPr>
              <w:t>134 546</w:t>
            </w:r>
          </w:p>
        </w:tc>
        <w:tc>
          <w:tcPr>
            <w:tcW w:w="1361" w:type="dxa"/>
            <w:tcBorders>
              <w:top w:val="nil"/>
              <w:left w:val="nil"/>
              <w:bottom w:val="single" w:sz="4" w:space="0" w:color="auto"/>
              <w:right w:val="single" w:sz="4" w:space="0" w:color="auto"/>
            </w:tcBorders>
            <w:noWrap/>
            <w:vAlign w:val="center"/>
            <w:hideMark/>
          </w:tcPr>
          <w:p w14:paraId="3C750C5A" w14:textId="23735620" w:rsidR="0099254F" w:rsidRPr="007B2B87" w:rsidRDefault="0099254F" w:rsidP="0099254F">
            <w:pPr>
              <w:jc w:val="right"/>
              <w:rPr>
                <w:rFonts w:ascii="Aptos Narrow" w:hAnsi="Aptos Narrow"/>
                <w:color w:val="000000" w:themeColor="text1"/>
              </w:rPr>
            </w:pPr>
            <w:r>
              <w:rPr>
                <w:rFonts w:ascii="Aptos Narrow" w:hAnsi="Aptos Narrow"/>
                <w:color w:val="000000"/>
              </w:rPr>
              <w:t>13,24</w:t>
            </w:r>
          </w:p>
        </w:tc>
      </w:tr>
      <w:tr w:rsidR="0099254F" w:rsidRPr="007B2B87" w14:paraId="65986043"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3313799D" w14:textId="77777777" w:rsidR="0099254F" w:rsidRPr="007B2B87" w:rsidRDefault="0099254F" w:rsidP="0099254F">
            <w:pPr>
              <w:rPr>
                <w:rFonts w:ascii="Aptos Narrow" w:hAnsi="Aptos Narrow"/>
                <w:color w:val="000000"/>
              </w:rPr>
            </w:pPr>
            <w:r w:rsidRPr="007B2B87">
              <w:rPr>
                <w:rFonts w:ascii="Aptos Narrow" w:hAnsi="Aptos Narrow"/>
                <w:color w:val="000000"/>
              </w:rPr>
              <w:t>FHS</w:t>
            </w:r>
          </w:p>
        </w:tc>
        <w:tc>
          <w:tcPr>
            <w:tcW w:w="1304" w:type="dxa"/>
            <w:tcBorders>
              <w:top w:val="nil"/>
              <w:left w:val="nil"/>
              <w:bottom w:val="single" w:sz="4" w:space="0" w:color="auto"/>
              <w:right w:val="single" w:sz="4" w:space="0" w:color="auto"/>
            </w:tcBorders>
            <w:noWrap/>
            <w:vAlign w:val="center"/>
            <w:hideMark/>
          </w:tcPr>
          <w:p w14:paraId="0D2D4F22" w14:textId="538D6AB6"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110 369,12</w:t>
            </w:r>
          </w:p>
        </w:tc>
        <w:tc>
          <w:tcPr>
            <w:tcW w:w="1304" w:type="dxa"/>
            <w:tcBorders>
              <w:top w:val="nil"/>
              <w:left w:val="nil"/>
              <w:bottom w:val="single" w:sz="4" w:space="0" w:color="auto"/>
              <w:right w:val="single" w:sz="4" w:space="0" w:color="auto"/>
            </w:tcBorders>
            <w:noWrap/>
            <w:vAlign w:val="center"/>
            <w:hideMark/>
          </w:tcPr>
          <w:p w14:paraId="1E418FB0" w14:textId="04332AFB"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19 713,39</w:t>
            </w:r>
          </w:p>
        </w:tc>
        <w:tc>
          <w:tcPr>
            <w:tcW w:w="1417" w:type="dxa"/>
            <w:tcBorders>
              <w:top w:val="nil"/>
              <w:left w:val="nil"/>
              <w:bottom w:val="single" w:sz="4" w:space="0" w:color="auto"/>
              <w:right w:val="single" w:sz="4" w:space="0" w:color="auto"/>
            </w:tcBorders>
            <w:noWrap/>
            <w:vAlign w:val="center"/>
            <w:hideMark/>
          </w:tcPr>
          <w:p w14:paraId="54321F97" w14:textId="63E150B4"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22 128,57</w:t>
            </w:r>
          </w:p>
        </w:tc>
        <w:tc>
          <w:tcPr>
            <w:tcW w:w="1474" w:type="dxa"/>
            <w:tcBorders>
              <w:top w:val="nil"/>
              <w:left w:val="nil"/>
              <w:bottom w:val="single" w:sz="4" w:space="0" w:color="auto"/>
              <w:right w:val="single" w:sz="4" w:space="0" w:color="auto"/>
            </w:tcBorders>
            <w:noWrap/>
            <w:vAlign w:val="center"/>
            <w:hideMark/>
          </w:tcPr>
          <w:p w14:paraId="7758D35C" w14:textId="431BCCA1"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25B16FCD" w14:textId="32CD7807" w:rsidR="0099254F" w:rsidRPr="007B2B87" w:rsidRDefault="0099254F" w:rsidP="0099254F">
            <w:pPr>
              <w:jc w:val="right"/>
              <w:rPr>
                <w:rFonts w:ascii="Aptos Narrow" w:hAnsi="Aptos Narrow"/>
                <w:color w:val="000000" w:themeColor="text1"/>
              </w:rPr>
            </w:pPr>
            <w:r>
              <w:rPr>
                <w:rFonts w:ascii="Aptos Narrow" w:hAnsi="Aptos Narrow"/>
                <w:color w:val="000000"/>
              </w:rPr>
              <w:t>13 195,18</w:t>
            </w:r>
          </w:p>
        </w:tc>
        <w:tc>
          <w:tcPr>
            <w:tcW w:w="1417" w:type="dxa"/>
            <w:tcBorders>
              <w:top w:val="nil"/>
              <w:left w:val="nil"/>
              <w:bottom w:val="single" w:sz="4" w:space="0" w:color="auto"/>
              <w:right w:val="single" w:sz="4" w:space="0" w:color="auto"/>
            </w:tcBorders>
            <w:noWrap/>
            <w:vAlign w:val="center"/>
            <w:hideMark/>
          </w:tcPr>
          <w:p w14:paraId="231ADD39" w14:textId="1A6B5BF8" w:rsidR="0099254F" w:rsidRPr="007B2B87" w:rsidRDefault="0099254F" w:rsidP="0099254F">
            <w:pPr>
              <w:jc w:val="right"/>
              <w:rPr>
                <w:rFonts w:ascii="Aptos Narrow" w:hAnsi="Aptos Narrow"/>
                <w:color w:val="000000" w:themeColor="text1"/>
              </w:rPr>
            </w:pPr>
            <w:r>
              <w:rPr>
                <w:rFonts w:ascii="Aptos Narrow" w:hAnsi="Aptos Narrow"/>
                <w:color w:val="000000"/>
              </w:rPr>
              <w:t>1 270,49</w:t>
            </w:r>
          </w:p>
        </w:tc>
        <w:tc>
          <w:tcPr>
            <w:tcW w:w="1814" w:type="dxa"/>
            <w:tcBorders>
              <w:top w:val="nil"/>
              <w:left w:val="nil"/>
              <w:bottom w:val="single" w:sz="4" w:space="0" w:color="auto"/>
              <w:right w:val="single" w:sz="4" w:space="0" w:color="auto"/>
            </w:tcBorders>
            <w:noWrap/>
            <w:vAlign w:val="center"/>
            <w:hideMark/>
          </w:tcPr>
          <w:p w14:paraId="58A58DB3" w14:textId="498A2312" w:rsidR="0099254F" w:rsidRPr="007B2B87" w:rsidRDefault="0099254F" w:rsidP="0099254F">
            <w:pPr>
              <w:jc w:val="right"/>
              <w:rPr>
                <w:rFonts w:ascii="Aptos Narrow" w:hAnsi="Aptos Narrow"/>
                <w:color w:val="000000" w:themeColor="text1"/>
              </w:rPr>
            </w:pPr>
            <w:r>
              <w:rPr>
                <w:rFonts w:ascii="Aptos Narrow" w:hAnsi="Aptos Narrow"/>
                <w:color w:val="000000"/>
              </w:rPr>
              <w:t>166 677</w:t>
            </w:r>
          </w:p>
        </w:tc>
        <w:tc>
          <w:tcPr>
            <w:tcW w:w="1361" w:type="dxa"/>
            <w:tcBorders>
              <w:top w:val="nil"/>
              <w:left w:val="nil"/>
              <w:bottom w:val="single" w:sz="4" w:space="0" w:color="auto"/>
              <w:right w:val="single" w:sz="4" w:space="0" w:color="auto"/>
            </w:tcBorders>
            <w:noWrap/>
            <w:vAlign w:val="center"/>
            <w:hideMark/>
          </w:tcPr>
          <w:p w14:paraId="6239FC7E" w14:textId="16AD1CB4" w:rsidR="0099254F" w:rsidRPr="007B2B87" w:rsidRDefault="0099254F" w:rsidP="0099254F">
            <w:pPr>
              <w:jc w:val="right"/>
              <w:rPr>
                <w:rFonts w:ascii="Aptos Narrow" w:hAnsi="Aptos Narrow"/>
                <w:color w:val="000000" w:themeColor="text1"/>
              </w:rPr>
            </w:pPr>
            <w:r>
              <w:rPr>
                <w:rFonts w:ascii="Aptos Narrow" w:hAnsi="Aptos Narrow"/>
                <w:color w:val="000000"/>
              </w:rPr>
              <w:t>16,41</w:t>
            </w:r>
          </w:p>
        </w:tc>
      </w:tr>
      <w:tr w:rsidR="0099254F" w:rsidRPr="007B2B87" w14:paraId="293DC56D"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21B1D929" w14:textId="77777777" w:rsidR="0099254F" w:rsidRPr="007B2B87" w:rsidRDefault="0099254F" w:rsidP="0099254F">
            <w:pPr>
              <w:rPr>
                <w:rFonts w:ascii="Aptos Narrow" w:hAnsi="Aptos Narrow"/>
                <w:color w:val="000000"/>
              </w:rPr>
            </w:pPr>
            <w:r w:rsidRPr="007B2B87">
              <w:rPr>
                <w:rFonts w:ascii="Aptos Narrow" w:hAnsi="Aptos Narrow"/>
                <w:color w:val="000000"/>
              </w:rPr>
              <w:t>UNI</w:t>
            </w:r>
          </w:p>
        </w:tc>
        <w:tc>
          <w:tcPr>
            <w:tcW w:w="1304" w:type="dxa"/>
            <w:tcBorders>
              <w:top w:val="nil"/>
              <w:left w:val="nil"/>
              <w:bottom w:val="single" w:sz="4" w:space="0" w:color="auto"/>
              <w:right w:val="single" w:sz="4" w:space="0" w:color="auto"/>
            </w:tcBorders>
            <w:noWrap/>
            <w:vAlign w:val="center"/>
            <w:hideMark/>
          </w:tcPr>
          <w:p w14:paraId="3EE4C62C" w14:textId="725A69DB"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4 508,88</w:t>
            </w:r>
          </w:p>
        </w:tc>
        <w:tc>
          <w:tcPr>
            <w:tcW w:w="1304" w:type="dxa"/>
            <w:tcBorders>
              <w:top w:val="nil"/>
              <w:left w:val="nil"/>
              <w:bottom w:val="single" w:sz="4" w:space="0" w:color="auto"/>
              <w:right w:val="single" w:sz="4" w:space="0" w:color="auto"/>
            </w:tcBorders>
            <w:noWrap/>
            <w:vAlign w:val="center"/>
            <w:hideMark/>
          </w:tcPr>
          <w:p w14:paraId="69935C60" w14:textId="27DAB0E0"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21 103,54</w:t>
            </w:r>
          </w:p>
        </w:tc>
        <w:tc>
          <w:tcPr>
            <w:tcW w:w="1417" w:type="dxa"/>
            <w:tcBorders>
              <w:top w:val="nil"/>
              <w:left w:val="nil"/>
              <w:bottom w:val="single" w:sz="4" w:space="0" w:color="auto"/>
              <w:right w:val="single" w:sz="4" w:space="0" w:color="auto"/>
            </w:tcBorders>
            <w:noWrap/>
            <w:vAlign w:val="center"/>
            <w:hideMark/>
          </w:tcPr>
          <w:p w14:paraId="554BB946" w14:textId="68035025"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501D8965" w14:textId="1C860206"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182CBBFD" w14:textId="5DD8B5BF" w:rsidR="0099254F" w:rsidRPr="007B2B87" w:rsidRDefault="0099254F" w:rsidP="0099254F">
            <w:pPr>
              <w:jc w:val="right"/>
              <w:rPr>
                <w:rFonts w:ascii="Aptos Narrow" w:hAnsi="Aptos Narrow"/>
                <w:color w:val="000000" w:themeColor="text1"/>
              </w:rPr>
            </w:pPr>
            <w:r>
              <w:rPr>
                <w:rFonts w:ascii="Aptos Narrow" w:hAnsi="Aptos Narrow"/>
                <w:color w:val="000000"/>
              </w:rPr>
              <w:t>56 034,32</w:t>
            </w:r>
          </w:p>
        </w:tc>
        <w:tc>
          <w:tcPr>
            <w:tcW w:w="1417" w:type="dxa"/>
            <w:tcBorders>
              <w:top w:val="nil"/>
              <w:left w:val="nil"/>
              <w:bottom w:val="single" w:sz="4" w:space="0" w:color="auto"/>
              <w:right w:val="single" w:sz="4" w:space="0" w:color="auto"/>
            </w:tcBorders>
            <w:noWrap/>
            <w:vAlign w:val="center"/>
            <w:hideMark/>
          </w:tcPr>
          <w:p w14:paraId="073499A7" w14:textId="5C366E76" w:rsidR="0099254F" w:rsidRPr="007B2B87" w:rsidRDefault="0099254F" w:rsidP="0099254F">
            <w:pPr>
              <w:jc w:val="right"/>
              <w:rPr>
                <w:rFonts w:ascii="Aptos Narrow" w:hAnsi="Aptos Narrow"/>
                <w:color w:val="000000" w:themeColor="text1"/>
              </w:rPr>
            </w:pPr>
            <w:r>
              <w:rPr>
                <w:rFonts w:ascii="Aptos Narrow" w:hAnsi="Aptos Narrow"/>
                <w:color w:val="000000"/>
              </w:rPr>
              <w:t>5 142,41</w:t>
            </w:r>
          </w:p>
        </w:tc>
        <w:tc>
          <w:tcPr>
            <w:tcW w:w="1814" w:type="dxa"/>
            <w:tcBorders>
              <w:top w:val="nil"/>
              <w:left w:val="nil"/>
              <w:bottom w:val="single" w:sz="4" w:space="0" w:color="auto"/>
              <w:right w:val="single" w:sz="4" w:space="0" w:color="auto"/>
            </w:tcBorders>
            <w:noWrap/>
            <w:vAlign w:val="center"/>
            <w:hideMark/>
          </w:tcPr>
          <w:p w14:paraId="07F74CC0" w14:textId="267B6AC1" w:rsidR="0099254F" w:rsidRPr="007B2B87" w:rsidRDefault="0099254F" w:rsidP="0099254F">
            <w:pPr>
              <w:jc w:val="right"/>
              <w:rPr>
                <w:rFonts w:ascii="Aptos Narrow" w:hAnsi="Aptos Narrow"/>
                <w:color w:val="000000" w:themeColor="text1"/>
              </w:rPr>
            </w:pPr>
            <w:r>
              <w:rPr>
                <w:rFonts w:ascii="Aptos Narrow" w:hAnsi="Aptos Narrow"/>
                <w:color w:val="000000"/>
              </w:rPr>
              <w:t>86 789</w:t>
            </w:r>
          </w:p>
        </w:tc>
        <w:tc>
          <w:tcPr>
            <w:tcW w:w="1361" w:type="dxa"/>
            <w:tcBorders>
              <w:top w:val="nil"/>
              <w:left w:val="nil"/>
              <w:bottom w:val="single" w:sz="4" w:space="0" w:color="auto"/>
              <w:right w:val="single" w:sz="4" w:space="0" w:color="auto"/>
            </w:tcBorders>
            <w:noWrap/>
            <w:vAlign w:val="center"/>
            <w:hideMark/>
          </w:tcPr>
          <w:p w14:paraId="35481441" w14:textId="13AAD102" w:rsidR="0099254F" w:rsidRPr="007B2B87" w:rsidRDefault="0099254F" w:rsidP="0099254F">
            <w:pPr>
              <w:jc w:val="right"/>
              <w:rPr>
                <w:rFonts w:ascii="Aptos Narrow" w:hAnsi="Aptos Narrow"/>
                <w:color w:val="000000" w:themeColor="text1"/>
              </w:rPr>
            </w:pPr>
            <w:r>
              <w:rPr>
                <w:rFonts w:ascii="Aptos Narrow" w:hAnsi="Aptos Narrow"/>
                <w:color w:val="000000"/>
              </w:rPr>
              <w:t>8,54</w:t>
            </w:r>
          </w:p>
        </w:tc>
      </w:tr>
      <w:tr w:rsidR="0099254F" w:rsidRPr="007B2B87" w14:paraId="38E18CDF" w14:textId="77777777" w:rsidTr="0099254F">
        <w:trPr>
          <w:trHeight w:val="340"/>
        </w:trPr>
        <w:tc>
          <w:tcPr>
            <w:tcW w:w="1098" w:type="dxa"/>
            <w:tcBorders>
              <w:top w:val="nil"/>
              <w:left w:val="single" w:sz="4" w:space="0" w:color="auto"/>
              <w:bottom w:val="single" w:sz="4" w:space="0" w:color="auto"/>
              <w:right w:val="single" w:sz="4" w:space="0" w:color="auto"/>
            </w:tcBorders>
            <w:vAlign w:val="center"/>
            <w:hideMark/>
          </w:tcPr>
          <w:p w14:paraId="2A6F1B02" w14:textId="77777777" w:rsidR="0099254F" w:rsidRPr="007B2B87" w:rsidRDefault="0099254F" w:rsidP="0099254F">
            <w:pPr>
              <w:rPr>
                <w:rFonts w:ascii="Aptos Narrow" w:hAnsi="Aptos Narrow"/>
                <w:color w:val="000000"/>
              </w:rPr>
            </w:pPr>
            <w:r w:rsidRPr="007B2B87">
              <w:rPr>
                <w:rFonts w:ascii="Aptos Narrow" w:hAnsi="Aptos Narrow"/>
                <w:color w:val="000000"/>
              </w:rPr>
              <w:t>Knihovna</w:t>
            </w:r>
          </w:p>
        </w:tc>
        <w:tc>
          <w:tcPr>
            <w:tcW w:w="1304" w:type="dxa"/>
            <w:tcBorders>
              <w:top w:val="nil"/>
              <w:left w:val="nil"/>
              <w:bottom w:val="single" w:sz="4" w:space="0" w:color="auto"/>
              <w:right w:val="single" w:sz="4" w:space="0" w:color="auto"/>
            </w:tcBorders>
            <w:noWrap/>
            <w:vAlign w:val="center"/>
            <w:hideMark/>
          </w:tcPr>
          <w:p w14:paraId="036BF45F" w14:textId="1044F5CC"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0,00</w:t>
            </w:r>
          </w:p>
        </w:tc>
        <w:tc>
          <w:tcPr>
            <w:tcW w:w="1304" w:type="dxa"/>
            <w:tcBorders>
              <w:top w:val="nil"/>
              <w:left w:val="nil"/>
              <w:bottom w:val="single" w:sz="4" w:space="0" w:color="auto"/>
              <w:right w:val="single" w:sz="4" w:space="0" w:color="auto"/>
            </w:tcBorders>
            <w:noWrap/>
            <w:vAlign w:val="center"/>
            <w:hideMark/>
          </w:tcPr>
          <w:p w14:paraId="5F8A8F6A" w14:textId="608ED51E"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373,13</w:t>
            </w:r>
          </w:p>
        </w:tc>
        <w:tc>
          <w:tcPr>
            <w:tcW w:w="1417" w:type="dxa"/>
            <w:tcBorders>
              <w:top w:val="nil"/>
              <w:left w:val="nil"/>
              <w:bottom w:val="single" w:sz="4" w:space="0" w:color="auto"/>
              <w:right w:val="single" w:sz="4" w:space="0" w:color="auto"/>
            </w:tcBorders>
            <w:noWrap/>
            <w:vAlign w:val="center"/>
            <w:hideMark/>
          </w:tcPr>
          <w:p w14:paraId="61ACCA78" w14:textId="79906FC3"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03D7AB2D" w14:textId="5C08693C"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03CE99BE" w14:textId="603C90E0" w:rsidR="0099254F" w:rsidRPr="007B2B87" w:rsidRDefault="0099254F" w:rsidP="0099254F">
            <w:pPr>
              <w:jc w:val="right"/>
              <w:rPr>
                <w:rFonts w:ascii="Aptos Narrow" w:hAnsi="Aptos Narrow"/>
                <w:color w:val="000000" w:themeColor="text1"/>
              </w:rPr>
            </w:pPr>
            <w:r>
              <w:rPr>
                <w:rFonts w:ascii="Aptos Narrow" w:hAnsi="Aptos Narrow"/>
                <w:color w:val="000000"/>
              </w:rPr>
              <w:t>665,62</w:t>
            </w:r>
          </w:p>
        </w:tc>
        <w:tc>
          <w:tcPr>
            <w:tcW w:w="1417" w:type="dxa"/>
            <w:tcBorders>
              <w:top w:val="nil"/>
              <w:left w:val="nil"/>
              <w:bottom w:val="single" w:sz="4" w:space="0" w:color="auto"/>
              <w:right w:val="single" w:sz="4" w:space="0" w:color="auto"/>
            </w:tcBorders>
            <w:noWrap/>
            <w:vAlign w:val="center"/>
            <w:hideMark/>
          </w:tcPr>
          <w:p w14:paraId="27ECD0F0" w14:textId="159F93EC" w:rsidR="0099254F" w:rsidRPr="007B2B87" w:rsidRDefault="0099254F" w:rsidP="0099254F">
            <w:pPr>
              <w:jc w:val="right"/>
              <w:rPr>
                <w:rFonts w:ascii="Aptos Narrow" w:hAnsi="Aptos Narrow"/>
                <w:color w:val="000000" w:themeColor="text1"/>
              </w:rPr>
            </w:pPr>
            <w:r>
              <w:rPr>
                <w:rFonts w:ascii="Aptos Narrow" w:hAnsi="Aptos Narrow"/>
                <w:color w:val="000000"/>
              </w:rPr>
              <w:t>0,00</w:t>
            </w:r>
          </w:p>
        </w:tc>
        <w:tc>
          <w:tcPr>
            <w:tcW w:w="1814" w:type="dxa"/>
            <w:tcBorders>
              <w:top w:val="nil"/>
              <w:left w:val="nil"/>
              <w:bottom w:val="single" w:sz="4" w:space="0" w:color="auto"/>
              <w:right w:val="single" w:sz="4" w:space="0" w:color="auto"/>
            </w:tcBorders>
            <w:noWrap/>
            <w:vAlign w:val="center"/>
            <w:hideMark/>
          </w:tcPr>
          <w:p w14:paraId="43184288" w14:textId="154CDC82" w:rsidR="0099254F" w:rsidRPr="007B2B87" w:rsidRDefault="0099254F" w:rsidP="0099254F">
            <w:pPr>
              <w:jc w:val="right"/>
              <w:rPr>
                <w:rFonts w:ascii="Aptos Narrow" w:hAnsi="Aptos Narrow"/>
                <w:color w:val="000000" w:themeColor="text1"/>
              </w:rPr>
            </w:pPr>
            <w:r>
              <w:rPr>
                <w:rFonts w:ascii="Aptos Narrow" w:hAnsi="Aptos Narrow"/>
                <w:color w:val="000000"/>
              </w:rPr>
              <w:t>1 039</w:t>
            </w:r>
          </w:p>
        </w:tc>
        <w:tc>
          <w:tcPr>
            <w:tcW w:w="1361" w:type="dxa"/>
            <w:tcBorders>
              <w:top w:val="nil"/>
              <w:left w:val="nil"/>
              <w:bottom w:val="single" w:sz="4" w:space="0" w:color="auto"/>
              <w:right w:val="single" w:sz="4" w:space="0" w:color="auto"/>
            </w:tcBorders>
            <w:noWrap/>
            <w:vAlign w:val="center"/>
            <w:hideMark/>
          </w:tcPr>
          <w:p w14:paraId="14BD2FDA" w14:textId="58855C28" w:rsidR="0099254F" w:rsidRPr="007B2B87" w:rsidRDefault="0099254F" w:rsidP="0099254F">
            <w:pPr>
              <w:jc w:val="right"/>
              <w:rPr>
                <w:rFonts w:ascii="Aptos Narrow" w:hAnsi="Aptos Narrow"/>
                <w:color w:val="000000" w:themeColor="text1"/>
              </w:rPr>
            </w:pPr>
            <w:r>
              <w:rPr>
                <w:rFonts w:ascii="Aptos Narrow" w:hAnsi="Aptos Narrow"/>
                <w:color w:val="000000"/>
              </w:rPr>
              <w:t>0,10</w:t>
            </w:r>
          </w:p>
        </w:tc>
      </w:tr>
      <w:tr w:rsidR="0099254F" w:rsidRPr="007B2B87" w14:paraId="1DEAB715" w14:textId="77777777" w:rsidTr="0099254F">
        <w:trPr>
          <w:trHeight w:val="320"/>
        </w:trPr>
        <w:tc>
          <w:tcPr>
            <w:tcW w:w="1098" w:type="dxa"/>
            <w:tcBorders>
              <w:top w:val="nil"/>
              <w:left w:val="single" w:sz="4" w:space="0" w:color="auto"/>
              <w:bottom w:val="single" w:sz="4" w:space="0" w:color="auto"/>
              <w:right w:val="single" w:sz="4" w:space="0" w:color="auto"/>
            </w:tcBorders>
            <w:noWrap/>
            <w:vAlign w:val="center"/>
            <w:hideMark/>
          </w:tcPr>
          <w:p w14:paraId="3FE61636" w14:textId="77777777" w:rsidR="0099254F" w:rsidRPr="007B2B87" w:rsidRDefault="0099254F" w:rsidP="0099254F">
            <w:pPr>
              <w:rPr>
                <w:rFonts w:ascii="Aptos Narrow" w:hAnsi="Aptos Narrow"/>
                <w:color w:val="000000"/>
              </w:rPr>
            </w:pPr>
            <w:r w:rsidRPr="007B2B87">
              <w:rPr>
                <w:rFonts w:ascii="Aptos Narrow" w:hAnsi="Aptos Narrow"/>
                <w:color w:val="000000"/>
              </w:rPr>
              <w:t>KMZ</w:t>
            </w:r>
          </w:p>
        </w:tc>
        <w:tc>
          <w:tcPr>
            <w:tcW w:w="1304" w:type="dxa"/>
            <w:tcBorders>
              <w:top w:val="nil"/>
              <w:left w:val="nil"/>
              <w:bottom w:val="single" w:sz="4" w:space="0" w:color="auto"/>
              <w:right w:val="single" w:sz="4" w:space="0" w:color="auto"/>
            </w:tcBorders>
            <w:noWrap/>
            <w:vAlign w:val="center"/>
            <w:hideMark/>
          </w:tcPr>
          <w:p w14:paraId="78EEEF3A" w14:textId="1BD9A73A"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0,00</w:t>
            </w:r>
          </w:p>
        </w:tc>
        <w:tc>
          <w:tcPr>
            <w:tcW w:w="1304" w:type="dxa"/>
            <w:tcBorders>
              <w:top w:val="nil"/>
              <w:left w:val="nil"/>
              <w:bottom w:val="single" w:sz="4" w:space="0" w:color="auto"/>
              <w:right w:val="single" w:sz="4" w:space="0" w:color="auto"/>
            </w:tcBorders>
            <w:noWrap/>
            <w:vAlign w:val="center"/>
            <w:hideMark/>
          </w:tcPr>
          <w:p w14:paraId="015C8D91" w14:textId="466FB0B7"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0,00</w:t>
            </w:r>
          </w:p>
        </w:tc>
        <w:tc>
          <w:tcPr>
            <w:tcW w:w="1417" w:type="dxa"/>
            <w:tcBorders>
              <w:top w:val="nil"/>
              <w:left w:val="nil"/>
              <w:bottom w:val="single" w:sz="4" w:space="0" w:color="auto"/>
              <w:right w:val="single" w:sz="4" w:space="0" w:color="auto"/>
            </w:tcBorders>
            <w:noWrap/>
            <w:vAlign w:val="center"/>
            <w:hideMark/>
          </w:tcPr>
          <w:p w14:paraId="56AFB324" w14:textId="0FAD5DDA" w:rsidR="0099254F" w:rsidRPr="0099254F" w:rsidRDefault="0099254F" w:rsidP="0099254F">
            <w:pPr>
              <w:jc w:val="right"/>
              <w:rPr>
                <w:rFonts w:ascii="Aptos Narrow" w:hAnsi="Aptos Narrow"/>
                <w:color w:val="000000" w:themeColor="text1"/>
              </w:rPr>
            </w:pPr>
            <w:r w:rsidRPr="0099254F">
              <w:rPr>
                <w:rFonts w:ascii="Aptos Narrow" w:hAnsi="Aptos Narrow"/>
                <w:color w:val="000000" w:themeColor="text1"/>
              </w:rPr>
              <w:t>0 </w:t>
            </w:r>
          </w:p>
        </w:tc>
        <w:tc>
          <w:tcPr>
            <w:tcW w:w="1474" w:type="dxa"/>
            <w:tcBorders>
              <w:top w:val="nil"/>
              <w:left w:val="nil"/>
              <w:bottom w:val="single" w:sz="4" w:space="0" w:color="auto"/>
              <w:right w:val="single" w:sz="4" w:space="0" w:color="auto"/>
            </w:tcBorders>
            <w:noWrap/>
            <w:vAlign w:val="center"/>
            <w:hideMark/>
          </w:tcPr>
          <w:p w14:paraId="7941CF76" w14:textId="25BC0C98" w:rsidR="0099254F" w:rsidRPr="007B2B87" w:rsidRDefault="0099254F" w:rsidP="0099254F">
            <w:pPr>
              <w:jc w:val="right"/>
              <w:rPr>
                <w:rFonts w:ascii="Aptos Narrow" w:hAnsi="Aptos Narrow"/>
                <w:color w:val="000000" w:themeColor="text1"/>
              </w:rPr>
            </w:pPr>
            <w:r w:rsidRPr="007B2B87">
              <w:rPr>
                <w:rFonts w:ascii="Aptos Narrow" w:hAnsi="Aptos Narrow"/>
                <w:color w:val="000000" w:themeColor="text1"/>
              </w:rPr>
              <w:t> 0</w:t>
            </w:r>
          </w:p>
        </w:tc>
        <w:tc>
          <w:tcPr>
            <w:tcW w:w="1757" w:type="dxa"/>
            <w:tcBorders>
              <w:top w:val="nil"/>
              <w:left w:val="nil"/>
              <w:bottom w:val="single" w:sz="4" w:space="0" w:color="auto"/>
              <w:right w:val="single" w:sz="4" w:space="0" w:color="auto"/>
            </w:tcBorders>
            <w:noWrap/>
            <w:vAlign w:val="center"/>
            <w:hideMark/>
          </w:tcPr>
          <w:p w14:paraId="6CC0E404" w14:textId="58009289" w:rsidR="0099254F" w:rsidRPr="007B2B87" w:rsidRDefault="0099254F" w:rsidP="0099254F">
            <w:pPr>
              <w:jc w:val="right"/>
              <w:rPr>
                <w:rFonts w:ascii="Aptos Narrow" w:hAnsi="Aptos Narrow"/>
                <w:color w:val="000000" w:themeColor="text1"/>
              </w:rPr>
            </w:pPr>
            <w:r>
              <w:rPr>
                <w:rFonts w:ascii="Aptos Narrow" w:hAnsi="Aptos Narrow"/>
                <w:color w:val="000000"/>
              </w:rPr>
              <w:t>0,00</w:t>
            </w:r>
          </w:p>
        </w:tc>
        <w:tc>
          <w:tcPr>
            <w:tcW w:w="1417" w:type="dxa"/>
            <w:tcBorders>
              <w:top w:val="nil"/>
              <w:left w:val="nil"/>
              <w:bottom w:val="single" w:sz="4" w:space="0" w:color="auto"/>
              <w:right w:val="single" w:sz="4" w:space="0" w:color="auto"/>
            </w:tcBorders>
            <w:noWrap/>
            <w:vAlign w:val="center"/>
            <w:hideMark/>
          </w:tcPr>
          <w:p w14:paraId="3EF85AEC" w14:textId="5CD8B1FD" w:rsidR="0099254F" w:rsidRPr="007B2B87" w:rsidRDefault="0099254F" w:rsidP="0099254F">
            <w:pPr>
              <w:jc w:val="right"/>
              <w:rPr>
                <w:rFonts w:ascii="Aptos Narrow" w:hAnsi="Aptos Narrow"/>
                <w:color w:val="000000" w:themeColor="text1"/>
              </w:rPr>
            </w:pPr>
            <w:r>
              <w:rPr>
                <w:rFonts w:ascii="Aptos Narrow" w:hAnsi="Aptos Narrow"/>
                <w:color w:val="000000"/>
              </w:rPr>
              <w:t>0,00</w:t>
            </w:r>
          </w:p>
        </w:tc>
        <w:tc>
          <w:tcPr>
            <w:tcW w:w="1814" w:type="dxa"/>
            <w:tcBorders>
              <w:top w:val="nil"/>
              <w:left w:val="nil"/>
              <w:bottom w:val="single" w:sz="4" w:space="0" w:color="auto"/>
              <w:right w:val="single" w:sz="4" w:space="0" w:color="auto"/>
            </w:tcBorders>
            <w:noWrap/>
            <w:vAlign w:val="center"/>
            <w:hideMark/>
          </w:tcPr>
          <w:p w14:paraId="58C4F81C" w14:textId="7861A4A1" w:rsidR="0099254F" w:rsidRPr="007B2B87" w:rsidRDefault="0099254F" w:rsidP="0099254F">
            <w:pPr>
              <w:jc w:val="right"/>
              <w:rPr>
                <w:rFonts w:ascii="Aptos Narrow" w:hAnsi="Aptos Narrow"/>
                <w:color w:val="000000" w:themeColor="text1"/>
              </w:rPr>
            </w:pPr>
            <w:r>
              <w:rPr>
                <w:rFonts w:ascii="Aptos Narrow" w:hAnsi="Aptos Narrow"/>
                <w:color w:val="000000"/>
              </w:rPr>
              <w:t>0</w:t>
            </w:r>
          </w:p>
        </w:tc>
        <w:tc>
          <w:tcPr>
            <w:tcW w:w="1361" w:type="dxa"/>
            <w:tcBorders>
              <w:top w:val="nil"/>
              <w:left w:val="nil"/>
              <w:bottom w:val="single" w:sz="4" w:space="0" w:color="auto"/>
              <w:right w:val="single" w:sz="4" w:space="0" w:color="auto"/>
            </w:tcBorders>
            <w:noWrap/>
            <w:vAlign w:val="center"/>
            <w:hideMark/>
          </w:tcPr>
          <w:p w14:paraId="176F24FD" w14:textId="71A8E447" w:rsidR="0099254F" w:rsidRPr="007B2B87" w:rsidRDefault="0099254F" w:rsidP="0099254F">
            <w:pPr>
              <w:jc w:val="right"/>
              <w:rPr>
                <w:rFonts w:ascii="Aptos Narrow" w:hAnsi="Aptos Narrow"/>
                <w:color w:val="000000" w:themeColor="text1"/>
              </w:rPr>
            </w:pPr>
            <w:r>
              <w:rPr>
                <w:rFonts w:ascii="Aptos Narrow" w:hAnsi="Aptos Narrow"/>
                <w:color w:val="000000"/>
              </w:rPr>
              <w:t>0,00</w:t>
            </w:r>
          </w:p>
        </w:tc>
      </w:tr>
      <w:tr w:rsidR="000A20AA" w:rsidRPr="007B2B87" w14:paraId="6D17C3D8" w14:textId="77777777" w:rsidTr="000A20AA">
        <w:trPr>
          <w:trHeight w:val="320"/>
        </w:trPr>
        <w:tc>
          <w:tcPr>
            <w:tcW w:w="1098" w:type="dxa"/>
            <w:tcBorders>
              <w:top w:val="nil"/>
              <w:left w:val="single" w:sz="4" w:space="0" w:color="auto"/>
              <w:bottom w:val="single" w:sz="4" w:space="0" w:color="auto"/>
              <w:right w:val="single" w:sz="4" w:space="0" w:color="auto"/>
            </w:tcBorders>
            <w:noWrap/>
            <w:vAlign w:val="center"/>
            <w:hideMark/>
          </w:tcPr>
          <w:p w14:paraId="507E6ACF" w14:textId="77777777" w:rsidR="000A20AA" w:rsidRPr="007B2B87" w:rsidRDefault="000A20AA" w:rsidP="007B2B87">
            <w:pPr>
              <w:rPr>
                <w:rFonts w:ascii="Aptos Narrow" w:hAnsi="Aptos Narrow"/>
                <w:b/>
                <w:bCs/>
                <w:color w:val="000000"/>
              </w:rPr>
            </w:pPr>
            <w:r w:rsidRPr="007B2B87">
              <w:rPr>
                <w:rFonts w:ascii="Aptos Narrow" w:hAnsi="Aptos Narrow"/>
                <w:b/>
                <w:bCs/>
                <w:color w:val="000000"/>
              </w:rPr>
              <w:t>Celkem</w:t>
            </w:r>
          </w:p>
        </w:tc>
        <w:tc>
          <w:tcPr>
            <w:tcW w:w="1304" w:type="dxa"/>
            <w:tcBorders>
              <w:top w:val="nil"/>
              <w:left w:val="nil"/>
              <w:bottom w:val="single" w:sz="4" w:space="0" w:color="auto"/>
              <w:right w:val="single" w:sz="4" w:space="0" w:color="auto"/>
            </w:tcBorders>
            <w:noWrap/>
            <w:vAlign w:val="center"/>
            <w:hideMark/>
          </w:tcPr>
          <w:p w14:paraId="1CD45A4C" w14:textId="77777777" w:rsidR="000A20AA" w:rsidRPr="007B2B87" w:rsidRDefault="000A20AA" w:rsidP="007B2B87">
            <w:pPr>
              <w:jc w:val="right"/>
              <w:rPr>
                <w:rFonts w:ascii="Aptos Narrow" w:hAnsi="Aptos Narrow"/>
                <w:b/>
                <w:bCs/>
                <w:color w:val="000000"/>
              </w:rPr>
            </w:pPr>
            <w:r w:rsidRPr="007B2B87">
              <w:rPr>
                <w:rFonts w:ascii="Aptos Narrow" w:hAnsi="Aptos Narrow"/>
                <w:b/>
                <w:bCs/>
                <w:color w:val="000000"/>
              </w:rPr>
              <w:t>652 366</w:t>
            </w:r>
          </w:p>
        </w:tc>
        <w:tc>
          <w:tcPr>
            <w:tcW w:w="1304" w:type="dxa"/>
            <w:tcBorders>
              <w:top w:val="nil"/>
              <w:left w:val="nil"/>
              <w:bottom w:val="single" w:sz="4" w:space="0" w:color="auto"/>
              <w:right w:val="single" w:sz="4" w:space="0" w:color="auto"/>
            </w:tcBorders>
            <w:noWrap/>
            <w:vAlign w:val="center"/>
            <w:hideMark/>
          </w:tcPr>
          <w:p w14:paraId="1998D9F2" w14:textId="77777777" w:rsidR="000A20AA" w:rsidRPr="007B2B87" w:rsidRDefault="000A20AA" w:rsidP="007B2B87">
            <w:pPr>
              <w:jc w:val="right"/>
              <w:rPr>
                <w:rFonts w:ascii="Aptos Narrow" w:hAnsi="Aptos Narrow"/>
                <w:b/>
                <w:bCs/>
                <w:color w:val="000000"/>
              </w:rPr>
            </w:pPr>
            <w:r w:rsidRPr="007B2B87">
              <w:rPr>
                <w:rFonts w:ascii="Aptos Narrow" w:hAnsi="Aptos Narrow"/>
                <w:b/>
                <w:bCs/>
                <w:color w:val="000000"/>
              </w:rPr>
              <w:t>141 227</w:t>
            </w:r>
          </w:p>
        </w:tc>
        <w:tc>
          <w:tcPr>
            <w:tcW w:w="1417" w:type="dxa"/>
            <w:tcBorders>
              <w:top w:val="nil"/>
              <w:left w:val="nil"/>
              <w:bottom w:val="single" w:sz="4" w:space="0" w:color="auto"/>
              <w:right w:val="single" w:sz="4" w:space="0" w:color="auto"/>
            </w:tcBorders>
            <w:noWrap/>
            <w:vAlign w:val="center"/>
            <w:hideMark/>
          </w:tcPr>
          <w:p w14:paraId="17EDE592" w14:textId="02786C2A" w:rsidR="000A20AA" w:rsidRPr="007B2B87" w:rsidRDefault="000A20AA" w:rsidP="007B2B87">
            <w:pPr>
              <w:jc w:val="right"/>
              <w:rPr>
                <w:rFonts w:ascii="Aptos Narrow" w:hAnsi="Aptos Narrow"/>
                <w:b/>
                <w:bCs/>
                <w:color w:val="000000"/>
              </w:rPr>
            </w:pPr>
            <w:r w:rsidRPr="007B2B87">
              <w:rPr>
                <w:rFonts w:ascii="Aptos Narrow" w:hAnsi="Aptos Narrow"/>
                <w:b/>
                <w:bCs/>
                <w:color w:val="000000"/>
              </w:rPr>
              <w:t>22 128,57</w:t>
            </w:r>
          </w:p>
        </w:tc>
        <w:tc>
          <w:tcPr>
            <w:tcW w:w="1474" w:type="dxa"/>
            <w:tcBorders>
              <w:top w:val="nil"/>
              <w:left w:val="nil"/>
              <w:bottom w:val="single" w:sz="4" w:space="0" w:color="auto"/>
              <w:right w:val="single" w:sz="4" w:space="0" w:color="auto"/>
            </w:tcBorders>
            <w:noWrap/>
            <w:vAlign w:val="center"/>
            <w:hideMark/>
          </w:tcPr>
          <w:p w14:paraId="5E76D6A7" w14:textId="77777777" w:rsidR="000A20AA" w:rsidRPr="007B2B87" w:rsidRDefault="000A20AA" w:rsidP="007B2B87">
            <w:pPr>
              <w:jc w:val="right"/>
              <w:rPr>
                <w:rFonts w:ascii="Aptos Narrow" w:hAnsi="Aptos Narrow"/>
                <w:b/>
                <w:bCs/>
              </w:rPr>
            </w:pPr>
            <w:r w:rsidRPr="007B2B87">
              <w:rPr>
                <w:rFonts w:ascii="Aptos Narrow" w:hAnsi="Aptos Narrow"/>
                <w:b/>
                <w:bCs/>
              </w:rPr>
              <w:t>12 161</w:t>
            </w:r>
          </w:p>
        </w:tc>
        <w:tc>
          <w:tcPr>
            <w:tcW w:w="1757" w:type="dxa"/>
            <w:tcBorders>
              <w:top w:val="nil"/>
              <w:left w:val="nil"/>
              <w:bottom w:val="single" w:sz="4" w:space="0" w:color="auto"/>
              <w:right w:val="single" w:sz="4" w:space="0" w:color="auto"/>
            </w:tcBorders>
            <w:noWrap/>
            <w:vAlign w:val="center"/>
            <w:hideMark/>
          </w:tcPr>
          <w:p w14:paraId="10159DB0" w14:textId="77777777" w:rsidR="000A20AA" w:rsidRPr="007B2B87" w:rsidRDefault="000A20AA" w:rsidP="007B2B87">
            <w:pPr>
              <w:jc w:val="right"/>
              <w:rPr>
                <w:rFonts w:ascii="Aptos Narrow" w:hAnsi="Aptos Narrow"/>
                <w:b/>
                <w:bCs/>
                <w:color w:val="000000"/>
              </w:rPr>
            </w:pPr>
            <w:r w:rsidRPr="007B2B87">
              <w:rPr>
                <w:rFonts w:ascii="Aptos Narrow" w:hAnsi="Aptos Narrow"/>
                <w:b/>
                <w:bCs/>
                <w:color w:val="000000"/>
              </w:rPr>
              <w:t>167 434</w:t>
            </w:r>
          </w:p>
        </w:tc>
        <w:tc>
          <w:tcPr>
            <w:tcW w:w="1417" w:type="dxa"/>
            <w:tcBorders>
              <w:top w:val="nil"/>
              <w:left w:val="nil"/>
              <w:bottom w:val="single" w:sz="4" w:space="0" w:color="auto"/>
              <w:right w:val="single" w:sz="4" w:space="0" w:color="auto"/>
            </w:tcBorders>
            <w:noWrap/>
            <w:vAlign w:val="center"/>
            <w:hideMark/>
          </w:tcPr>
          <w:p w14:paraId="284F1453" w14:textId="77777777" w:rsidR="000A20AA" w:rsidRPr="007B2B87" w:rsidRDefault="000A20AA" w:rsidP="007B2B87">
            <w:pPr>
              <w:jc w:val="right"/>
              <w:rPr>
                <w:rFonts w:ascii="Aptos Narrow" w:hAnsi="Aptos Narrow"/>
                <w:b/>
                <w:bCs/>
                <w:color w:val="000000"/>
              </w:rPr>
            </w:pPr>
            <w:r w:rsidRPr="007B2B87">
              <w:rPr>
                <w:rFonts w:ascii="Aptos Narrow" w:hAnsi="Aptos Narrow"/>
                <w:b/>
                <w:bCs/>
                <w:color w:val="000000"/>
              </w:rPr>
              <w:t>20 584</w:t>
            </w:r>
          </w:p>
        </w:tc>
        <w:tc>
          <w:tcPr>
            <w:tcW w:w="1814" w:type="dxa"/>
            <w:tcBorders>
              <w:top w:val="nil"/>
              <w:left w:val="nil"/>
              <w:bottom w:val="single" w:sz="4" w:space="0" w:color="auto"/>
              <w:right w:val="single" w:sz="4" w:space="0" w:color="auto"/>
            </w:tcBorders>
            <w:noWrap/>
            <w:vAlign w:val="center"/>
            <w:hideMark/>
          </w:tcPr>
          <w:p w14:paraId="7CCB6E25" w14:textId="77777777" w:rsidR="000A20AA" w:rsidRPr="007B2B87" w:rsidRDefault="000A20AA" w:rsidP="007B2B87">
            <w:pPr>
              <w:jc w:val="right"/>
              <w:rPr>
                <w:rFonts w:ascii="Aptos Narrow" w:hAnsi="Aptos Narrow"/>
                <w:b/>
                <w:bCs/>
                <w:color w:val="000000"/>
              </w:rPr>
            </w:pPr>
            <w:r w:rsidRPr="007B2B87">
              <w:rPr>
                <w:rFonts w:ascii="Aptos Narrow" w:hAnsi="Aptos Narrow"/>
                <w:b/>
                <w:bCs/>
                <w:color w:val="000000"/>
              </w:rPr>
              <w:t>1 015 900</w:t>
            </w:r>
          </w:p>
        </w:tc>
        <w:tc>
          <w:tcPr>
            <w:tcW w:w="1361" w:type="dxa"/>
            <w:tcBorders>
              <w:top w:val="nil"/>
              <w:left w:val="nil"/>
              <w:bottom w:val="single" w:sz="4" w:space="0" w:color="auto"/>
              <w:right w:val="single" w:sz="4" w:space="0" w:color="auto"/>
            </w:tcBorders>
            <w:noWrap/>
            <w:vAlign w:val="center"/>
            <w:hideMark/>
          </w:tcPr>
          <w:p w14:paraId="234D71E9" w14:textId="77777777" w:rsidR="000A20AA" w:rsidRPr="007B2B87" w:rsidRDefault="000A20AA" w:rsidP="007B2B87">
            <w:pPr>
              <w:jc w:val="right"/>
              <w:rPr>
                <w:rFonts w:ascii="Aptos Narrow" w:hAnsi="Aptos Narrow"/>
                <w:b/>
                <w:bCs/>
                <w:color w:val="000000"/>
              </w:rPr>
            </w:pPr>
            <w:r w:rsidRPr="007B2B87">
              <w:rPr>
                <w:rFonts w:ascii="Aptos Narrow" w:hAnsi="Aptos Narrow"/>
                <w:b/>
                <w:bCs/>
                <w:color w:val="000000"/>
              </w:rPr>
              <w:t>100,00</w:t>
            </w:r>
          </w:p>
        </w:tc>
      </w:tr>
    </w:tbl>
    <w:p w14:paraId="58D98FE7" w14:textId="211C302B" w:rsidR="001555D7" w:rsidRDefault="00B27FA9" w:rsidP="00B2532E">
      <w:pPr>
        <w:pStyle w:val="RozpocetOdstavec"/>
      </w:pPr>
      <w:r>
        <w:t>(před odvody)</w:t>
      </w:r>
    </w:p>
    <w:p w14:paraId="2BCAFE96" w14:textId="77777777" w:rsidR="00F54427" w:rsidRDefault="00F54427" w:rsidP="00B2532E">
      <w:pPr>
        <w:pStyle w:val="RozpocetOdstavec"/>
      </w:pPr>
    </w:p>
    <w:p w14:paraId="0DB7C7B5" w14:textId="7FA2A931" w:rsidR="00B644DE" w:rsidRPr="00997289" w:rsidRDefault="00B644DE" w:rsidP="00B644DE">
      <w:pPr>
        <w:pStyle w:val="RozpocetNadpis2"/>
      </w:pPr>
      <w:bookmarkStart w:id="48" w:name="_Toc228824352"/>
      <w:r w:rsidRPr="00997289">
        <w:t>Přehled objemu ostatních výnosů roku 202</w:t>
      </w:r>
      <w:r w:rsidR="00B81F69">
        <w:t>5</w:t>
      </w:r>
      <w:r w:rsidRPr="00997289">
        <w:t xml:space="preserve"> započtených do výpočtu odvodů</w:t>
      </w:r>
      <w:bookmarkEnd w:id="48"/>
    </w:p>
    <w:p w14:paraId="23B0DCCE" w14:textId="176D86E5" w:rsidR="0026780E" w:rsidRDefault="00E340B7" w:rsidP="00E340B7">
      <w:pPr>
        <w:pStyle w:val="RozpocetOdstavec"/>
      </w:pPr>
      <w:r w:rsidRPr="00997289">
        <w:t>Ostatní výnosy jsou výnosy jednotlivých součástí mimo ukazatele A, K, F, FUČ, DKRVO a SVV.</w:t>
      </w:r>
    </w:p>
    <w:p w14:paraId="67CD905F" w14:textId="77777777" w:rsidR="00F54427" w:rsidRDefault="00F54427" w:rsidP="00E340B7">
      <w:pPr>
        <w:pStyle w:val="RozpocetOdstavec"/>
      </w:pPr>
    </w:p>
    <w:tbl>
      <w:tblPr>
        <w:tblW w:w="34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7159"/>
      </w:tblGrid>
      <w:tr w:rsidR="00B644DE" w:rsidRPr="00301836" w14:paraId="4A6FD161" w14:textId="77777777" w:rsidTr="00E66AC3">
        <w:trPr>
          <w:trHeight w:val="320"/>
        </w:trPr>
        <w:tc>
          <w:tcPr>
            <w:tcW w:w="1312" w:type="pct"/>
            <w:shd w:val="clear" w:color="auto" w:fill="D9D9D9" w:themeFill="background1" w:themeFillShade="D9"/>
            <w:noWrap/>
            <w:vAlign w:val="center"/>
            <w:hideMark/>
          </w:tcPr>
          <w:p w14:paraId="71323E62" w14:textId="77777777" w:rsidR="00B644DE" w:rsidRPr="00301836" w:rsidRDefault="00B644DE" w:rsidP="00E66AC3">
            <w:pPr>
              <w:jc w:val="center"/>
              <w:rPr>
                <w:rFonts w:ascii="Aptos Narrow" w:hAnsi="Aptos Narrow"/>
                <w:b/>
                <w:bCs/>
                <w:color w:val="000000"/>
                <w:lang w:eastAsia="cs-CZ"/>
              </w:rPr>
            </w:pPr>
            <w:r w:rsidRPr="00301836">
              <w:rPr>
                <w:rFonts w:ascii="Aptos Narrow" w:hAnsi="Aptos Narrow"/>
                <w:b/>
                <w:bCs/>
                <w:color w:val="000000"/>
                <w:lang w:eastAsia="cs-CZ"/>
              </w:rPr>
              <w:t>Součást</w:t>
            </w:r>
          </w:p>
        </w:tc>
        <w:tc>
          <w:tcPr>
            <w:tcW w:w="3688" w:type="pct"/>
            <w:shd w:val="clear" w:color="auto" w:fill="D9D9D9" w:themeFill="background1" w:themeFillShade="D9"/>
            <w:noWrap/>
            <w:vAlign w:val="center"/>
            <w:hideMark/>
          </w:tcPr>
          <w:p w14:paraId="2F9035E1" w14:textId="7D59DBC6" w:rsidR="00B644DE" w:rsidRPr="00301836" w:rsidRDefault="00B644DE" w:rsidP="00E66AC3">
            <w:pPr>
              <w:jc w:val="center"/>
              <w:rPr>
                <w:rFonts w:ascii="Aptos Narrow" w:hAnsi="Aptos Narrow"/>
                <w:b/>
                <w:bCs/>
                <w:color w:val="000000"/>
                <w:lang w:eastAsia="cs-CZ"/>
              </w:rPr>
            </w:pPr>
            <w:r>
              <w:rPr>
                <w:rFonts w:ascii="Aptos Narrow" w:hAnsi="Aptos Narrow"/>
                <w:b/>
                <w:bCs/>
                <w:color w:val="000000"/>
                <w:lang w:eastAsia="cs-CZ"/>
              </w:rPr>
              <w:t>Objem tzv. ostatních výnosů roku 2024 zahrnutých do výpočtu odvodů</w:t>
            </w:r>
          </w:p>
        </w:tc>
      </w:tr>
      <w:tr w:rsidR="00E66AC3" w:rsidRPr="00301836" w14:paraId="7216F53E" w14:textId="77777777" w:rsidTr="00E66AC3">
        <w:trPr>
          <w:trHeight w:val="340"/>
        </w:trPr>
        <w:tc>
          <w:tcPr>
            <w:tcW w:w="1312" w:type="pct"/>
            <w:vAlign w:val="center"/>
            <w:hideMark/>
          </w:tcPr>
          <w:p w14:paraId="3EC04B82"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FT</w:t>
            </w:r>
          </w:p>
        </w:tc>
        <w:tc>
          <w:tcPr>
            <w:tcW w:w="3688" w:type="pct"/>
            <w:noWrap/>
            <w:vAlign w:val="center"/>
          </w:tcPr>
          <w:p w14:paraId="721D88D3" w14:textId="64D361D7" w:rsidR="00E66AC3" w:rsidRPr="00301836" w:rsidRDefault="00E66AC3" w:rsidP="00E66AC3">
            <w:pPr>
              <w:jc w:val="right"/>
              <w:rPr>
                <w:rFonts w:ascii="Aptos Narrow" w:hAnsi="Aptos Narrow"/>
                <w:color w:val="000000"/>
                <w:lang w:eastAsia="cs-CZ"/>
              </w:rPr>
            </w:pPr>
            <w:r>
              <w:rPr>
                <w:rFonts w:ascii="Aptos Narrow" w:hAnsi="Aptos Narrow"/>
                <w:color w:val="000000"/>
              </w:rPr>
              <w:t>44 367</w:t>
            </w:r>
          </w:p>
        </w:tc>
      </w:tr>
      <w:tr w:rsidR="00E66AC3" w:rsidRPr="00301836" w14:paraId="7171B62C" w14:textId="77777777" w:rsidTr="00E66AC3">
        <w:trPr>
          <w:trHeight w:val="340"/>
        </w:trPr>
        <w:tc>
          <w:tcPr>
            <w:tcW w:w="1312" w:type="pct"/>
            <w:vAlign w:val="center"/>
            <w:hideMark/>
          </w:tcPr>
          <w:p w14:paraId="75CB4F9E"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FLKŘ</w:t>
            </w:r>
          </w:p>
        </w:tc>
        <w:tc>
          <w:tcPr>
            <w:tcW w:w="3688" w:type="pct"/>
            <w:noWrap/>
            <w:vAlign w:val="center"/>
          </w:tcPr>
          <w:p w14:paraId="13BA6998" w14:textId="05D087B3" w:rsidR="00E66AC3" w:rsidRPr="00301836" w:rsidRDefault="00E66AC3" w:rsidP="00E66AC3">
            <w:pPr>
              <w:jc w:val="right"/>
              <w:rPr>
                <w:rFonts w:ascii="Aptos Narrow" w:hAnsi="Aptos Narrow"/>
                <w:color w:val="000000"/>
                <w:lang w:eastAsia="cs-CZ"/>
              </w:rPr>
            </w:pPr>
            <w:r>
              <w:rPr>
                <w:rFonts w:ascii="Aptos Narrow" w:hAnsi="Aptos Narrow"/>
                <w:color w:val="000000"/>
              </w:rPr>
              <w:t>28 782</w:t>
            </w:r>
          </w:p>
        </w:tc>
      </w:tr>
      <w:tr w:rsidR="00E66AC3" w:rsidRPr="00301836" w14:paraId="275226A6" w14:textId="77777777" w:rsidTr="00E66AC3">
        <w:trPr>
          <w:trHeight w:val="340"/>
        </w:trPr>
        <w:tc>
          <w:tcPr>
            <w:tcW w:w="1312" w:type="pct"/>
            <w:vAlign w:val="center"/>
            <w:hideMark/>
          </w:tcPr>
          <w:p w14:paraId="32669A8A"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FAI</w:t>
            </w:r>
          </w:p>
        </w:tc>
        <w:tc>
          <w:tcPr>
            <w:tcW w:w="3688" w:type="pct"/>
            <w:noWrap/>
            <w:vAlign w:val="center"/>
          </w:tcPr>
          <w:p w14:paraId="254370FB" w14:textId="14E7267A" w:rsidR="00E66AC3" w:rsidRPr="00301836" w:rsidRDefault="00E66AC3" w:rsidP="00E66AC3">
            <w:pPr>
              <w:jc w:val="right"/>
              <w:rPr>
                <w:rFonts w:ascii="Aptos Narrow" w:hAnsi="Aptos Narrow"/>
                <w:color w:val="000000"/>
                <w:lang w:eastAsia="cs-CZ"/>
              </w:rPr>
            </w:pPr>
            <w:r>
              <w:rPr>
                <w:rFonts w:ascii="Aptos Narrow" w:hAnsi="Aptos Narrow"/>
                <w:color w:val="000000"/>
              </w:rPr>
              <w:t>58 000</w:t>
            </w:r>
          </w:p>
        </w:tc>
      </w:tr>
      <w:tr w:rsidR="00E66AC3" w:rsidRPr="00301836" w14:paraId="2AB91DB5" w14:textId="77777777" w:rsidTr="00E66AC3">
        <w:trPr>
          <w:trHeight w:val="340"/>
        </w:trPr>
        <w:tc>
          <w:tcPr>
            <w:tcW w:w="1312" w:type="pct"/>
            <w:vAlign w:val="center"/>
            <w:hideMark/>
          </w:tcPr>
          <w:p w14:paraId="15A18380"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FMK</w:t>
            </w:r>
          </w:p>
        </w:tc>
        <w:tc>
          <w:tcPr>
            <w:tcW w:w="3688" w:type="pct"/>
            <w:noWrap/>
            <w:vAlign w:val="center"/>
          </w:tcPr>
          <w:p w14:paraId="703E8D21" w14:textId="7A057F99" w:rsidR="00E66AC3" w:rsidRPr="00301836" w:rsidRDefault="00E66AC3" w:rsidP="00E66AC3">
            <w:pPr>
              <w:jc w:val="right"/>
              <w:rPr>
                <w:rFonts w:ascii="Aptos Narrow" w:hAnsi="Aptos Narrow"/>
                <w:color w:val="000000"/>
                <w:lang w:eastAsia="cs-CZ"/>
              </w:rPr>
            </w:pPr>
            <w:r>
              <w:rPr>
                <w:rFonts w:ascii="Aptos Narrow" w:hAnsi="Aptos Narrow"/>
                <w:color w:val="000000"/>
              </w:rPr>
              <w:t>43 927</w:t>
            </w:r>
          </w:p>
        </w:tc>
      </w:tr>
      <w:tr w:rsidR="00E66AC3" w:rsidRPr="00301836" w14:paraId="578A60F3" w14:textId="77777777" w:rsidTr="00E66AC3">
        <w:trPr>
          <w:trHeight w:val="340"/>
        </w:trPr>
        <w:tc>
          <w:tcPr>
            <w:tcW w:w="1312" w:type="pct"/>
            <w:vAlign w:val="center"/>
            <w:hideMark/>
          </w:tcPr>
          <w:p w14:paraId="1AB55FD4"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FaME</w:t>
            </w:r>
          </w:p>
        </w:tc>
        <w:tc>
          <w:tcPr>
            <w:tcW w:w="3688" w:type="pct"/>
            <w:noWrap/>
            <w:vAlign w:val="center"/>
          </w:tcPr>
          <w:p w14:paraId="3B2A0EE6" w14:textId="66CDE1E8" w:rsidR="00E66AC3" w:rsidRPr="00301836" w:rsidRDefault="00E66AC3" w:rsidP="00E66AC3">
            <w:pPr>
              <w:jc w:val="right"/>
              <w:rPr>
                <w:rFonts w:ascii="Aptos Narrow" w:hAnsi="Aptos Narrow"/>
                <w:color w:val="000000"/>
                <w:lang w:eastAsia="cs-CZ"/>
              </w:rPr>
            </w:pPr>
            <w:r>
              <w:rPr>
                <w:rFonts w:ascii="Aptos Narrow" w:hAnsi="Aptos Narrow"/>
                <w:color w:val="000000"/>
              </w:rPr>
              <w:t>31 852</w:t>
            </w:r>
          </w:p>
        </w:tc>
      </w:tr>
      <w:tr w:rsidR="00E66AC3" w:rsidRPr="00301836" w14:paraId="05443737" w14:textId="77777777" w:rsidTr="00E66AC3">
        <w:trPr>
          <w:trHeight w:val="340"/>
        </w:trPr>
        <w:tc>
          <w:tcPr>
            <w:tcW w:w="1312" w:type="pct"/>
            <w:vAlign w:val="center"/>
            <w:hideMark/>
          </w:tcPr>
          <w:p w14:paraId="72B62A7C"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FHS</w:t>
            </w:r>
          </w:p>
        </w:tc>
        <w:tc>
          <w:tcPr>
            <w:tcW w:w="3688" w:type="pct"/>
            <w:noWrap/>
            <w:vAlign w:val="center"/>
          </w:tcPr>
          <w:p w14:paraId="5188B994" w14:textId="2696B7C4" w:rsidR="00E66AC3" w:rsidRPr="00301836" w:rsidRDefault="00E66AC3" w:rsidP="00E66AC3">
            <w:pPr>
              <w:jc w:val="right"/>
              <w:rPr>
                <w:rFonts w:ascii="Aptos Narrow" w:hAnsi="Aptos Narrow"/>
                <w:color w:val="000000"/>
                <w:lang w:eastAsia="cs-CZ"/>
              </w:rPr>
            </w:pPr>
            <w:r>
              <w:rPr>
                <w:rFonts w:ascii="Aptos Narrow" w:hAnsi="Aptos Narrow"/>
                <w:color w:val="000000"/>
              </w:rPr>
              <w:t>29 931</w:t>
            </w:r>
          </w:p>
        </w:tc>
      </w:tr>
      <w:tr w:rsidR="00E66AC3" w:rsidRPr="00301836" w14:paraId="0A25F408" w14:textId="77777777" w:rsidTr="00E66AC3">
        <w:trPr>
          <w:trHeight w:val="340"/>
        </w:trPr>
        <w:tc>
          <w:tcPr>
            <w:tcW w:w="1312" w:type="pct"/>
            <w:vAlign w:val="center"/>
            <w:hideMark/>
          </w:tcPr>
          <w:p w14:paraId="2506E14B"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t>UNI</w:t>
            </w:r>
          </w:p>
        </w:tc>
        <w:tc>
          <w:tcPr>
            <w:tcW w:w="3688" w:type="pct"/>
            <w:noWrap/>
            <w:vAlign w:val="center"/>
          </w:tcPr>
          <w:p w14:paraId="13FDC973" w14:textId="56381398" w:rsidR="00E66AC3" w:rsidRPr="00301836" w:rsidRDefault="00E66AC3" w:rsidP="00E66AC3">
            <w:pPr>
              <w:jc w:val="right"/>
              <w:rPr>
                <w:rFonts w:ascii="Aptos Narrow" w:hAnsi="Aptos Narrow"/>
                <w:color w:val="000000"/>
                <w:lang w:eastAsia="cs-CZ"/>
              </w:rPr>
            </w:pPr>
            <w:r>
              <w:rPr>
                <w:rFonts w:ascii="Aptos Narrow" w:hAnsi="Aptos Narrow"/>
                <w:color w:val="000000"/>
              </w:rPr>
              <w:t>37 691</w:t>
            </w:r>
          </w:p>
        </w:tc>
      </w:tr>
      <w:tr w:rsidR="00E66AC3" w:rsidRPr="00301836" w14:paraId="036BD86A" w14:textId="77777777" w:rsidTr="00E66AC3">
        <w:trPr>
          <w:trHeight w:val="340"/>
        </w:trPr>
        <w:tc>
          <w:tcPr>
            <w:tcW w:w="1312" w:type="pct"/>
            <w:vAlign w:val="center"/>
            <w:hideMark/>
          </w:tcPr>
          <w:p w14:paraId="6D0F93AC" w14:textId="77777777" w:rsidR="00E66AC3" w:rsidRPr="00301836" w:rsidRDefault="00E66AC3" w:rsidP="00E66AC3">
            <w:pPr>
              <w:rPr>
                <w:rFonts w:ascii="Aptos Narrow" w:hAnsi="Aptos Narrow"/>
                <w:color w:val="000000"/>
                <w:lang w:eastAsia="cs-CZ"/>
              </w:rPr>
            </w:pPr>
            <w:r w:rsidRPr="00301836">
              <w:rPr>
                <w:rFonts w:ascii="Aptos Narrow" w:hAnsi="Aptos Narrow"/>
                <w:color w:val="000000"/>
                <w:lang w:eastAsia="cs-CZ"/>
              </w:rPr>
              <w:lastRenderedPageBreak/>
              <w:t>Knihovna</w:t>
            </w:r>
          </w:p>
        </w:tc>
        <w:tc>
          <w:tcPr>
            <w:tcW w:w="3688" w:type="pct"/>
            <w:noWrap/>
            <w:vAlign w:val="center"/>
          </w:tcPr>
          <w:p w14:paraId="09A1133E" w14:textId="4AD4F4B8" w:rsidR="00E66AC3" w:rsidRPr="00E66AC3" w:rsidRDefault="00E66AC3" w:rsidP="00E66AC3">
            <w:pPr>
              <w:jc w:val="right"/>
              <w:rPr>
                <w:rFonts w:ascii="Aptos Narrow" w:hAnsi="Aptos Narrow" w:cstheme="minorBidi"/>
                <w:color w:val="000000"/>
                <w:kern w:val="2"/>
                <w14:ligatures w14:val="standardContextual"/>
              </w:rPr>
            </w:pPr>
            <w:r>
              <w:rPr>
                <w:rFonts w:ascii="Aptos Narrow" w:hAnsi="Aptos Narrow"/>
                <w:color w:val="000000"/>
              </w:rPr>
              <w:t>3 012</w:t>
            </w:r>
          </w:p>
        </w:tc>
      </w:tr>
      <w:tr w:rsidR="00C85F71" w:rsidRPr="00301836" w14:paraId="471C1289" w14:textId="77777777" w:rsidTr="00E66AC3">
        <w:trPr>
          <w:trHeight w:val="234"/>
        </w:trPr>
        <w:tc>
          <w:tcPr>
            <w:tcW w:w="1312" w:type="pct"/>
            <w:noWrap/>
            <w:vAlign w:val="bottom"/>
            <w:hideMark/>
          </w:tcPr>
          <w:p w14:paraId="5B5A1866" w14:textId="77777777" w:rsidR="00C85F71" w:rsidRPr="00301836" w:rsidRDefault="00C85F71" w:rsidP="00C85F71">
            <w:pPr>
              <w:rPr>
                <w:rFonts w:ascii="Aptos Narrow" w:hAnsi="Aptos Narrow"/>
                <w:color w:val="000000"/>
                <w:lang w:eastAsia="cs-CZ"/>
              </w:rPr>
            </w:pPr>
            <w:r w:rsidRPr="00301836">
              <w:rPr>
                <w:rFonts w:ascii="Aptos Narrow" w:hAnsi="Aptos Narrow"/>
                <w:color w:val="000000"/>
                <w:lang w:eastAsia="cs-CZ"/>
              </w:rPr>
              <w:t>KMZ</w:t>
            </w:r>
          </w:p>
        </w:tc>
        <w:tc>
          <w:tcPr>
            <w:tcW w:w="3688" w:type="pct"/>
            <w:noWrap/>
            <w:vAlign w:val="center"/>
          </w:tcPr>
          <w:p w14:paraId="2A66DC3E" w14:textId="6EA9B971" w:rsidR="00C85F71" w:rsidRPr="00301836" w:rsidRDefault="00C85F71" w:rsidP="00E66AC3">
            <w:pPr>
              <w:jc w:val="right"/>
              <w:rPr>
                <w:rFonts w:ascii="Aptos Narrow" w:hAnsi="Aptos Narrow"/>
                <w:color w:val="000000"/>
                <w:lang w:eastAsia="cs-CZ"/>
              </w:rPr>
            </w:pPr>
            <w:r>
              <w:rPr>
                <w:rFonts w:ascii="Aptos Narrow" w:hAnsi="Aptos Narrow"/>
                <w:color w:val="000000"/>
                <w:lang w:eastAsia="cs-CZ"/>
              </w:rPr>
              <w:t>0</w:t>
            </w:r>
          </w:p>
        </w:tc>
      </w:tr>
      <w:tr w:rsidR="00C85F71" w:rsidRPr="00301836" w14:paraId="5ECE4B4C" w14:textId="77777777" w:rsidTr="00E66AC3">
        <w:trPr>
          <w:trHeight w:val="320"/>
        </w:trPr>
        <w:tc>
          <w:tcPr>
            <w:tcW w:w="1312" w:type="pct"/>
            <w:noWrap/>
            <w:vAlign w:val="bottom"/>
            <w:hideMark/>
          </w:tcPr>
          <w:p w14:paraId="1AFFEDB6" w14:textId="77777777" w:rsidR="00C85F71" w:rsidRPr="00301836" w:rsidRDefault="00C85F71" w:rsidP="00C85F71">
            <w:pPr>
              <w:rPr>
                <w:rFonts w:ascii="Aptos Narrow" w:hAnsi="Aptos Narrow"/>
                <w:b/>
                <w:bCs/>
                <w:color w:val="000000"/>
                <w:lang w:eastAsia="cs-CZ"/>
              </w:rPr>
            </w:pPr>
            <w:r w:rsidRPr="00301836">
              <w:rPr>
                <w:rFonts w:ascii="Aptos Narrow" w:hAnsi="Aptos Narrow"/>
                <w:b/>
                <w:bCs/>
                <w:color w:val="000000"/>
                <w:lang w:eastAsia="cs-CZ"/>
              </w:rPr>
              <w:t>Celkem</w:t>
            </w:r>
          </w:p>
        </w:tc>
        <w:tc>
          <w:tcPr>
            <w:tcW w:w="3688" w:type="pct"/>
            <w:noWrap/>
            <w:vAlign w:val="center"/>
          </w:tcPr>
          <w:p w14:paraId="674F0DB8" w14:textId="7E79E76A" w:rsidR="00C85F71" w:rsidRPr="00E66AC3" w:rsidRDefault="00E66AC3" w:rsidP="00E66AC3">
            <w:pPr>
              <w:jc w:val="right"/>
              <w:rPr>
                <w:rFonts w:ascii="Aptos Narrow" w:hAnsi="Aptos Narrow" w:cstheme="minorBidi"/>
                <w:b/>
                <w:bCs/>
                <w:color w:val="000000"/>
                <w:kern w:val="2"/>
                <w14:ligatures w14:val="standardContextual"/>
              </w:rPr>
            </w:pPr>
            <w:r w:rsidRPr="00E66AC3">
              <w:rPr>
                <w:rFonts w:ascii="Aptos Narrow" w:hAnsi="Aptos Narrow"/>
                <w:b/>
                <w:bCs/>
                <w:color w:val="000000"/>
              </w:rPr>
              <w:t>277 562</w:t>
            </w:r>
          </w:p>
        </w:tc>
      </w:tr>
    </w:tbl>
    <w:p w14:paraId="7FC64A92" w14:textId="62FC661A" w:rsidR="00B644DE" w:rsidRDefault="00B644DE" w:rsidP="00B2532E">
      <w:pPr>
        <w:pStyle w:val="RozpocetOdstavec"/>
        <w:sectPr w:rsidR="00B644DE" w:rsidSect="00495879">
          <w:pgSz w:w="16838" w:h="11906" w:orient="landscape"/>
          <w:pgMar w:top="1417" w:right="1417" w:bottom="1417" w:left="1417" w:header="708" w:footer="708" w:gutter="0"/>
          <w:cols w:space="708"/>
          <w:titlePg/>
          <w:docGrid w:linePitch="360"/>
        </w:sectPr>
      </w:pPr>
    </w:p>
    <w:p w14:paraId="7527C6AF" w14:textId="77777777" w:rsidR="00054859" w:rsidRDefault="00B817E3" w:rsidP="00B817E3">
      <w:pPr>
        <w:pStyle w:val="RozpocetNadpis1"/>
      </w:pPr>
      <w:bookmarkStart w:id="49" w:name="_Toc228824353"/>
      <w:r>
        <w:lastRenderedPageBreak/>
        <w:t>Financování celouniverzitních aktivit</w:t>
      </w:r>
      <w:bookmarkEnd w:id="49"/>
    </w:p>
    <w:p w14:paraId="2F99AADB" w14:textId="77777777" w:rsidR="00670B8C" w:rsidRPr="000A20AA" w:rsidRDefault="00670B8C" w:rsidP="00670B8C">
      <w:pPr>
        <w:pStyle w:val="RozpocetOdstavec"/>
      </w:pPr>
      <w:r w:rsidRPr="000A20AA">
        <w:t>Financování celouniverzitních aktivit, které jsou nezbytné pro činnost UTB, je z části realizováno odvodem součástí z prostředků přidělených v rámci interního rozdělení financí.</w:t>
      </w:r>
    </w:p>
    <w:p w14:paraId="5F1D8578" w14:textId="77777777" w:rsidR="00B817E3" w:rsidRDefault="00B817E3" w:rsidP="00AE46FC">
      <w:pPr>
        <w:pStyle w:val="RozpocetOdstavec"/>
      </w:pPr>
    </w:p>
    <w:p w14:paraId="0A962EE7" w14:textId="77777777" w:rsidR="00B817E3" w:rsidRDefault="00B817E3" w:rsidP="00DD7CB5">
      <w:pPr>
        <w:pStyle w:val="RozpocetNadpis2"/>
      </w:pPr>
      <w:bookmarkStart w:id="50" w:name="_Toc228824354"/>
      <w:r>
        <w:t>Prostředky na financování celouniverzitních aktivit</w:t>
      </w:r>
      <w:bookmarkEnd w:id="50"/>
    </w:p>
    <w:p w14:paraId="5721780C" w14:textId="77777777" w:rsidR="00670B8C" w:rsidRPr="000A20AA" w:rsidRDefault="00670B8C" w:rsidP="00670B8C">
      <w:pPr>
        <w:pStyle w:val="RozpocetOdstavec"/>
      </w:pPr>
      <w:r w:rsidRPr="000A20AA">
        <w:t>Prostředky na financování celouniverzitních aktivit jsou rozděleny na:</w:t>
      </w:r>
    </w:p>
    <w:p w14:paraId="3A0748FD" w14:textId="77777777" w:rsidR="00670B8C" w:rsidRPr="000A20AA" w:rsidRDefault="00670B8C" w:rsidP="00670B8C">
      <w:pPr>
        <w:pStyle w:val="RozpocetOdstavec"/>
        <w:numPr>
          <w:ilvl w:val="0"/>
          <w:numId w:val="5"/>
        </w:numPr>
      </w:pPr>
      <w:r w:rsidRPr="000A20AA">
        <w:t>interní fondy,</w:t>
      </w:r>
    </w:p>
    <w:p w14:paraId="4487E994" w14:textId="77777777" w:rsidR="00670B8C" w:rsidRPr="000A20AA" w:rsidRDefault="00670B8C" w:rsidP="00670B8C">
      <w:pPr>
        <w:pStyle w:val="RozpocetOdstavec"/>
        <w:numPr>
          <w:ilvl w:val="0"/>
          <w:numId w:val="5"/>
        </w:numPr>
      </w:pPr>
      <w:r w:rsidRPr="000A20AA">
        <w:t>provoz rektorátu,</w:t>
      </w:r>
    </w:p>
    <w:p w14:paraId="2D189A2C" w14:textId="77777777" w:rsidR="00670B8C" w:rsidRPr="000A20AA" w:rsidRDefault="00670B8C" w:rsidP="00670B8C">
      <w:pPr>
        <w:pStyle w:val="RozpocetOdstavec"/>
        <w:numPr>
          <w:ilvl w:val="0"/>
          <w:numId w:val="5"/>
        </w:numPr>
      </w:pPr>
      <w:r w:rsidRPr="000A20AA">
        <w:t>informační zdroje,</w:t>
      </w:r>
    </w:p>
    <w:p w14:paraId="23DF67CC" w14:textId="77777777" w:rsidR="00670B8C" w:rsidRPr="000A20AA" w:rsidRDefault="00670B8C" w:rsidP="00670B8C">
      <w:pPr>
        <w:pStyle w:val="RozpocetOdstavec"/>
        <w:numPr>
          <w:ilvl w:val="0"/>
          <w:numId w:val="5"/>
        </w:numPr>
      </w:pPr>
      <w:r w:rsidRPr="000A20AA">
        <w:t>zdroje Stavební komise a celouniverzitní Stroje a zařízení nezařazené do nákladů (dále jen „SZNN“) a celouniverzitní projekty.</w:t>
      </w:r>
    </w:p>
    <w:p w14:paraId="738ACA89" w14:textId="77777777" w:rsidR="00DD7CB5" w:rsidRDefault="00DD7CB5" w:rsidP="00FF4F5D">
      <w:pPr>
        <w:pStyle w:val="RozpocetOdstavec"/>
      </w:pPr>
    </w:p>
    <w:p w14:paraId="2E88E9D3" w14:textId="77777777" w:rsidR="00B817E3" w:rsidRDefault="00DD7CB5" w:rsidP="00DD7CB5">
      <w:pPr>
        <w:pStyle w:val="RozpoetNadpis3"/>
      </w:pPr>
      <w:bookmarkStart w:id="51" w:name="_Toc228824355"/>
      <w:r>
        <w:t>Prostředky na financování interních fondů</w:t>
      </w:r>
      <w:bookmarkEnd w:id="51"/>
    </w:p>
    <w:p w14:paraId="7115BBDA" w14:textId="77777777" w:rsidR="00EC13CE" w:rsidRPr="000A20AA" w:rsidRDefault="00EC13CE" w:rsidP="00EC13CE">
      <w:pPr>
        <w:pStyle w:val="RozpocetOdstavec"/>
      </w:pPr>
      <w:r w:rsidRPr="000A20AA">
        <w:t>Celkový objem prostředků potřebných na financování interních fondů bude stanoven v Rozpisu rozpočtu UTB pro rok 2026. Jednotlivé interní fondy představují:</w:t>
      </w:r>
    </w:p>
    <w:p w14:paraId="69D496F3" w14:textId="77777777" w:rsidR="00EC13CE" w:rsidRPr="000A20AA" w:rsidRDefault="00EC13CE" w:rsidP="00EC13CE">
      <w:pPr>
        <w:pStyle w:val="RozpocetOdstavec"/>
        <w:numPr>
          <w:ilvl w:val="0"/>
          <w:numId w:val="42"/>
        </w:numPr>
      </w:pPr>
      <w:r w:rsidRPr="000A20AA">
        <w:t>dispoziční fond,</w:t>
      </w:r>
    </w:p>
    <w:p w14:paraId="1BAFD2C1" w14:textId="77777777" w:rsidR="00EC13CE" w:rsidRPr="000A20AA" w:rsidRDefault="00EC13CE" w:rsidP="00EC13CE">
      <w:pPr>
        <w:pStyle w:val="RozpocetOdstavec"/>
        <w:numPr>
          <w:ilvl w:val="0"/>
          <w:numId w:val="42"/>
        </w:numPr>
      </w:pPr>
      <w:r w:rsidRPr="000A20AA">
        <w:t>fond podpory SVV,</w:t>
      </w:r>
    </w:p>
    <w:p w14:paraId="4334EDDC" w14:textId="77777777" w:rsidR="00EC13CE" w:rsidRPr="000A20AA" w:rsidRDefault="00EC13CE" w:rsidP="00EC13CE">
      <w:pPr>
        <w:pStyle w:val="RozpocetOdstavec"/>
        <w:numPr>
          <w:ilvl w:val="0"/>
          <w:numId w:val="42"/>
        </w:numPr>
      </w:pPr>
      <w:r w:rsidRPr="000A20AA">
        <w:t>fond strategického rozvoje,</w:t>
      </w:r>
    </w:p>
    <w:p w14:paraId="6095F027" w14:textId="77777777" w:rsidR="00EC13CE" w:rsidRPr="000A20AA" w:rsidRDefault="00EC13CE" w:rsidP="00EC13CE">
      <w:pPr>
        <w:pStyle w:val="RozpocetOdstavec"/>
        <w:numPr>
          <w:ilvl w:val="0"/>
          <w:numId w:val="42"/>
        </w:numPr>
      </w:pPr>
      <w:r w:rsidRPr="000A20AA">
        <w:t>fond projektů,</w:t>
      </w:r>
    </w:p>
    <w:p w14:paraId="732B0333" w14:textId="77777777" w:rsidR="00EC13CE" w:rsidRPr="000A20AA" w:rsidRDefault="00EC13CE" w:rsidP="00EC13CE">
      <w:pPr>
        <w:pStyle w:val="RozpocetOdstavec"/>
        <w:numPr>
          <w:ilvl w:val="0"/>
          <w:numId w:val="42"/>
        </w:numPr>
      </w:pPr>
      <w:r w:rsidRPr="000A20AA">
        <w:t>neinvestiční prostředky Stavební komise,</w:t>
      </w:r>
    </w:p>
    <w:p w14:paraId="54269F1B" w14:textId="77777777" w:rsidR="00EC13CE" w:rsidRPr="000A20AA" w:rsidRDefault="00EC13CE" w:rsidP="00EC13CE">
      <w:pPr>
        <w:pStyle w:val="RozpocetOdstavec"/>
        <w:numPr>
          <w:ilvl w:val="0"/>
          <w:numId w:val="42"/>
        </w:numPr>
      </w:pPr>
      <w:r w:rsidRPr="000A20AA">
        <w:t>fond komunikace,</w:t>
      </w:r>
    </w:p>
    <w:p w14:paraId="68B2B815" w14:textId="77777777" w:rsidR="00EC13CE" w:rsidRPr="000A20AA" w:rsidRDefault="00EC13CE" w:rsidP="00EC13CE">
      <w:pPr>
        <w:pStyle w:val="RozpocetOdstavec"/>
        <w:numPr>
          <w:ilvl w:val="0"/>
          <w:numId w:val="42"/>
        </w:numPr>
      </w:pPr>
      <w:r w:rsidRPr="000A20AA">
        <w:t>prostředky na zabezpečení informačních technologií,</w:t>
      </w:r>
    </w:p>
    <w:p w14:paraId="2B4CDF56" w14:textId="77777777" w:rsidR="00EC13CE" w:rsidRPr="000A20AA" w:rsidRDefault="00EC13CE" w:rsidP="00EC13CE">
      <w:pPr>
        <w:pStyle w:val="RozpocetOdstavec"/>
        <w:numPr>
          <w:ilvl w:val="0"/>
          <w:numId w:val="42"/>
        </w:numPr>
      </w:pPr>
      <w:r w:rsidRPr="000A20AA">
        <w:t>fond rektora,</w:t>
      </w:r>
    </w:p>
    <w:p w14:paraId="3F20BAB0" w14:textId="77777777" w:rsidR="00EC13CE" w:rsidRPr="000A20AA" w:rsidRDefault="00EC13CE" w:rsidP="00EC13CE">
      <w:pPr>
        <w:pStyle w:val="RozpocetOdstavec"/>
        <w:numPr>
          <w:ilvl w:val="0"/>
          <w:numId w:val="42"/>
        </w:numPr>
      </w:pPr>
      <w:r w:rsidRPr="000A20AA">
        <w:t>prostředky na pojištění majetku a osob,</w:t>
      </w:r>
    </w:p>
    <w:p w14:paraId="65A6C09C" w14:textId="77777777" w:rsidR="00EC13CE" w:rsidRPr="000A20AA" w:rsidRDefault="00EC13CE" w:rsidP="00EC13CE">
      <w:pPr>
        <w:pStyle w:val="RozpocetOdstavec"/>
        <w:numPr>
          <w:ilvl w:val="0"/>
          <w:numId w:val="42"/>
        </w:numPr>
      </w:pPr>
      <w:r w:rsidRPr="000A20AA">
        <w:t>prostředky na zabezpečení vybraných celoškolských činností,</w:t>
      </w:r>
    </w:p>
    <w:p w14:paraId="4938163C" w14:textId="77777777" w:rsidR="00EC13CE" w:rsidRPr="000A20AA" w:rsidRDefault="00EC13CE" w:rsidP="00EC13CE">
      <w:pPr>
        <w:pStyle w:val="RozpocetOdstavec"/>
        <w:numPr>
          <w:ilvl w:val="0"/>
          <w:numId w:val="42"/>
        </w:numPr>
      </w:pPr>
      <w:r w:rsidRPr="000A20AA">
        <w:t>prostředky na činnost orgánů UTB a členství UTB v jiných organizacích,</w:t>
      </w:r>
    </w:p>
    <w:p w14:paraId="07B9D56A" w14:textId="77777777" w:rsidR="00EC13CE" w:rsidRPr="000A20AA" w:rsidRDefault="00EC13CE" w:rsidP="00EC13CE">
      <w:pPr>
        <w:pStyle w:val="RozpocetOdstavec"/>
        <w:numPr>
          <w:ilvl w:val="0"/>
          <w:numId w:val="42"/>
        </w:numPr>
      </w:pPr>
      <w:r w:rsidRPr="000A20AA">
        <w:t>fond (finanční rezerva) kvestora.</w:t>
      </w:r>
    </w:p>
    <w:p w14:paraId="054E2279" w14:textId="77777777" w:rsidR="009F7DCC" w:rsidRPr="00670B8C" w:rsidRDefault="009F7DCC" w:rsidP="009F7DCC">
      <w:pPr>
        <w:pStyle w:val="RozpocetOdstavec"/>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9"/>
        <w:gridCol w:w="1803"/>
      </w:tblGrid>
      <w:tr w:rsidR="00537A2D" w:rsidRPr="00670B8C" w14:paraId="3401BE15" w14:textId="77777777" w:rsidTr="001E4F1E">
        <w:trPr>
          <w:trHeight w:val="320"/>
        </w:trPr>
        <w:tc>
          <w:tcPr>
            <w:tcW w:w="4005" w:type="pct"/>
            <w:shd w:val="clear" w:color="auto" w:fill="D9D9D9" w:themeFill="background1" w:themeFillShade="D9"/>
            <w:noWrap/>
            <w:vAlign w:val="bottom"/>
            <w:hideMark/>
          </w:tcPr>
          <w:p w14:paraId="218D1EF3" w14:textId="77777777" w:rsidR="00537A2D" w:rsidRPr="001E4F1E" w:rsidRDefault="00537A2D" w:rsidP="00537A2D">
            <w:pPr>
              <w:rPr>
                <w:rFonts w:ascii="Aptos Narrow" w:hAnsi="Aptos Narrow"/>
                <w:b/>
                <w:bCs/>
                <w:color w:val="000000"/>
                <w:lang w:eastAsia="cs-CZ"/>
              </w:rPr>
            </w:pPr>
            <w:r w:rsidRPr="001E4F1E">
              <w:rPr>
                <w:rFonts w:ascii="Aptos Narrow" w:hAnsi="Aptos Narrow"/>
                <w:b/>
                <w:bCs/>
                <w:color w:val="000000"/>
                <w:lang w:eastAsia="cs-CZ"/>
              </w:rPr>
              <w:t>Položka</w:t>
            </w:r>
          </w:p>
        </w:tc>
        <w:tc>
          <w:tcPr>
            <w:tcW w:w="995" w:type="pct"/>
            <w:shd w:val="clear" w:color="auto" w:fill="D9D9D9" w:themeFill="background1" w:themeFillShade="D9"/>
            <w:noWrap/>
            <w:vAlign w:val="bottom"/>
            <w:hideMark/>
          </w:tcPr>
          <w:p w14:paraId="3DE92373" w14:textId="77777777" w:rsidR="00537A2D" w:rsidRPr="001E4F1E" w:rsidRDefault="00537A2D" w:rsidP="00537A2D">
            <w:pPr>
              <w:jc w:val="right"/>
              <w:rPr>
                <w:rFonts w:ascii="Aptos Narrow" w:hAnsi="Aptos Narrow"/>
                <w:b/>
                <w:bCs/>
                <w:color w:val="000000"/>
                <w:lang w:eastAsia="cs-CZ"/>
              </w:rPr>
            </w:pPr>
            <w:r w:rsidRPr="001E4F1E">
              <w:rPr>
                <w:rFonts w:ascii="Aptos Narrow" w:hAnsi="Aptos Narrow"/>
                <w:b/>
                <w:bCs/>
                <w:color w:val="000000"/>
                <w:lang w:eastAsia="cs-CZ"/>
              </w:rPr>
              <w:t>Celkem v tis. Kč</w:t>
            </w:r>
          </w:p>
        </w:tc>
      </w:tr>
      <w:tr w:rsidR="00102316" w:rsidRPr="00670B8C" w14:paraId="5076E359" w14:textId="77777777" w:rsidTr="000E1365">
        <w:trPr>
          <w:trHeight w:val="320"/>
        </w:trPr>
        <w:tc>
          <w:tcPr>
            <w:tcW w:w="4005" w:type="pct"/>
            <w:noWrap/>
            <w:vAlign w:val="bottom"/>
            <w:hideMark/>
          </w:tcPr>
          <w:p w14:paraId="41E5F429"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Dispoziční fond</w:t>
            </w:r>
          </w:p>
        </w:tc>
        <w:tc>
          <w:tcPr>
            <w:tcW w:w="995" w:type="pct"/>
            <w:noWrap/>
            <w:vAlign w:val="bottom"/>
            <w:hideMark/>
          </w:tcPr>
          <w:p w14:paraId="2DD49C24" w14:textId="38240464"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9 526,25</w:t>
            </w:r>
          </w:p>
        </w:tc>
      </w:tr>
      <w:tr w:rsidR="00102316" w:rsidRPr="00670B8C" w14:paraId="269CC5B6" w14:textId="77777777" w:rsidTr="000E1365">
        <w:trPr>
          <w:trHeight w:val="320"/>
        </w:trPr>
        <w:tc>
          <w:tcPr>
            <w:tcW w:w="4005" w:type="pct"/>
            <w:noWrap/>
            <w:vAlign w:val="bottom"/>
            <w:hideMark/>
          </w:tcPr>
          <w:p w14:paraId="7BFCB81A"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Fond SVV</w:t>
            </w:r>
          </w:p>
        </w:tc>
        <w:tc>
          <w:tcPr>
            <w:tcW w:w="995" w:type="pct"/>
            <w:noWrap/>
            <w:vAlign w:val="bottom"/>
          </w:tcPr>
          <w:p w14:paraId="292FB76E" w14:textId="261081EB"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67361998" w14:textId="77777777" w:rsidTr="000E1365">
        <w:trPr>
          <w:trHeight w:val="320"/>
        </w:trPr>
        <w:tc>
          <w:tcPr>
            <w:tcW w:w="4005" w:type="pct"/>
            <w:noWrap/>
            <w:vAlign w:val="bottom"/>
            <w:hideMark/>
          </w:tcPr>
          <w:p w14:paraId="6759AD48"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Fond strategického rozvoje</w:t>
            </w:r>
          </w:p>
        </w:tc>
        <w:tc>
          <w:tcPr>
            <w:tcW w:w="995" w:type="pct"/>
            <w:noWrap/>
            <w:vAlign w:val="bottom"/>
          </w:tcPr>
          <w:p w14:paraId="76599F02" w14:textId="14974142"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094BE569" w14:textId="77777777" w:rsidTr="000E1365">
        <w:trPr>
          <w:trHeight w:val="320"/>
        </w:trPr>
        <w:tc>
          <w:tcPr>
            <w:tcW w:w="4005" w:type="pct"/>
            <w:noWrap/>
            <w:vAlign w:val="bottom"/>
            <w:hideMark/>
          </w:tcPr>
          <w:p w14:paraId="2180BE74"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Fond projektů</w:t>
            </w:r>
          </w:p>
        </w:tc>
        <w:tc>
          <w:tcPr>
            <w:tcW w:w="995" w:type="pct"/>
            <w:noWrap/>
            <w:vAlign w:val="bottom"/>
          </w:tcPr>
          <w:p w14:paraId="631720A2" w14:textId="3E7710D4"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2126CA6A" w14:textId="77777777" w:rsidTr="000E1365">
        <w:trPr>
          <w:trHeight w:val="320"/>
        </w:trPr>
        <w:tc>
          <w:tcPr>
            <w:tcW w:w="4005" w:type="pct"/>
            <w:noWrap/>
            <w:vAlign w:val="bottom"/>
            <w:hideMark/>
          </w:tcPr>
          <w:p w14:paraId="3FAC989A"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Neinvestiční prostředky Stavební komise</w:t>
            </w:r>
          </w:p>
        </w:tc>
        <w:tc>
          <w:tcPr>
            <w:tcW w:w="995" w:type="pct"/>
            <w:noWrap/>
            <w:vAlign w:val="bottom"/>
          </w:tcPr>
          <w:p w14:paraId="5B673345" w14:textId="56BA9D38"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0</w:t>
            </w:r>
          </w:p>
        </w:tc>
      </w:tr>
      <w:tr w:rsidR="00102316" w:rsidRPr="00670B8C" w14:paraId="5E757537" w14:textId="77777777" w:rsidTr="000E1365">
        <w:trPr>
          <w:trHeight w:val="320"/>
        </w:trPr>
        <w:tc>
          <w:tcPr>
            <w:tcW w:w="4005" w:type="pct"/>
            <w:noWrap/>
            <w:vAlign w:val="bottom"/>
            <w:hideMark/>
          </w:tcPr>
          <w:p w14:paraId="68301102"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Interní fond komunikace</w:t>
            </w:r>
          </w:p>
        </w:tc>
        <w:tc>
          <w:tcPr>
            <w:tcW w:w="995" w:type="pct"/>
            <w:noWrap/>
            <w:vAlign w:val="bottom"/>
          </w:tcPr>
          <w:p w14:paraId="17096507" w14:textId="507C2D16"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5 200</w:t>
            </w:r>
          </w:p>
        </w:tc>
      </w:tr>
      <w:tr w:rsidR="00102316" w:rsidRPr="00670B8C" w14:paraId="0A94E40E" w14:textId="77777777" w:rsidTr="000E1365">
        <w:trPr>
          <w:trHeight w:val="320"/>
        </w:trPr>
        <w:tc>
          <w:tcPr>
            <w:tcW w:w="4005" w:type="pct"/>
            <w:noWrap/>
            <w:vAlign w:val="bottom"/>
            <w:hideMark/>
          </w:tcPr>
          <w:p w14:paraId="5B1E973F"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zabezpečení informačních technologií</w:t>
            </w:r>
          </w:p>
        </w:tc>
        <w:tc>
          <w:tcPr>
            <w:tcW w:w="995" w:type="pct"/>
            <w:noWrap/>
            <w:vAlign w:val="bottom"/>
          </w:tcPr>
          <w:p w14:paraId="3F9D24AD" w14:textId="00A13CA5"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8 000</w:t>
            </w:r>
          </w:p>
        </w:tc>
      </w:tr>
      <w:tr w:rsidR="00102316" w:rsidRPr="00670B8C" w14:paraId="71422A61" w14:textId="77777777" w:rsidTr="000E1365">
        <w:trPr>
          <w:trHeight w:val="320"/>
        </w:trPr>
        <w:tc>
          <w:tcPr>
            <w:tcW w:w="4005" w:type="pct"/>
            <w:noWrap/>
            <w:vAlign w:val="bottom"/>
            <w:hideMark/>
          </w:tcPr>
          <w:p w14:paraId="0CFDB372"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Interní fond rektora</w:t>
            </w:r>
          </w:p>
        </w:tc>
        <w:tc>
          <w:tcPr>
            <w:tcW w:w="995" w:type="pct"/>
            <w:noWrap/>
            <w:vAlign w:val="bottom"/>
          </w:tcPr>
          <w:p w14:paraId="7BD9E564" w14:textId="333176E0"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1 600</w:t>
            </w:r>
          </w:p>
        </w:tc>
      </w:tr>
      <w:tr w:rsidR="00102316" w:rsidRPr="00670B8C" w14:paraId="0AE68081" w14:textId="77777777" w:rsidTr="000E1365">
        <w:trPr>
          <w:trHeight w:val="320"/>
        </w:trPr>
        <w:tc>
          <w:tcPr>
            <w:tcW w:w="4005" w:type="pct"/>
            <w:noWrap/>
            <w:vAlign w:val="bottom"/>
            <w:hideMark/>
          </w:tcPr>
          <w:p w14:paraId="1260D196"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pojištění majetku a osob</w:t>
            </w:r>
          </w:p>
        </w:tc>
        <w:tc>
          <w:tcPr>
            <w:tcW w:w="995" w:type="pct"/>
            <w:noWrap/>
            <w:vAlign w:val="bottom"/>
          </w:tcPr>
          <w:p w14:paraId="27553532" w14:textId="77E7C95B"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2 970</w:t>
            </w:r>
          </w:p>
        </w:tc>
      </w:tr>
      <w:tr w:rsidR="00102316" w:rsidRPr="00670B8C" w14:paraId="258F8E51" w14:textId="77777777" w:rsidTr="000E1365">
        <w:trPr>
          <w:trHeight w:val="320"/>
        </w:trPr>
        <w:tc>
          <w:tcPr>
            <w:tcW w:w="4005" w:type="pct"/>
            <w:noWrap/>
            <w:vAlign w:val="bottom"/>
            <w:hideMark/>
          </w:tcPr>
          <w:p w14:paraId="47DC9753"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zabezpečení vybraných celoškolských činností</w:t>
            </w:r>
          </w:p>
        </w:tc>
        <w:tc>
          <w:tcPr>
            <w:tcW w:w="995" w:type="pct"/>
            <w:noWrap/>
            <w:vAlign w:val="bottom"/>
          </w:tcPr>
          <w:p w14:paraId="74A62969" w14:textId="271A1600"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1 000</w:t>
            </w:r>
          </w:p>
        </w:tc>
      </w:tr>
      <w:tr w:rsidR="00102316" w:rsidRPr="00670B8C" w14:paraId="18F2C0BB" w14:textId="77777777" w:rsidTr="000E1365">
        <w:trPr>
          <w:trHeight w:val="320"/>
        </w:trPr>
        <w:tc>
          <w:tcPr>
            <w:tcW w:w="4005" w:type="pct"/>
            <w:noWrap/>
            <w:vAlign w:val="bottom"/>
            <w:hideMark/>
          </w:tcPr>
          <w:p w14:paraId="0F5385EE"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Prostředky na činnost orgánů UTB a členství UTB v jiných organizacích</w:t>
            </w:r>
          </w:p>
        </w:tc>
        <w:tc>
          <w:tcPr>
            <w:tcW w:w="995" w:type="pct"/>
            <w:noWrap/>
            <w:vAlign w:val="bottom"/>
          </w:tcPr>
          <w:p w14:paraId="1245C066" w14:textId="0DC7A633"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1 300</w:t>
            </w:r>
          </w:p>
        </w:tc>
      </w:tr>
      <w:tr w:rsidR="00102316" w:rsidRPr="00670B8C" w14:paraId="72FEB59C" w14:textId="77777777" w:rsidTr="000E1365">
        <w:trPr>
          <w:trHeight w:val="320"/>
        </w:trPr>
        <w:tc>
          <w:tcPr>
            <w:tcW w:w="4005" w:type="pct"/>
            <w:noWrap/>
            <w:vAlign w:val="bottom"/>
            <w:hideMark/>
          </w:tcPr>
          <w:p w14:paraId="33D877D6" w14:textId="77777777"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Interní fond kvestora</w:t>
            </w:r>
          </w:p>
        </w:tc>
        <w:tc>
          <w:tcPr>
            <w:tcW w:w="995" w:type="pct"/>
            <w:noWrap/>
            <w:vAlign w:val="bottom"/>
          </w:tcPr>
          <w:p w14:paraId="127A2589" w14:textId="483CEC46"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500</w:t>
            </w:r>
          </w:p>
        </w:tc>
      </w:tr>
      <w:tr w:rsidR="00102316" w:rsidRPr="00670B8C" w14:paraId="64C04A47" w14:textId="77777777" w:rsidTr="000E1365">
        <w:trPr>
          <w:trHeight w:val="320"/>
        </w:trPr>
        <w:tc>
          <w:tcPr>
            <w:tcW w:w="4005" w:type="pct"/>
            <w:noWrap/>
            <w:vAlign w:val="bottom"/>
          </w:tcPr>
          <w:p w14:paraId="16C3F737" w14:textId="32B4462F" w:rsidR="00102316" w:rsidRPr="001E4F1E" w:rsidRDefault="00102316" w:rsidP="00102316">
            <w:pPr>
              <w:rPr>
                <w:rFonts w:ascii="Aptos Narrow" w:hAnsi="Aptos Narrow"/>
                <w:color w:val="000000"/>
                <w:lang w:eastAsia="cs-CZ"/>
              </w:rPr>
            </w:pPr>
            <w:r w:rsidRPr="001E4F1E">
              <w:rPr>
                <w:rFonts w:ascii="Aptos Narrow" w:hAnsi="Aptos Narrow"/>
                <w:color w:val="000000"/>
                <w:lang w:eastAsia="cs-CZ"/>
              </w:rPr>
              <w:t>Jiné – zajištění zdravotních prohlídek apod.</w:t>
            </w:r>
          </w:p>
        </w:tc>
        <w:tc>
          <w:tcPr>
            <w:tcW w:w="995" w:type="pct"/>
            <w:noWrap/>
            <w:vAlign w:val="bottom"/>
          </w:tcPr>
          <w:p w14:paraId="76EFB359" w14:textId="1CD2340B" w:rsidR="00102316" w:rsidRPr="001E4F1E" w:rsidRDefault="00102316" w:rsidP="00102316">
            <w:pPr>
              <w:jc w:val="right"/>
              <w:rPr>
                <w:rFonts w:ascii="Aptos Narrow" w:hAnsi="Aptos Narrow"/>
                <w:color w:val="000000"/>
                <w:lang w:eastAsia="cs-CZ"/>
              </w:rPr>
            </w:pPr>
            <w:r w:rsidRPr="001E4F1E">
              <w:rPr>
                <w:rFonts w:ascii="Aptos Narrow" w:hAnsi="Aptos Narrow"/>
                <w:color w:val="000000"/>
              </w:rPr>
              <w:t>200</w:t>
            </w:r>
          </w:p>
        </w:tc>
      </w:tr>
      <w:tr w:rsidR="009F08BA" w:rsidRPr="00670B8C" w14:paraId="13EADA0D" w14:textId="77777777" w:rsidTr="003F6745">
        <w:trPr>
          <w:trHeight w:val="320"/>
        </w:trPr>
        <w:tc>
          <w:tcPr>
            <w:tcW w:w="4005" w:type="pct"/>
            <w:noWrap/>
            <w:vAlign w:val="bottom"/>
            <w:hideMark/>
          </w:tcPr>
          <w:p w14:paraId="308A0E65" w14:textId="77777777" w:rsidR="009F08BA" w:rsidRPr="001E4F1E" w:rsidRDefault="009F08BA" w:rsidP="009F08BA">
            <w:pPr>
              <w:rPr>
                <w:rFonts w:ascii="Aptos Narrow" w:hAnsi="Aptos Narrow"/>
                <w:color w:val="000000"/>
                <w:lang w:eastAsia="cs-CZ"/>
              </w:rPr>
            </w:pPr>
            <w:r w:rsidRPr="001E4F1E">
              <w:rPr>
                <w:rFonts w:ascii="Aptos Narrow" w:hAnsi="Aptos Narrow"/>
                <w:color w:val="000000"/>
                <w:lang w:eastAsia="cs-CZ"/>
              </w:rPr>
              <w:t>Zůstatek interních fondů z předcházejícího roku</w:t>
            </w:r>
          </w:p>
        </w:tc>
        <w:tc>
          <w:tcPr>
            <w:tcW w:w="995" w:type="pct"/>
            <w:noWrap/>
            <w:vAlign w:val="center"/>
          </w:tcPr>
          <w:p w14:paraId="3B5701BF" w14:textId="4FEB5061" w:rsidR="009F08BA" w:rsidRPr="001E4F1E" w:rsidRDefault="00033E3D" w:rsidP="00033E3D">
            <w:pPr>
              <w:jc w:val="right"/>
              <w:rPr>
                <w:rFonts w:ascii="Aptos Narrow" w:hAnsi="Aptos Narrow"/>
                <w:color w:val="000000"/>
                <w:lang w:eastAsia="cs-CZ"/>
              </w:rPr>
            </w:pPr>
            <w:r w:rsidRPr="001E4F1E">
              <w:rPr>
                <w:rFonts w:ascii="Aptos Narrow" w:hAnsi="Aptos Narrow"/>
                <w:color w:val="000000"/>
                <w:lang w:eastAsia="cs-CZ"/>
              </w:rPr>
              <w:t>-7 500</w:t>
            </w:r>
          </w:p>
        </w:tc>
      </w:tr>
      <w:tr w:rsidR="009F08BA" w:rsidRPr="00537A2D" w14:paraId="2322B513" w14:textId="77777777" w:rsidTr="003F6745">
        <w:trPr>
          <w:trHeight w:val="320"/>
        </w:trPr>
        <w:tc>
          <w:tcPr>
            <w:tcW w:w="4005" w:type="pct"/>
            <w:noWrap/>
            <w:vAlign w:val="bottom"/>
            <w:hideMark/>
          </w:tcPr>
          <w:p w14:paraId="33BBDA26" w14:textId="77777777" w:rsidR="009F08BA" w:rsidRPr="001E4F1E" w:rsidRDefault="009F08BA" w:rsidP="009F08BA">
            <w:pPr>
              <w:rPr>
                <w:rFonts w:ascii="Aptos Narrow" w:hAnsi="Aptos Narrow"/>
                <w:b/>
                <w:bCs/>
                <w:color w:val="000000"/>
                <w:lang w:eastAsia="cs-CZ"/>
              </w:rPr>
            </w:pPr>
            <w:r w:rsidRPr="001E4F1E">
              <w:rPr>
                <w:rFonts w:ascii="Aptos Narrow" w:hAnsi="Aptos Narrow"/>
                <w:b/>
                <w:bCs/>
                <w:color w:val="000000"/>
                <w:lang w:eastAsia="cs-CZ"/>
              </w:rPr>
              <w:t>Celkem</w:t>
            </w:r>
          </w:p>
        </w:tc>
        <w:tc>
          <w:tcPr>
            <w:tcW w:w="995" w:type="pct"/>
            <w:noWrap/>
            <w:vAlign w:val="center"/>
          </w:tcPr>
          <w:p w14:paraId="48ACAAD6" w14:textId="61E25E6A" w:rsidR="009F08BA" w:rsidRPr="001E4F1E" w:rsidRDefault="00102316" w:rsidP="00102316">
            <w:pPr>
              <w:jc w:val="right"/>
              <w:rPr>
                <w:rFonts w:ascii="Aptos Narrow" w:hAnsi="Aptos Narrow" w:cstheme="minorBidi"/>
                <w:b/>
                <w:bCs/>
                <w:color w:val="000000"/>
                <w:kern w:val="2"/>
                <w14:ligatures w14:val="standardContextual"/>
              </w:rPr>
            </w:pPr>
            <w:r w:rsidRPr="001E4F1E">
              <w:rPr>
                <w:rFonts w:ascii="Aptos Narrow" w:hAnsi="Aptos Narrow"/>
                <w:b/>
                <w:bCs/>
                <w:color w:val="000000"/>
              </w:rPr>
              <w:t>22 796</w:t>
            </w:r>
          </w:p>
        </w:tc>
      </w:tr>
    </w:tbl>
    <w:p w14:paraId="058971DF" w14:textId="77777777" w:rsidR="00644823" w:rsidRDefault="00644823" w:rsidP="00AE46FC">
      <w:pPr>
        <w:pStyle w:val="RozpocetOdstavec"/>
      </w:pPr>
    </w:p>
    <w:p w14:paraId="04E234EF" w14:textId="77777777" w:rsidR="00DD7CB5" w:rsidRDefault="00DD7CB5" w:rsidP="00DD7CB5">
      <w:pPr>
        <w:pStyle w:val="RozpoetNadpis3"/>
      </w:pPr>
      <w:bookmarkStart w:id="52" w:name="_Toc228824356"/>
      <w:r>
        <w:t>Prostředky na financování rektorátu</w:t>
      </w:r>
      <w:bookmarkEnd w:id="52"/>
    </w:p>
    <w:p w14:paraId="77F23AD5" w14:textId="77777777" w:rsidR="00670B8C" w:rsidRPr="000A20AA" w:rsidRDefault="00670B8C" w:rsidP="00670B8C">
      <w:pPr>
        <w:pStyle w:val="RozpocetOdstavec"/>
      </w:pPr>
      <w:r w:rsidRPr="000A20AA">
        <w:t>Celkový objem prostředků na financování provozu rektorátu zahrnuje osobní náklady, jejichž výše je odvozena od aktuálního organizačního řádu rektorátu a po odpočtu nákladů hrazených v daném roce z projektových prostředků. Ostatní provozní náklady jsou plánovány podle počtu pracovníků a charakteru činnosti příslušného nákladového střediska. Výše nákladů se odvíjí od rozsahu služeb, které jsou poskytovány. Součástí prostředků na financování provozu rektorátu je i objem sociálního fondu potřebný ke krytí příspěvku poskytovaného zaměstnanci na benefity.</w:t>
      </w:r>
    </w:p>
    <w:p w14:paraId="742836AA" w14:textId="77777777" w:rsidR="00537A2D" w:rsidRDefault="00537A2D" w:rsidP="00AE46FC">
      <w:pPr>
        <w:pStyle w:val="RozpocetOdstave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537A2D" w:rsidRPr="00537A2D" w14:paraId="34B87ADC" w14:textId="77777777" w:rsidTr="001E4F1E">
        <w:trPr>
          <w:trHeight w:val="320"/>
        </w:trPr>
        <w:tc>
          <w:tcPr>
            <w:tcW w:w="2500" w:type="pct"/>
            <w:shd w:val="clear" w:color="auto" w:fill="D9D9D9" w:themeFill="background1" w:themeFillShade="D9"/>
            <w:noWrap/>
            <w:vAlign w:val="bottom"/>
            <w:hideMark/>
          </w:tcPr>
          <w:p w14:paraId="45C5FB1D" w14:textId="77777777" w:rsidR="00537A2D" w:rsidRPr="00537A2D" w:rsidRDefault="00537A2D" w:rsidP="00537A2D">
            <w:pPr>
              <w:rPr>
                <w:rFonts w:ascii="Aptos Narrow" w:hAnsi="Aptos Narrow"/>
                <w:b/>
                <w:bCs/>
                <w:color w:val="000000"/>
                <w:lang w:eastAsia="cs-CZ"/>
              </w:rPr>
            </w:pPr>
            <w:r w:rsidRPr="00537A2D">
              <w:rPr>
                <w:rFonts w:ascii="Aptos Narrow" w:hAnsi="Aptos Narrow"/>
                <w:b/>
                <w:bCs/>
                <w:color w:val="000000"/>
                <w:lang w:eastAsia="cs-CZ"/>
              </w:rPr>
              <w:t>Položka</w:t>
            </w:r>
          </w:p>
        </w:tc>
        <w:tc>
          <w:tcPr>
            <w:tcW w:w="2500" w:type="pct"/>
            <w:shd w:val="clear" w:color="auto" w:fill="D9D9D9" w:themeFill="background1" w:themeFillShade="D9"/>
            <w:noWrap/>
            <w:vAlign w:val="bottom"/>
            <w:hideMark/>
          </w:tcPr>
          <w:p w14:paraId="573F5BFA" w14:textId="77777777" w:rsidR="00537A2D" w:rsidRPr="00537A2D" w:rsidRDefault="00537A2D" w:rsidP="00537A2D">
            <w:pPr>
              <w:jc w:val="right"/>
              <w:rPr>
                <w:rFonts w:ascii="Aptos Narrow" w:hAnsi="Aptos Narrow"/>
                <w:b/>
                <w:bCs/>
                <w:color w:val="000000"/>
                <w:lang w:eastAsia="cs-CZ"/>
              </w:rPr>
            </w:pPr>
            <w:r w:rsidRPr="00537A2D">
              <w:rPr>
                <w:rFonts w:ascii="Aptos Narrow" w:hAnsi="Aptos Narrow"/>
                <w:b/>
                <w:bCs/>
                <w:color w:val="000000"/>
                <w:lang w:eastAsia="cs-CZ"/>
              </w:rPr>
              <w:t>Celkem v tis. Kč</w:t>
            </w:r>
          </w:p>
        </w:tc>
      </w:tr>
      <w:tr w:rsidR="00102316" w:rsidRPr="00537A2D" w14:paraId="5A03DB81" w14:textId="77777777" w:rsidTr="00592EA5">
        <w:trPr>
          <w:trHeight w:val="320"/>
        </w:trPr>
        <w:tc>
          <w:tcPr>
            <w:tcW w:w="2500" w:type="pct"/>
            <w:noWrap/>
            <w:vAlign w:val="bottom"/>
            <w:hideMark/>
          </w:tcPr>
          <w:p w14:paraId="244E192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Osobní náklady akademických funkcionářů</w:t>
            </w:r>
          </w:p>
        </w:tc>
        <w:tc>
          <w:tcPr>
            <w:tcW w:w="2500" w:type="pct"/>
            <w:noWrap/>
            <w:vAlign w:val="bottom"/>
          </w:tcPr>
          <w:p w14:paraId="632693E0" w14:textId="053C73E1" w:rsidR="00102316" w:rsidRPr="00033E3D" w:rsidRDefault="00102316" w:rsidP="00102316">
            <w:pPr>
              <w:jc w:val="right"/>
              <w:rPr>
                <w:rFonts w:ascii="Aptos Narrow" w:hAnsi="Aptos Narrow"/>
                <w:color w:val="000000"/>
                <w:lang w:eastAsia="cs-CZ"/>
              </w:rPr>
            </w:pPr>
            <w:r>
              <w:rPr>
                <w:rFonts w:ascii="Aptos Narrow" w:hAnsi="Aptos Narrow"/>
                <w:color w:val="000000"/>
              </w:rPr>
              <w:t>3 600</w:t>
            </w:r>
          </w:p>
        </w:tc>
      </w:tr>
      <w:tr w:rsidR="00102316" w:rsidRPr="00537A2D" w14:paraId="04C727D2" w14:textId="77777777" w:rsidTr="00592EA5">
        <w:trPr>
          <w:trHeight w:val="320"/>
        </w:trPr>
        <w:tc>
          <w:tcPr>
            <w:tcW w:w="2500" w:type="pct"/>
            <w:noWrap/>
            <w:vAlign w:val="bottom"/>
            <w:hideMark/>
          </w:tcPr>
          <w:p w14:paraId="6108C99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Kancelář rektora</w:t>
            </w:r>
          </w:p>
        </w:tc>
        <w:tc>
          <w:tcPr>
            <w:tcW w:w="2500" w:type="pct"/>
            <w:noWrap/>
            <w:vAlign w:val="bottom"/>
          </w:tcPr>
          <w:p w14:paraId="292B7F80" w14:textId="49BEFCEF" w:rsidR="00102316" w:rsidRPr="00033E3D" w:rsidRDefault="00102316" w:rsidP="00102316">
            <w:pPr>
              <w:jc w:val="right"/>
              <w:rPr>
                <w:rFonts w:ascii="Aptos Narrow" w:hAnsi="Aptos Narrow"/>
                <w:color w:val="000000"/>
                <w:lang w:eastAsia="cs-CZ"/>
              </w:rPr>
            </w:pPr>
            <w:r>
              <w:rPr>
                <w:rFonts w:ascii="Aptos Narrow" w:hAnsi="Aptos Narrow"/>
                <w:color w:val="000000"/>
              </w:rPr>
              <w:t>6 800</w:t>
            </w:r>
          </w:p>
        </w:tc>
      </w:tr>
      <w:tr w:rsidR="00102316" w:rsidRPr="00537A2D" w14:paraId="399F52C5" w14:textId="77777777" w:rsidTr="00592EA5">
        <w:trPr>
          <w:trHeight w:val="320"/>
        </w:trPr>
        <w:tc>
          <w:tcPr>
            <w:tcW w:w="2500" w:type="pct"/>
            <w:noWrap/>
            <w:vAlign w:val="bottom"/>
            <w:hideMark/>
          </w:tcPr>
          <w:p w14:paraId="674F605B"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Odbor marketingu a komunikace</w:t>
            </w:r>
          </w:p>
        </w:tc>
        <w:tc>
          <w:tcPr>
            <w:tcW w:w="2500" w:type="pct"/>
            <w:noWrap/>
            <w:vAlign w:val="bottom"/>
          </w:tcPr>
          <w:p w14:paraId="6B305E52" w14:textId="1DC2A3F2" w:rsidR="00102316" w:rsidRPr="00033E3D" w:rsidRDefault="00102316" w:rsidP="00102316">
            <w:pPr>
              <w:jc w:val="right"/>
              <w:rPr>
                <w:rFonts w:ascii="Aptos Narrow" w:hAnsi="Aptos Narrow"/>
                <w:color w:val="000000"/>
                <w:lang w:eastAsia="cs-CZ"/>
              </w:rPr>
            </w:pPr>
            <w:r>
              <w:rPr>
                <w:rFonts w:ascii="Aptos Narrow" w:hAnsi="Aptos Narrow"/>
                <w:color w:val="000000"/>
              </w:rPr>
              <w:t>7 300</w:t>
            </w:r>
          </w:p>
        </w:tc>
      </w:tr>
      <w:tr w:rsidR="00102316" w:rsidRPr="00537A2D" w14:paraId="24271660" w14:textId="77777777" w:rsidTr="00592EA5">
        <w:trPr>
          <w:trHeight w:val="320"/>
        </w:trPr>
        <w:tc>
          <w:tcPr>
            <w:tcW w:w="2500" w:type="pct"/>
            <w:noWrap/>
            <w:vAlign w:val="bottom"/>
            <w:hideMark/>
          </w:tcPr>
          <w:p w14:paraId="3037277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Personální oddělení</w:t>
            </w:r>
          </w:p>
        </w:tc>
        <w:tc>
          <w:tcPr>
            <w:tcW w:w="2500" w:type="pct"/>
            <w:noWrap/>
            <w:vAlign w:val="bottom"/>
          </w:tcPr>
          <w:p w14:paraId="4EF18FD1" w14:textId="6DC6E35A" w:rsidR="00102316" w:rsidRPr="00033E3D" w:rsidRDefault="00102316" w:rsidP="00102316">
            <w:pPr>
              <w:jc w:val="right"/>
              <w:rPr>
                <w:rFonts w:ascii="Aptos Narrow" w:hAnsi="Aptos Narrow"/>
                <w:color w:val="000000"/>
                <w:lang w:eastAsia="cs-CZ"/>
              </w:rPr>
            </w:pPr>
            <w:r>
              <w:rPr>
                <w:rFonts w:ascii="Aptos Narrow" w:hAnsi="Aptos Narrow"/>
                <w:color w:val="000000"/>
              </w:rPr>
              <w:t>4 900</w:t>
            </w:r>
          </w:p>
        </w:tc>
      </w:tr>
      <w:tr w:rsidR="00102316" w:rsidRPr="00537A2D" w14:paraId="3522DEB8" w14:textId="77777777" w:rsidTr="00592EA5">
        <w:trPr>
          <w:trHeight w:val="320"/>
        </w:trPr>
        <w:tc>
          <w:tcPr>
            <w:tcW w:w="2500" w:type="pct"/>
            <w:noWrap/>
            <w:vAlign w:val="bottom"/>
            <w:hideMark/>
          </w:tcPr>
          <w:p w14:paraId="0A92255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Oddělení rozvoje lidských zdrojů</w:t>
            </w:r>
          </w:p>
        </w:tc>
        <w:tc>
          <w:tcPr>
            <w:tcW w:w="2500" w:type="pct"/>
            <w:noWrap/>
            <w:vAlign w:val="bottom"/>
          </w:tcPr>
          <w:p w14:paraId="23B01503" w14:textId="42CDD491" w:rsidR="00102316" w:rsidRPr="00033E3D" w:rsidRDefault="00102316" w:rsidP="00102316">
            <w:pPr>
              <w:jc w:val="right"/>
              <w:rPr>
                <w:rFonts w:ascii="Aptos Narrow" w:hAnsi="Aptos Narrow"/>
                <w:color w:val="000000"/>
                <w:lang w:eastAsia="cs-CZ"/>
              </w:rPr>
            </w:pPr>
            <w:r>
              <w:rPr>
                <w:rFonts w:ascii="Aptos Narrow" w:hAnsi="Aptos Narrow"/>
                <w:color w:val="000000"/>
              </w:rPr>
              <w:t>2 800</w:t>
            </w:r>
          </w:p>
        </w:tc>
      </w:tr>
      <w:tr w:rsidR="00102316" w:rsidRPr="00537A2D" w14:paraId="4F643816" w14:textId="77777777" w:rsidTr="00592EA5">
        <w:trPr>
          <w:trHeight w:val="320"/>
        </w:trPr>
        <w:tc>
          <w:tcPr>
            <w:tcW w:w="2500" w:type="pct"/>
            <w:noWrap/>
            <w:vAlign w:val="bottom"/>
            <w:hideMark/>
          </w:tcPr>
          <w:p w14:paraId="15C70F64"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Právní oddělení</w:t>
            </w:r>
          </w:p>
        </w:tc>
        <w:tc>
          <w:tcPr>
            <w:tcW w:w="2500" w:type="pct"/>
            <w:noWrap/>
            <w:vAlign w:val="bottom"/>
          </w:tcPr>
          <w:p w14:paraId="10A61AF1" w14:textId="2EC7BD1F" w:rsidR="00102316" w:rsidRPr="00033E3D" w:rsidRDefault="00102316" w:rsidP="00102316">
            <w:pPr>
              <w:jc w:val="right"/>
              <w:rPr>
                <w:rFonts w:ascii="Aptos Narrow" w:hAnsi="Aptos Narrow"/>
                <w:color w:val="000000"/>
                <w:lang w:eastAsia="cs-CZ"/>
              </w:rPr>
            </w:pPr>
            <w:r>
              <w:rPr>
                <w:rFonts w:ascii="Aptos Narrow" w:hAnsi="Aptos Narrow"/>
                <w:color w:val="000000"/>
              </w:rPr>
              <w:t>4 900</w:t>
            </w:r>
          </w:p>
        </w:tc>
      </w:tr>
      <w:tr w:rsidR="00102316" w:rsidRPr="00537A2D" w14:paraId="68BF4521" w14:textId="77777777" w:rsidTr="00592EA5">
        <w:trPr>
          <w:trHeight w:val="320"/>
        </w:trPr>
        <w:tc>
          <w:tcPr>
            <w:tcW w:w="2500" w:type="pct"/>
            <w:noWrap/>
            <w:vAlign w:val="bottom"/>
            <w:hideMark/>
          </w:tcPr>
          <w:p w14:paraId="52C88818"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Oddělení strategického rozvoje</w:t>
            </w:r>
          </w:p>
        </w:tc>
        <w:tc>
          <w:tcPr>
            <w:tcW w:w="2500" w:type="pct"/>
            <w:noWrap/>
            <w:vAlign w:val="bottom"/>
          </w:tcPr>
          <w:p w14:paraId="7219F455" w14:textId="0F3F128D" w:rsidR="00102316" w:rsidRPr="00033E3D" w:rsidRDefault="00102316" w:rsidP="00102316">
            <w:pPr>
              <w:jc w:val="right"/>
              <w:rPr>
                <w:rFonts w:ascii="Aptos Narrow" w:hAnsi="Aptos Narrow"/>
                <w:color w:val="000000"/>
                <w:lang w:eastAsia="cs-CZ"/>
              </w:rPr>
            </w:pPr>
            <w:r>
              <w:rPr>
                <w:rFonts w:ascii="Aptos Narrow" w:hAnsi="Aptos Narrow"/>
                <w:color w:val="000000"/>
              </w:rPr>
              <w:t>0</w:t>
            </w:r>
          </w:p>
        </w:tc>
      </w:tr>
      <w:tr w:rsidR="00102316" w:rsidRPr="00537A2D" w14:paraId="746D8128" w14:textId="77777777" w:rsidTr="00592EA5">
        <w:trPr>
          <w:trHeight w:val="320"/>
        </w:trPr>
        <w:tc>
          <w:tcPr>
            <w:tcW w:w="2500" w:type="pct"/>
            <w:noWrap/>
            <w:vAlign w:val="bottom"/>
            <w:hideMark/>
          </w:tcPr>
          <w:p w14:paraId="0CCC04B1"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Institut celoživotního vzdělávání</w:t>
            </w:r>
          </w:p>
        </w:tc>
        <w:tc>
          <w:tcPr>
            <w:tcW w:w="2500" w:type="pct"/>
            <w:noWrap/>
            <w:vAlign w:val="bottom"/>
          </w:tcPr>
          <w:p w14:paraId="09DCBDE4" w14:textId="53055948"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 0</w:t>
            </w:r>
          </w:p>
        </w:tc>
      </w:tr>
      <w:tr w:rsidR="00102316" w:rsidRPr="00537A2D" w14:paraId="4CDE1F7F" w14:textId="77777777" w:rsidTr="00592EA5">
        <w:trPr>
          <w:trHeight w:val="320"/>
        </w:trPr>
        <w:tc>
          <w:tcPr>
            <w:tcW w:w="2500" w:type="pct"/>
            <w:noWrap/>
            <w:vAlign w:val="bottom"/>
            <w:hideMark/>
          </w:tcPr>
          <w:p w14:paraId="2800D79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pedagogickou činnost</w:t>
            </w:r>
          </w:p>
        </w:tc>
        <w:tc>
          <w:tcPr>
            <w:tcW w:w="2500" w:type="pct"/>
            <w:noWrap/>
            <w:vAlign w:val="bottom"/>
          </w:tcPr>
          <w:p w14:paraId="435C7415" w14:textId="3A42F9CF"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1 500</w:t>
            </w:r>
          </w:p>
        </w:tc>
      </w:tr>
      <w:tr w:rsidR="00102316" w:rsidRPr="00537A2D" w14:paraId="0F551234" w14:textId="77777777" w:rsidTr="00592EA5">
        <w:trPr>
          <w:trHeight w:val="320"/>
        </w:trPr>
        <w:tc>
          <w:tcPr>
            <w:tcW w:w="2500" w:type="pct"/>
            <w:noWrap/>
            <w:vAlign w:val="bottom"/>
            <w:hideMark/>
          </w:tcPr>
          <w:p w14:paraId="006B2B2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tvůrčí činnost</w:t>
            </w:r>
          </w:p>
        </w:tc>
        <w:tc>
          <w:tcPr>
            <w:tcW w:w="2500" w:type="pct"/>
            <w:noWrap/>
            <w:vAlign w:val="bottom"/>
          </w:tcPr>
          <w:p w14:paraId="2A6211E4" w14:textId="7454D75F"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1 600</w:t>
            </w:r>
          </w:p>
        </w:tc>
      </w:tr>
      <w:tr w:rsidR="00102316" w:rsidRPr="00537A2D" w14:paraId="5B9AB508" w14:textId="77777777" w:rsidTr="00592EA5">
        <w:trPr>
          <w:trHeight w:val="320"/>
        </w:trPr>
        <w:tc>
          <w:tcPr>
            <w:tcW w:w="2500" w:type="pct"/>
            <w:noWrap/>
            <w:vAlign w:val="bottom"/>
            <w:hideMark/>
          </w:tcPr>
          <w:p w14:paraId="4DA8009C"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vnitřní a vnější vztahy</w:t>
            </w:r>
          </w:p>
        </w:tc>
        <w:tc>
          <w:tcPr>
            <w:tcW w:w="2500" w:type="pct"/>
            <w:noWrap/>
            <w:vAlign w:val="bottom"/>
          </w:tcPr>
          <w:p w14:paraId="412C4D35" w14:textId="5F9DACA0"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800</w:t>
            </w:r>
          </w:p>
        </w:tc>
      </w:tr>
      <w:tr w:rsidR="00102316" w:rsidRPr="00537A2D" w14:paraId="3242D750" w14:textId="77777777" w:rsidTr="00592EA5">
        <w:trPr>
          <w:trHeight w:val="320"/>
        </w:trPr>
        <w:tc>
          <w:tcPr>
            <w:tcW w:w="2500" w:type="pct"/>
            <w:noWrap/>
            <w:vAlign w:val="bottom"/>
            <w:hideMark/>
          </w:tcPr>
          <w:p w14:paraId="591FD862"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internacionalizaci</w:t>
            </w:r>
          </w:p>
        </w:tc>
        <w:tc>
          <w:tcPr>
            <w:tcW w:w="2500" w:type="pct"/>
            <w:noWrap/>
            <w:vAlign w:val="bottom"/>
          </w:tcPr>
          <w:p w14:paraId="35BD17B2" w14:textId="3F503585"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3 800</w:t>
            </w:r>
          </w:p>
        </w:tc>
      </w:tr>
      <w:tr w:rsidR="00102316" w:rsidRPr="00537A2D" w14:paraId="3A70CF8B" w14:textId="77777777" w:rsidTr="00592EA5">
        <w:trPr>
          <w:trHeight w:val="320"/>
        </w:trPr>
        <w:tc>
          <w:tcPr>
            <w:tcW w:w="2500" w:type="pct"/>
            <w:noWrap/>
            <w:vAlign w:val="bottom"/>
            <w:hideMark/>
          </w:tcPr>
          <w:p w14:paraId="494AF52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Referát prorektora pro rozvoj</w:t>
            </w:r>
          </w:p>
        </w:tc>
        <w:tc>
          <w:tcPr>
            <w:tcW w:w="2500" w:type="pct"/>
            <w:noWrap/>
            <w:vAlign w:val="bottom"/>
          </w:tcPr>
          <w:p w14:paraId="5BAA9707" w14:textId="4D868107"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900</w:t>
            </w:r>
          </w:p>
        </w:tc>
      </w:tr>
      <w:tr w:rsidR="00102316" w:rsidRPr="00537A2D" w14:paraId="7C92C8D5" w14:textId="77777777" w:rsidTr="00592EA5">
        <w:trPr>
          <w:trHeight w:val="320"/>
        </w:trPr>
        <w:tc>
          <w:tcPr>
            <w:tcW w:w="2500" w:type="pct"/>
            <w:noWrap/>
            <w:vAlign w:val="bottom"/>
            <w:hideMark/>
          </w:tcPr>
          <w:p w14:paraId="14D6E5D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Sekretariát kvestora</w:t>
            </w:r>
          </w:p>
        </w:tc>
        <w:tc>
          <w:tcPr>
            <w:tcW w:w="2500" w:type="pct"/>
            <w:noWrap/>
            <w:vAlign w:val="bottom"/>
          </w:tcPr>
          <w:p w14:paraId="133BEA28" w14:textId="6B77A003"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5 900</w:t>
            </w:r>
          </w:p>
        </w:tc>
      </w:tr>
      <w:tr w:rsidR="00102316" w:rsidRPr="00537A2D" w14:paraId="6C316802" w14:textId="77777777" w:rsidTr="00592EA5">
        <w:trPr>
          <w:trHeight w:val="320"/>
        </w:trPr>
        <w:tc>
          <w:tcPr>
            <w:tcW w:w="2500" w:type="pct"/>
            <w:noWrap/>
            <w:vAlign w:val="bottom"/>
            <w:hideMark/>
          </w:tcPr>
          <w:p w14:paraId="262F9E73"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Odbor investic a majetku</w:t>
            </w:r>
          </w:p>
        </w:tc>
        <w:tc>
          <w:tcPr>
            <w:tcW w:w="2500" w:type="pct"/>
            <w:noWrap/>
            <w:vAlign w:val="bottom"/>
          </w:tcPr>
          <w:p w14:paraId="0BDE5A0D" w14:textId="008990E1"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5 700</w:t>
            </w:r>
          </w:p>
        </w:tc>
      </w:tr>
      <w:tr w:rsidR="00102316" w:rsidRPr="00537A2D" w14:paraId="4DFDC740" w14:textId="77777777" w:rsidTr="00592EA5">
        <w:trPr>
          <w:trHeight w:val="320"/>
        </w:trPr>
        <w:tc>
          <w:tcPr>
            <w:tcW w:w="2500" w:type="pct"/>
            <w:noWrap/>
            <w:vAlign w:val="bottom"/>
            <w:hideMark/>
          </w:tcPr>
          <w:p w14:paraId="3E6FF2E9"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Organizační odbor</w:t>
            </w:r>
          </w:p>
        </w:tc>
        <w:tc>
          <w:tcPr>
            <w:tcW w:w="2500" w:type="pct"/>
            <w:noWrap/>
            <w:vAlign w:val="bottom"/>
          </w:tcPr>
          <w:p w14:paraId="67C6BAEB" w14:textId="48FDEBF9"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7 400</w:t>
            </w:r>
          </w:p>
        </w:tc>
      </w:tr>
      <w:tr w:rsidR="00102316" w:rsidRPr="00537A2D" w14:paraId="43884D30" w14:textId="77777777" w:rsidTr="00592EA5">
        <w:trPr>
          <w:trHeight w:val="320"/>
        </w:trPr>
        <w:tc>
          <w:tcPr>
            <w:tcW w:w="2500" w:type="pct"/>
            <w:noWrap/>
            <w:vAlign w:val="bottom"/>
            <w:hideMark/>
          </w:tcPr>
          <w:p w14:paraId="1BD1C216"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Projektové oddělení</w:t>
            </w:r>
          </w:p>
        </w:tc>
        <w:tc>
          <w:tcPr>
            <w:tcW w:w="2500" w:type="pct"/>
            <w:noWrap/>
            <w:vAlign w:val="bottom"/>
          </w:tcPr>
          <w:p w14:paraId="590F85AE" w14:textId="0B6F6302"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2 500</w:t>
            </w:r>
          </w:p>
        </w:tc>
      </w:tr>
      <w:tr w:rsidR="00102316" w:rsidRPr="00537A2D" w14:paraId="733EE2CF" w14:textId="77777777" w:rsidTr="00592EA5">
        <w:trPr>
          <w:trHeight w:val="320"/>
        </w:trPr>
        <w:tc>
          <w:tcPr>
            <w:tcW w:w="2500" w:type="pct"/>
            <w:noWrap/>
            <w:vAlign w:val="bottom"/>
            <w:hideMark/>
          </w:tcPr>
          <w:p w14:paraId="5F05F04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Ekonomický odbor</w:t>
            </w:r>
          </w:p>
        </w:tc>
        <w:tc>
          <w:tcPr>
            <w:tcW w:w="2500" w:type="pct"/>
            <w:noWrap/>
            <w:vAlign w:val="bottom"/>
          </w:tcPr>
          <w:p w14:paraId="01DF6C00" w14:textId="6E59AE94"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18 000</w:t>
            </w:r>
          </w:p>
        </w:tc>
      </w:tr>
      <w:tr w:rsidR="00102316" w:rsidRPr="00537A2D" w14:paraId="311EBF03" w14:textId="77777777" w:rsidTr="00592EA5">
        <w:trPr>
          <w:trHeight w:val="320"/>
        </w:trPr>
        <w:tc>
          <w:tcPr>
            <w:tcW w:w="2500" w:type="pct"/>
            <w:noWrap/>
            <w:vAlign w:val="bottom"/>
            <w:hideMark/>
          </w:tcPr>
          <w:p w14:paraId="4E9022DA"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Centrum výpočetní techniky</w:t>
            </w:r>
          </w:p>
        </w:tc>
        <w:tc>
          <w:tcPr>
            <w:tcW w:w="2500" w:type="pct"/>
            <w:noWrap/>
            <w:vAlign w:val="bottom"/>
          </w:tcPr>
          <w:p w14:paraId="0A95D526" w14:textId="5C27EB99"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13 500</w:t>
            </w:r>
          </w:p>
        </w:tc>
      </w:tr>
      <w:tr w:rsidR="00102316" w:rsidRPr="00537A2D" w14:paraId="641CF756" w14:textId="77777777" w:rsidTr="00592EA5">
        <w:trPr>
          <w:trHeight w:val="320"/>
        </w:trPr>
        <w:tc>
          <w:tcPr>
            <w:tcW w:w="2500" w:type="pct"/>
            <w:noWrap/>
            <w:vAlign w:val="bottom"/>
            <w:hideMark/>
          </w:tcPr>
          <w:p w14:paraId="0392B66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Technicko-provozní odbor</w:t>
            </w:r>
          </w:p>
        </w:tc>
        <w:tc>
          <w:tcPr>
            <w:tcW w:w="2500" w:type="pct"/>
            <w:noWrap/>
            <w:vAlign w:val="bottom"/>
          </w:tcPr>
          <w:p w14:paraId="2E6B4403" w14:textId="705FF027" w:rsidR="00102316" w:rsidRPr="00102316" w:rsidRDefault="00102316" w:rsidP="00102316">
            <w:pPr>
              <w:jc w:val="right"/>
              <w:rPr>
                <w:rFonts w:ascii="Aptos Narrow" w:hAnsi="Aptos Narrow"/>
                <w:color w:val="000000" w:themeColor="text1"/>
                <w:lang w:eastAsia="cs-CZ"/>
              </w:rPr>
            </w:pPr>
            <w:r w:rsidRPr="00102316">
              <w:rPr>
                <w:rFonts w:ascii="Aptos Narrow" w:hAnsi="Aptos Narrow"/>
                <w:color w:val="000000" w:themeColor="text1"/>
              </w:rPr>
              <w:t>13 500</w:t>
            </w:r>
          </w:p>
        </w:tc>
      </w:tr>
      <w:tr w:rsidR="00102316" w:rsidRPr="00537A2D" w14:paraId="397A164C" w14:textId="77777777" w:rsidTr="00592EA5">
        <w:trPr>
          <w:trHeight w:val="320"/>
        </w:trPr>
        <w:tc>
          <w:tcPr>
            <w:tcW w:w="2500" w:type="pct"/>
            <w:noWrap/>
            <w:vAlign w:val="bottom"/>
            <w:hideMark/>
          </w:tcPr>
          <w:p w14:paraId="46498CB0"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Náklady na provoz rektorátu v objektu U13</w:t>
            </w:r>
          </w:p>
        </w:tc>
        <w:tc>
          <w:tcPr>
            <w:tcW w:w="2500" w:type="pct"/>
            <w:noWrap/>
            <w:vAlign w:val="bottom"/>
          </w:tcPr>
          <w:p w14:paraId="0EA70BBD" w14:textId="58767C00" w:rsidR="00102316" w:rsidRPr="00033E3D" w:rsidRDefault="00102316" w:rsidP="00102316">
            <w:pPr>
              <w:jc w:val="right"/>
              <w:rPr>
                <w:rFonts w:ascii="Aptos Narrow" w:hAnsi="Aptos Narrow"/>
                <w:color w:val="000000"/>
                <w:lang w:eastAsia="cs-CZ"/>
              </w:rPr>
            </w:pPr>
            <w:r>
              <w:rPr>
                <w:rFonts w:ascii="Aptos Narrow" w:hAnsi="Aptos Narrow"/>
                <w:color w:val="000000"/>
              </w:rPr>
              <w:t>5 000</w:t>
            </w:r>
          </w:p>
        </w:tc>
      </w:tr>
      <w:tr w:rsidR="00102316" w:rsidRPr="00537A2D" w14:paraId="1CAF6BB8" w14:textId="77777777" w:rsidTr="00592EA5">
        <w:trPr>
          <w:trHeight w:val="320"/>
        </w:trPr>
        <w:tc>
          <w:tcPr>
            <w:tcW w:w="2500" w:type="pct"/>
            <w:noWrap/>
            <w:vAlign w:val="bottom"/>
            <w:hideMark/>
          </w:tcPr>
          <w:p w14:paraId="1BB623C6"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Dofinancování z jiných zdrojů</w:t>
            </w:r>
          </w:p>
        </w:tc>
        <w:tc>
          <w:tcPr>
            <w:tcW w:w="2500" w:type="pct"/>
            <w:noWrap/>
            <w:vAlign w:val="bottom"/>
          </w:tcPr>
          <w:p w14:paraId="35872551" w14:textId="4D4D307D" w:rsidR="00102316" w:rsidRPr="00033E3D" w:rsidRDefault="00102316" w:rsidP="00102316">
            <w:pPr>
              <w:jc w:val="right"/>
              <w:rPr>
                <w:rFonts w:ascii="Aptos Narrow" w:hAnsi="Aptos Narrow"/>
                <w:color w:val="000000"/>
                <w:lang w:eastAsia="cs-CZ"/>
              </w:rPr>
            </w:pPr>
            <w:r>
              <w:rPr>
                <w:rFonts w:ascii="Aptos Narrow" w:hAnsi="Aptos Narrow"/>
                <w:color w:val="000000"/>
              </w:rPr>
              <w:t>-34 000</w:t>
            </w:r>
          </w:p>
        </w:tc>
      </w:tr>
      <w:tr w:rsidR="00102316" w:rsidRPr="00537A2D" w14:paraId="15A8DC0A" w14:textId="77777777" w:rsidTr="00592EA5">
        <w:trPr>
          <w:trHeight w:val="320"/>
        </w:trPr>
        <w:tc>
          <w:tcPr>
            <w:tcW w:w="2500" w:type="pct"/>
            <w:noWrap/>
            <w:vAlign w:val="bottom"/>
            <w:hideMark/>
          </w:tcPr>
          <w:p w14:paraId="10C43CC6" w14:textId="77777777" w:rsidR="00102316" w:rsidRPr="00537A2D" w:rsidRDefault="00102316" w:rsidP="00102316">
            <w:pPr>
              <w:rPr>
                <w:rFonts w:ascii="Aptos Narrow" w:hAnsi="Aptos Narrow"/>
                <w:b/>
                <w:bCs/>
                <w:color w:val="000000"/>
                <w:lang w:eastAsia="cs-CZ"/>
              </w:rPr>
            </w:pPr>
            <w:r w:rsidRPr="00537A2D">
              <w:rPr>
                <w:rFonts w:ascii="Aptos Narrow" w:hAnsi="Aptos Narrow"/>
                <w:b/>
                <w:bCs/>
                <w:color w:val="000000"/>
                <w:lang w:eastAsia="cs-CZ"/>
              </w:rPr>
              <w:t>Celkem</w:t>
            </w:r>
          </w:p>
        </w:tc>
        <w:tc>
          <w:tcPr>
            <w:tcW w:w="2500" w:type="pct"/>
            <w:noWrap/>
            <w:vAlign w:val="bottom"/>
          </w:tcPr>
          <w:p w14:paraId="535C43FB" w14:textId="22EC231B" w:rsidR="00102316" w:rsidRPr="00033E3D" w:rsidRDefault="00102316" w:rsidP="00102316">
            <w:pPr>
              <w:jc w:val="right"/>
              <w:rPr>
                <w:rFonts w:ascii="Aptos Narrow" w:hAnsi="Aptos Narrow"/>
                <w:b/>
                <w:bCs/>
                <w:color w:val="000000"/>
                <w:lang w:eastAsia="cs-CZ"/>
              </w:rPr>
            </w:pPr>
            <w:r>
              <w:rPr>
                <w:rFonts w:ascii="Aptos Narrow" w:hAnsi="Aptos Narrow"/>
                <w:b/>
                <w:bCs/>
                <w:color w:val="000000"/>
              </w:rPr>
              <w:t>76 400</w:t>
            </w:r>
          </w:p>
        </w:tc>
      </w:tr>
    </w:tbl>
    <w:p w14:paraId="0A0E15AC" w14:textId="77777777" w:rsidR="00537A2D" w:rsidRDefault="00537A2D" w:rsidP="00AE46FC">
      <w:pPr>
        <w:pStyle w:val="RozpocetOdstavec"/>
      </w:pPr>
    </w:p>
    <w:p w14:paraId="59621723" w14:textId="77777777" w:rsidR="00DD7CB5" w:rsidRDefault="00DD7CB5" w:rsidP="00DD7CB5">
      <w:pPr>
        <w:pStyle w:val="RozpoetNadpis3"/>
      </w:pPr>
      <w:bookmarkStart w:id="53" w:name="_Toc228824357"/>
      <w:r>
        <w:t>Prostředky na financování informačních zdrojů</w:t>
      </w:r>
      <w:bookmarkEnd w:id="53"/>
    </w:p>
    <w:p w14:paraId="124B7717" w14:textId="77777777" w:rsidR="00670B8C" w:rsidRPr="000A20AA" w:rsidRDefault="00670B8C" w:rsidP="00670B8C">
      <w:pPr>
        <w:pStyle w:val="RozpocetOdstavec"/>
      </w:pPr>
      <w:r w:rsidRPr="000A20AA">
        <w:t xml:space="preserve">Celkový objem prostředků na financování informačních zdrojů zahrnuje náklady na elektronické a tištěné zdroje informací, knihovní systémy, vydavatelskou činnost a osobní </w:t>
      </w:r>
      <w:r w:rsidRPr="000A20AA">
        <w:br/>
        <w:t>a další náklady Knihovny. Strukturu jednotlivých položek informačních zdrojů pro UTB jako celek navrhuje ředitel Knihovny. Z prostředků Knihovny bude také financován provoz Informačního centra Baťa na UTB.</w:t>
      </w:r>
    </w:p>
    <w:p w14:paraId="12636CE8" w14:textId="77777777" w:rsidR="00997289" w:rsidRDefault="00997289" w:rsidP="00AE46FC">
      <w:pPr>
        <w:pStyle w:val="RozpocetOdstave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38"/>
        <w:gridCol w:w="4324"/>
      </w:tblGrid>
      <w:tr w:rsidR="00537A2D" w:rsidRPr="00537A2D" w14:paraId="05D03E86" w14:textId="77777777" w:rsidTr="001E4F1E">
        <w:trPr>
          <w:trHeight w:val="320"/>
        </w:trPr>
        <w:tc>
          <w:tcPr>
            <w:tcW w:w="2500" w:type="pct"/>
            <w:shd w:val="clear" w:color="auto" w:fill="D9D9D9" w:themeFill="background1" w:themeFillShade="D9"/>
            <w:noWrap/>
            <w:vAlign w:val="bottom"/>
            <w:hideMark/>
          </w:tcPr>
          <w:p w14:paraId="52B5F810" w14:textId="77777777" w:rsidR="00537A2D" w:rsidRPr="00537A2D" w:rsidRDefault="00537A2D" w:rsidP="00537A2D">
            <w:pPr>
              <w:rPr>
                <w:rFonts w:ascii="Aptos Narrow" w:hAnsi="Aptos Narrow"/>
                <w:b/>
                <w:bCs/>
                <w:color w:val="000000"/>
                <w:lang w:eastAsia="cs-CZ"/>
              </w:rPr>
            </w:pPr>
            <w:r w:rsidRPr="00537A2D">
              <w:rPr>
                <w:rFonts w:ascii="Aptos Narrow" w:hAnsi="Aptos Narrow"/>
                <w:b/>
                <w:bCs/>
                <w:color w:val="000000"/>
                <w:lang w:eastAsia="cs-CZ"/>
              </w:rPr>
              <w:t>Položka</w:t>
            </w:r>
          </w:p>
        </w:tc>
        <w:tc>
          <w:tcPr>
            <w:tcW w:w="2500" w:type="pct"/>
            <w:shd w:val="clear" w:color="auto" w:fill="D9D9D9" w:themeFill="background1" w:themeFillShade="D9"/>
            <w:noWrap/>
            <w:vAlign w:val="bottom"/>
            <w:hideMark/>
          </w:tcPr>
          <w:p w14:paraId="29FA63B7" w14:textId="77777777" w:rsidR="00537A2D" w:rsidRPr="00537A2D" w:rsidRDefault="00537A2D" w:rsidP="00537A2D">
            <w:pPr>
              <w:jc w:val="right"/>
              <w:rPr>
                <w:rFonts w:ascii="Aptos Narrow" w:hAnsi="Aptos Narrow"/>
                <w:b/>
                <w:bCs/>
                <w:color w:val="000000"/>
                <w:lang w:eastAsia="cs-CZ"/>
              </w:rPr>
            </w:pPr>
            <w:r w:rsidRPr="00537A2D">
              <w:rPr>
                <w:rFonts w:ascii="Aptos Narrow" w:hAnsi="Aptos Narrow"/>
                <w:b/>
                <w:bCs/>
                <w:color w:val="000000"/>
                <w:lang w:eastAsia="cs-CZ"/>
              </w:rPr>
              <w:t>Celkem v tis. Kč</w:t>
            </w:r>
          </w:p>
        </w:tc>
      </w:tr>
      <w:tr w:rsidR="00102316" w:rsidRPr="00537A2D" w14:paraId="3A818172" w14:textId="77777777" w:rsidTr="00A6298D">
        <w:trPr>
          <w:trHeight w:val="320"/>
        </w:trPr>
        <w:tc>
          <w:tcPr>
            <w:tcW w:w="2500" w:type="pct"/>
            <w:noWrap/>
            <w:vAlign w:val="bottom"/>
            <w:hideMark/>
          </w:tcPr>
          <w:p w14:paraId="20FB426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Elektronické zdroje informací</w:t>
            </w:r>
          </w:p>
        </w:tc>
        <w:tc>
          <w:tcPr>
            <w:tcW w:w="2500" w:type="pct"/>
            <w:noWrap/>
            <w:vAlign w:val="bottom"/>
          </w:tcPr>
          <w:p w14:paraId="622EDA81" w14:textId="5E99DBD9" w:rsidR="00102316" w:rsidRPr="00033E3D" w:rsidRDefault="00102316" w:rsidP="00102316">
            <w:pPr>
              <w:jc w:val="right"/>
              <w:rPr>
                <w:rFonts w:ascii="Aptos Narrow" w:hAnsi="Aptos Narrow"/>
                <w:color w:val="000000"/>
                <w:lang w:eastAsia="cs-CZ"/>
              </w:rPr>
            </w:pPr>
            <w:r>
              <w:rPr>
                <w:rFonts w:ascii="Aptos Narrow" w:hAnsi="Aptos Narrow"/>
                <w:color w:val="000000"/>
              </w:rPr>
              <w:t>9 500</w:t>
            </w:r>
          </w:p>
        </w:tc>
      </w:tr>
      <w:tr w:rsidR="00102316" w:rsidRPr="00537A2D" w14:paraId="53E1A7B9" w14:textId="77777777" w:rsidTr="00A6298D">
        <w:trPr>
          <w:trHeight w:val="320"/>
        </w:trPr>
        <w:tc>
          <w:tcPr>
            <w:tcW w:w="2500" w:type="pct"/>
            <w:noWrap/>
            <w:vAlign w:val="bottom"/>
            <w:hideMark/>
          </w:tcPr>
          <w:p w14:paraId="154FD28D"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lastRenderedPageBreak/>
              <w:t>Časopisy tištěné</w:t>
            </w:r>
          </w:p>
        </w:tc>
        <w:tc>
          <w:tcPr>
            <w:tcW w:w="2500" w:type="pct"/>
            <w:noWrap/>
            <w:vAlign w:val="bottom"/>
          </w:tcPr>
          <w:p w14:paraId="324D206C" w14:textId="3FFC5C1C" w:rsidR="00102316" w:rsidRPr="00033E3D" w:rsidRDefault="00102316" w:rsidP="00102316">
            <w:pPr>
              <w:jc w:val="right"/>
              <w:rPr>
                <w:rFonts w:ascii="Aptos Narrow" w:hAnsi="Aptos Narrow"/>
                <w:color w:val="000000"/>
                <w:lang w:eastAsia="cs-CZ"/>
              </w:rPr>
            </w:pPr>
            <w:r>
              <w:rPr>
                <w:rFonts w:ascii="Aptos Narrow" w:hAnsi="Aptos Narrow"/>
                <w:color w:val="000000"/>
              </w:rPr>
              <w:t>200</w:t>
            </w:r>
          </w:p>
        </w:tc>
      </w:tr>
      <w:tr w:rsidR="00102316" w:rsidRPr="00537A2D" w14:paraId="48F7BD52" w14:textId="77777777" w:rsidTr="00A6298D">
        <w:trPr>
          <w:trHeight w:val="320"/>
        </w:trPr>
        <w:tc>
          <w:tcPr>
            <w:tcW w:w="2500" w:type="pct"/>
            <w:noWrap/>
            <w:vAlign w:val="bottom"/>
            <w:hideMark/>
          </w:tcPr>
          <w:p w14:paraId="12EC51E8"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Knihy tištěné</w:t>
            </w:r>
          </w:p>
        </w:tc>
        <w:tc>
          <w:tcPr>
            <w:tcW w:w="2500" w:type="pct"/>
            <w:noWrap/>
            <w:vAlign w:val="bottom"/>
          </w:tcPr>
          <w:p w14:paraId="0F0EE1C3" w14:textId="2878C3E0" w:rsidR="00102316" w:rsidRPr="00033E3D" w:rsidRDefault="00102316" w:rsidP="00102316">
            <w:pPr>
              <w:jc w:val="right"/>
              <w:rPr>
                <w:rFonts w:ascii="Aptos Narrow" w:hAnsi="Aptos Narrow"/>
                <w:color w:val="000000"/>
                <w:lang w:eastAsia="cs-CZ"/>
              </w:rPr>
            </w:pPr>
            <w:r>
              <w:rPr>
                <w:rFonts w:ascii="Aptos Narrow" w:hAnsi="Aptos Narrow"/>
                <w:color w:val="000000"/>
              </w:rPr>
              <w:t>1 750</w:t>
            </w:r>
          </w:p>
        </w:tc>
      </w:tr>
      <w:tr w:rsidR="00102316" w:rsidRPr="00537A2D" w14:paraId="09A57853" w14:textId="77777777" w:rsidTr="00A6298D">
        <w:trPr>
          <w:trHeight w:val="320"/>
        </w:trPr>
        <w:tc>
          <w:tcPr>
            <w:tcW w:w="2500" w:type="pct"/>
            <w:noWrap/>
            <w:vAlign w:val="bottom"/>
            <w:hideMark/>
          </w:tcPr>
          <w:p w14:paraId="6326D791"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Knihovní systémy</w:t>
            </w:r>
          </w:p>
        </w:tc>
        <w:tc>
          <w:tcPr>
            <w:tcW w:w="2500" w:type="pct"/>
            <w:noWrap/>
            <w:vAlign w:val="bottom"/>
          </w:tcPr>
          <w:p w14:paraId="6428BB47" w14:textId="4A03B082" w:rsidR="00102316" w:rsidRPr="00033E3D" w:rsidRDefault="00102316" w:rsidP="00102316">
            <w:pPr>
              <w:jc w:val="right"/>
              <w:rPr>
                <w:rFonts w:ascii="Aptos Narrow" w:hAnsi="Aptos Narrow"/>
                <w:color w:val="000000"/>
                <w:lang w:eastAsia="cs-CZ"/>
              </w:rPr>
            </w:pPr>
            <w:r>
              <w:rPr>
                <w:rFonts w:ascii="Aptos Narrow" w:hAnsi="Aptos Narrow"/>
                <w:color w:val="000000"/>
              </w:rPr>
              <w:t>450</w:t>
            </w:r>
          </w:p>
        </w:tc>
      </w:tr>
      <w:tr w:rsidR="00102316" w:rsidRPr="00537A2D" w14:paraId="674DCA65" w14:textId="77777777" w:rsidTr="00A6298D">
        <w:trPr>
          <w:trHeight w:val="320"/>
        </w:trPr>
        <w:tc>
          <w:tcPr>
            <w:tcW w:w="2500" w:type="pct"/>
            <w:noWrap/>
            <w:vAlign w:val="bottom"/>
            <w:hideMark/>
          </w:tcPr>
          <w:p w14:paraId="2C05C05A"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Vydávání PhD Thesis</w:t>
            </w:r>
          </w:p>
        </w:tc>
        <w:tc>
          <w:tcPr>
            <w:tcW w:w="2500" w:type="pct"/>
            <w:noWrap/>
            <w:vAlign w:val="bottom"/>
          </w:tcPr>
          <w:p w14:paraId="73B0F902" w14:textId="666CE3ED" w:rsidR="00102316" w:rsidRPr="00033E3D" w:rsidRDefault="00102316" w:rsidP="00102316">
            <w:pPr>
              <w:jc w:val="right"/>
              <w:rPr>
                <w:rFonts w:ascii="Aptos Narrow" w:hAnsi="Aptos Narrow"/>
                <w:color w:val="000000"/>
                <w:lang w:eastAsia="cs-CZ"/>
              </w:rPr>
            </w:pPr>
            <w:r>
              <w:rPr>
                <w:rFonts w:ascii="Aptos Narrow" w:hAnsi="Aptos Narrow"/>
                <w:color w:val="000000"/>
              </w:rPr>
              <w:t>70</w:t>
            </w:r>
          </w:p>
        </w:tc>
      </w:tr>
      <w:tr w:rsidR="00102316" w:rsidRPr="00537A2D" w14:paraId="0E0D5C2A" w14:textId="77777777" w:rsidTr="00A6298D">
        <w:trPr>
          <w:trHeight w:val="320"/>
        </w:trPr>
        <w:tc>
          <w:tcPr>
            <w:tcW w:w="2500" w:type="pct"/>
            <w:noWrap/>
            <w:vAlign w:val="bottom"/>
            <w:hideMark/>
          </w:tcPr>
          <w:p w14:paraId="2E5A6A8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EDD</w:t>
            </w:r>
          </w:p>
        </w:tc>
        <w:tc>
          <w:tcPr>
            <w:tcW w:w="2500" w:type="pct"/>
            <w:noWrap/>
            <w:vAlign w:val="bottom"/>
          </w:tcPr>
          <w:p w14:paraId="5DB54462" w14:textId="5882CBE1" w:rsidR="00102316" w:rsidRPr="00033E3D" w:rsidRDefault="00102316" w:rsidP="00102316">
            <w:pPr>
              <w:jc w:val="right"/>
              <w:rPr>
                <w:rFonts w:ascii="Aptos Narrow" w:hAnsi="Aptos Narrow"/>
                <w:color w:val="000000"/>
                <w:lang w:eastAsia="cs-CZ"/>
              </w:rPr>
            </w:pPr>
            <w:r>
              <w:rPr>
                <w:rFonts w:ascii="Aptos Narrow" w:hAnsi="Aptos Narrow"/>
                <w:color w:val="000000"/>
              </w:rPr>
              <w:t>20</w:t>
            </w:r>
          </w:p>
        </w:tc>
      </w:tr>
      <w:tr w:rsidR="00102316" w:rsidRPr="00537A2D" w14:paraId="2CCB29F1" w14:textId="77777777" w:rsidTr="00A6298D">
        <w:trPr>
          <w:trHeight w:val="320"/>
        </w:trPr>
        <w:tc>
          <w:tcPr>
            <w:tcW w:w="2500" w:type="pct"/>
            <w:noWrap/>
            <w:vAlign w:val="bottom"/>
            <w:hideMark/>
          </w:tcPr>
          <w:p w14:paraId="319574B3"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Univerzitní časopisy</w:t>
            </w:r>
          </w:p>
        </w:tc>
        <w:tc>
          <w:tcPr>
            <w:tcW w:w="2500" w:type="pct"/>
            <w:noWrap/>
            <w:vAlign w:val="bottom"/>
          </w:tcPr>
          <w:p w14:paraId="4DAACEC5" w14:textId="6B93A7DD" w:rsidR="00102316" w:rsidRPr="00033E3D" w:rsidRDefault="00102316" w:rsidP="00102316">
            <w:pPr>
              <w:jc w:val="right"/>
              <w:rPr>
                <w:rFonts w:ascii="Aptos Narrow" w:hAnsi="Aptos Narrow"/>
                <w:color w:val="000000"/>
                <w:lang w:eastAsia="cs-CZ"/>
              </w:rPr>
            </w:pPr>
            <w:r>
              <w:rPr>
                <w:rFonts w:ascii="Aptos Narrow" w:hAnsi="Aptos Narrow"/>
                <w:color w:val="000000"/>
              </w:rPr>
              <w:t>300</w:t>
            </w:r>
          </w:p>
        </w:tc>
      </w:tr>
      <w:tr w:rsidR="00102316" w:rsidRPr="00537A2D" w14:paraId="63FA979B" w14:textId="77777777" w:rsidTr="00A6298D">
        <w:trPr>
          <w:trHeight w:val="320"/>
        </w:trPr>
        <w:tc>
          <w:tcPr>
            <w:tcW w:w="2500" w:type="pct"/>
            <w:noWrap/>
            <w:vAlign w:val="bottom"/>
            <w:hideMark/>
          </w:tcPr>
          <w:p w14:paraId="0914DC3E"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Výroční zprávy UTB</w:t>
            </w:r>
          </w:p>
        </w:tc>
        <w:tc>
          <w:tcPr>
            <w:tcW w:w="2500" w:type="pct"/>
            <w:noWrap/>
            <w:vAlign w:val="bottom"/>
          </w:tcPr>
          <w:p w14:paraId="0051FA43" w14:textId="607A4C9C" w:rsidR="00102316" w:rsidRPr="00033E3D" w:rsidRDefault="00102316" w:rsidP="00102316">
            <w:pPr>
              <w:jc w:val="right"/>
              <w:rPr>
                <w:rFonts w:ascii="Aptos Narrow" w:hAnsi="Aptos Narrow"/>
                <w:color w:val="000000"/>
                <w:lang w:eastAsia="cs-CZ"/>
              </w:rPr>
            </w:pPr>
            <w:r>
              <w:rPr>
                <w:rFonts w:ascii="Aptos Narrow" w:hAnsi="Aptos Narrow"/>
                <w:color w:val="000000"/>
              </w:rPr>
              <w:t>0</w:t>
            </w:r>
          </w:p>
        </w:tc>
      </w:tr>
      <w:tr w:rsidR="00102316" w:rsidRPr="00537A2D" w14:paraId="38D8CEF1" w14:textId="77777777" w:rsidTr="00A6298D">
        <w:trPr>
          <w:trHeight w:val="320"/>
        </w:trPr>
        <w:tc>
          <w:tcPr>
            <w:tcW w:w="2500" w:type="pct"/>
            <w:noWrap/>
            <w:vAlign w:val="bottom"/>
            <w:hideMark/>
          </w:tcPr>
          <w:p w14:paraId="1F970927"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Technologie RFID pro identifikaci knih</w:t>
            </w:r>
          </w:p>
        </w:tc>
        <w:tc>
          <w:tcPr>
            <w:tcW w:w="2500" w:type="pct"/>
            <w:noWrap/>
            <w:vAlign w:val="bottom"/>
          </w:tcPr>
          <w:p w14:paraId="0046D7FE" w14:textId="1A31A149" w:rsidR="00102316" w:rsidRPr="00033E3D" w:rsidRDefault="00102316" w:rsidP="00102316">
            <w:pPr>
              <w:jc w:val="right"/>
              <w:rPr>
                <w:rFonts w:ascii="Aptos Narrow" w:hAnsi="Aptos Narrow"/>
                <w:color w:val="000000"/>
                <w:lang w:eastAsia="cs-CZ"/>
              </w:rPr>
            </w:pPr>
            <w:r>
              <w:rPr>
                <w:rFonts w:ascii="Aptos Narrow" w:hAnsi="Aptos Narrow"/>
                <w:color w:val="000000"/>
              </w:rPr>
              <w:t>30</w:t>
            </w:r>
          </w:p>
        </w:tc>
      </w:tr>
      <w:tr w:rsidR="00102316" w:rsidRPr="00537A2D" w14:paraId="42F161E3" w14:textId="77777777" w:rsidTr="00A6298D">
        <w:trPr>
          <w:trHeight w:val="320"/>
        </w:trPr>
        <w:tc>
          <w:tcPr>
            <w:tcW w:w="2500" w:type="pct"/>
            <w:noWrap/>
            <w:vAlign w:val="bottom"/>
            <w:hideMark/>
          </w:tcPr>
          <w:p w14:paraId="7087B8B5" w14:textId="77777777" w:rsidR="00102316" w:rsidRPr="00537A2D" w:rsidRDefault="00102316" w:rsidP="00102316">
            <w:pPr>
              <w:rPr>
                <w:rFonts w:ascii="Aptos Narrow" w:hAnsi="Aptos Narrow"/>
                <w:color w:val="000000"/>
                <w:lang w:eastAsia="cs-CZ"/>
              </w:rPr>
            </w:pPr>
            <w:r w:rsidRPr="00537A2D">
              <w:rPr>
                <w:rFonts w:ascii="Aptos Narrow" w:hAnsi="Aptos Narrow"/>
                <w:color w:val="000000"/>
                <w:lang w:eastAsia="cs-CZ"/>
              </w:rPr>
              <w:t>Provozní náklady Knihovny UTB</w:t>
            </w:r>
          </w:p>
        </w:tc>
        <w:tc>
          <w:tcPr>
            <w:tcW w:w="2500" w:type="pct"/>
            <w:noWrap/>
            <w:vAlign w:val="bottom"/>
          </w:tcPr>
          <w:p w14:paraId="21C5F915" w14:textId="4995FF63" w:rsidR="00102316" w:rsidRPr="00033E3D" w:rsidRDefault="00102316" w:rsidP="00102316">
            <w:pPr>
              <w:jc w:val="right"/>
              <w:rPr>
                <w:rFonts w:ascii="Aptos Narrow" w:hAnsi="Aptos Narrow"/>
                <w:color w:val="000000"/>
                <w:lang w:eastAsia="cs-CZ"/>
              </w:rPr>
            </w:pPr>
            <w:r>
              <w:rPr>
                <w:rFonts w:ascii="Aptos Narrow" w:hAnsi="Aptos Narrow"/>
                <w:color w:val="000000"/>
              </w:rPr>
              <w:t>22 900</w:t>
            </w:r>
          </w:p>
        </w:tc>
      </w:tr>
      <w:tr w:rsidR="00102316" w:rsidRPr="00537A2D" w14:paraId="077693B0" w14:textId="77777777" w:rsidTr="00A6298D">
        <w:trPr>
          <w:trHeight w:val="320"/>
        </w:trPr>
        <w:tc>
          <w:tcPr>
            <w:tcW w:w="2500" w:type="pct"/>
            <w:noWrap/>
            <w:vAlign w:val="bottom"/>
          </w:tcPr>
          <w:p w14:paraId="1F539190" w14:textId="084AF8A1" w:rsidR="00102316" w:rsidRPr="00033E3D" w:rsidRDefault="00102316" w:rsidP="00102316">
            <w:pPr>
              <w:rPr>
                <w:rFonts w:ascii="Aptos Narrow" w:hAnsi="Aptos Narrow"/>
                <w:color w:val="000000"/>
                <w:lang w:eastAsia="cs-CZ"/>
              </w:rPr>
            </w:pPr>
            <w:r w:rsidRPr="00033E3D">
              <w:rPr>
                <w:rFonts w:ascii="Aptos Narrow" w:hAnsi="Aptos Narrow"/>
                <w:color w:val="000000"/>
                <w:lang w:eastAsia="cs-CZ"/>
              </w:rPr>
              <w:t xml:space="preserve">Dofinancování </w:t>
            </w:r>
            <w:r>
              <w:rPr>
                <w:rFonts w:ascii="Aptos Narrow" w:hAnsi="Aptos Narrow"/>
                <w:color w:val="000000"/>
                <w:lang w:eastAsia="cs-CZ"/>
              </w:rPr>
              <w:t xml:space="preserve">ze </w:t>
            </w:r>
            <w:r w:rsidRPr="00033E3D">
              <w:rPr>
                <w:rFonts w:ascii="Aptos Narrow" w:hAnsi="Aptos Narrow"/>
                <w:color w:val="000000"/>
                <w:lang w:eastAsia="cs-CZ"/>
              </w:rPr>
              <w:t xml:space="preserve">zůstatku </w:t>
            </w:r>
            <w:r w:rsidR="001E4F1E">
              <w:rPr>
                <w:rFonts w:ascii="Aptos Narrow" w:hAnsi="Aptos Narrow"/>
                <w:color w:val="000000"/>
                <w:lang w:eastAsia="cs-CZ"/>
              </w:rPr>
              <w:t xml:space="preserve">Knihovny UTB </w:t>
            </w:r>
            <w:r w:rsidRPr="00033E3D">
              <w:rPr>
                <w:rFonts w:ascii="Aptos Narrow" w:hAnsi="Aptos Narrow"/>
                <w:color w:val="000000"/>
                <w:lang w:eastAsia="cs-CZ"/>
              </w:rPr>
              <w:t>min. let</w:t>
            </w:r>
          </w:p>
        </w:tc>
        <w:tc>
          <w:tcPr>
            <w:tcW w:w="2500" w:type="pct"/>
            <w:noWrap/>
            <w:vAlign w:val="bottom"/>
          </w:tcPr>
          <w:p w14:paraId="6403F90F" w14:textId="52CF9671" w:rsidR="00102316" w:rsidRPr="00033E3D" w:rsidRDefault="00102316" w:rsidP="00102316">
            <w:pPr>
              <w:jc w:val="right"/>
              <w:rPr>
                <w:rFonts w:ascii="Aptos Narrow" w:hAnsi="Aptos Narrow"/>
                <w:b/>
                <w:bCs/>
                <w:color w:val="000000"/>
                <w:lang w:eastAsia="cs-CZ"/>
              </w:rPr>
            </w:pPr>
            <w:r>
              <w:rPr>
                <w:rFonts w:ascii="Aptos Narrow" w:hAnsi="Aptos Narrow"/>
                <w:color w:val="000000"/>
              </w:rPr>
              <w:t>-5 000</w:t>
            </w:r>
          </w:p>
        </w:tc>
      </w:tr>
      <w:tr w:rsidR="00102316" w:rsidRPr="00537A2D" w14:paraId="34DC8FA9" w14:textId="77777777" w:rsidTr="00A6298D">
        <w:trPr>
          <w:trHeight w:val="320"/>
        </w:trPr>
        <w:tc>
          <w:tcPr>
            <w:tcW w:w="2500" w:type="pct"/>
            <w:noWrap/>
            <w:hideMark/>
          </w:tcPr>
          <w:p w14:paraId="41451157" w14:textId="77777777" w:rsidR="00102316" w:rsidRPr="00537A2D" w:rsidRDefault="00102316" w:rsidP="00102316">
            <w:pPr>
              <w:rPr>
                <w:rFonts w:ascii="Aptos Narrow" w:hAnsi="Aptos Narrow"/>
                <w:b/>
                <w:bCs/>
                <w:color w:val="000000"/>
                <w:lang w:eastAsia="cs-CZ"/>
              </w:rPr>
            </w:pPr>
            <w:r w:rsidRPr="00537A2D">
              <w:rPr>
                <w:rFonts w:ascii="Aptos Narrow" w:hAnsi="Aptos Narrow"/>
                <w:b/>
                <w:bCs/>
                <w:color w:val="000000"/>
                <w:lang w:eastAsia="cs-CZ"/>
              </w:rPr>
              <w:t>Celkem</w:t>
            </w:r>
          </w:p>
        </w:tc>
        <w:tc>
          <w:tcPr>
            <w:tcW w:w="2500" w:type="pct"/>
            <w:noWrap/>
            <w:vAlign w:val="bottom"/>
          </w:tcPr>
          <w:p w14:paraId="11B70236" w14:textId="12851DD4" w:rsidR="00102316" w:rsidRPr="00775844" w:rsidRDefault="00102316" w:rsidP="00102316">
            <w:pPr>
              <w:jc w:val="right"/>
              <w:rPr>
                <w:rFonts w:ascii="Aptos Narrow" w:hAnsi="Aptos Narrow"/>
                <w:b/>
                <w:bCs/>
                <w:color w:val="000000"/>
                <w:lang w:eastAsia="cs-CZ"/>
              </w:rPr>
            </w:pPr>
            <w:r>
              <w:rPr>
                <w:rFonts w:ascii="Aptos Narrow" w:hAnsi="Aptos Narrow"/>
                <w:b/>
                <w:bCs/>
                <w:color w:val="000000"/>
              </w:rPr>
              <w:t>30 220</w:t>
            </w:r>
          </w:p>
        </w:tc>
      </w:tr>
    </w:tbl>
    <w:p w14:paraId="35BE60AD" w14:textId="77777777" w:rsidR="003F6745" w:rsidRDefault="003F6745" w:rsidP="003F6745">
      <w:pPr>
        <w:pStyle w:val="RozpoetNadpis3"/>
        <w:numPr>
          <w:ilvl w:val="0"/>
          <w:numId w:val="0"/>
        </w:numPr>
        <w:ind w:left="720"/>
      </w:pPr>
      <w:bookmarkStart w:id="54" w:name="_Toc188630347"/>
      <w:bookmarkStart w:id="55" w:name="_Toc155555629"/>
    </w:p>
    <w:p w14:paraId="4F0D9A09" w14:textId="54755EB0" w:rsidR="004F111D" w:rsidRDefault="004F111D" w:rsidP="004F111D">
      <w:pPr>
        <w:pStyle w:val="RozpoetNadpis3"/>
      </w:pPr>
      <w:bookmarkStart w:id="56" w:name="_Toc228824358"/>
      <w:r>
        <w:t>Prostředky na financování zdroje Stavební komise, celouniverzitní SZNN</w:t>
      </w:r>
      <w:r w:rsidDel="00A8301C">
        <w:t xml:space="preserve"> </w:t>
      </w:r>
      <w:r>
        <w:t>a celouniverzitní projekty</w:t>
      </w:r>
      <w:bookmarkEnd w:id="54"/>
      <w:bookmarkEnd w:id="56"/>
      <w:r w:rsidDel="00A8301C">
        <w:t xml:space="preserve"> </w:t>
      </w:r>
      <w:bookmarkEnd w:id="55"/>
    </w:p>
    <w:p w14:paraId="5191A437" w14:textId="77777777" w:rsidR="00B03FBD" w:rsidRPr="000A20AA" w:rsidRDefault="00B03FBD" w:rsidP="00B03FBD">
      <w:pPr>
        <w:pStyle w:val="RozpocetOdstavec"/>
      </w:pPr>
      <w:r w:rsidRPr="000A20AA">
        <w:t>Celkový objem prostředků potřebných na pokrytí zdroje Stavební komise a celouniverzitní SZNN</w:t>
      </w:r>
      <w:r w:rsidRPr="000A20AA" w:rsidDel="00A8301C">
        <w:t xml:space="preserve"> </w:t>
      </w:r>
      <w:r w:rsidRPr="000A20AA">
        <w:t>a celouniverzitní projekty</w:t>
      </w:r>
      <w:r w:rsidRPr="000A20AA" w:rsidDel="00A8301C">
        <w:t xml:space="preserve"> </w:t>
      </w:r>
      <w:r w:rsidRPr="000A20AA">
        <w:t>je odvozen od požadavků na financování (spolufinancování) schválených akcí Stavební komise a finanční spoluúčasti UTB u realizovaných projektů                        z evropských strukturálních a investičních fondů. Z hlediska financování a účetnictví jde jak          o neinvestiční, tak o investiční prostředky, které jsou alokovány účetně v různých zdrojích.</w:t>
      </w:r>
    </w:p>
    <w:p w14:paraId="5B55B569" w14:textId="77777777" w:rsidR="00B03FBD" w:rsidRPr="000A20AA" w:rsidRDefault="00B03FBD" w:rsidP="00B03FBD">
      <w:pPr>
        <w:pStyle w:val="RozpocetOdstavec"/>
      </w:pPr>
    </w:p>
    <w:p w14:paraId="021D5869" w14:textId="77777777" w:rsidR="00B03FBD" w:rsidRPr="000A20AA" w:rsidRDefault="00B03FBD" w:rsidP="00B03FBD">
      <w:pPr>
        <w:pStyle w:val="RozpocetOdstavec"/>
      </w:pPr>
      <w:r w:rsidRPr="000A20AA">
        <w:t>Ze zdrojů Stavební komise a celouniverzitní SZNN</w:t>
      </w:r>
      <w:r w:rsidRPr="000A20AA" w:rsidDel="00A8301C">
        <w:t xml:space="preserve"> </w:t>
      </w:r>
      <w:r w:rsidRPr="000A20AA">
        <w:t>a celouniverzitní projekty</w:t>
      </w:r>
      <w:r w:rsidRPr="000A20AA" w:rsidDel="00A8301C">
        <w:t xml:space="preserve"> </w:t>
      </w:r>
      <w:r w:rsidRPr="000A20AA">
        <w:t>bude financováno:</w:t>
      </w:r>
    </w:p>
    <w:p w14:paraId="3AD570C3" w14:textId="77777777" w:rsidR="00B03FBD" w:rsidRPr="000A20AA" w:rsidRDefault="00B03FBD" w:rsidP="00B03FBD">
      <w:pPr>
        <w:pStyle w:val="RozpocetOdstavec"/>
        <w:numPr>
          <w:ilvl w:val="0"/>
          <w:numId w:val="6"/>
        </w:numPr>
      </w:pPr>
      <w:r w:rsidRPr="000A20AA">
        <w:t>realizace strategických a prioritních akcí a akcí odstraňujících havarijní stavy, zařazených v plánu Stavební komise na rok 2026,</w:t>
      </w:r>
    </w:p>
    <w:p w14:paraId="2953C0A9" w14:textId="77777777" w:rsidR="00B03FBD" w:rsidRPr="000A20AA" w:rsidRDefault="00B03FBD" w:rsidP="00B03FBD">
      <w:pPr>
        <w:pStyle w:val="RozpocetOdstavec"/>
        <w:numPr>
          <w:ilvl w:val="0"/>
          <w:numId w:val="6"/>
        </w:numPr>
      </w:pPr>
      <w:r w:rsidRPr="000A20AA">
        <w:t>pořízení dlouhodobého nehmotného majetku, přístrojového a strojního vybavení,</w:t>
      </w:r>
    </w:p>
    <w:p w14:paraId="0D12D962" w14:textId="77777777" w:rsidR="00B03FBD" w:rsidRPr="000A20AA" w:rsidRDefault="00B03FBD" w:rsidP="00B03FBD">
      <w:pPr>
        <w:pStyle w:val="RozpocetOdstavec"/>
        <w:numPr>
          <w:ilvl w:val="0"/>
          <w:numId w:val="6"/>
        </w:numPr>
      </w:pPr>
      <w:r w:rsidRPr="000A20AA">
        <w:t>zabezpečení infrastruktury pro přístup k informacím a rozšíření funkcionality informačních systémů,</w:t>
      </w:r>
    </w:p>
    <w:p w14:paraId="272A2ABE" w14:textId="77777777" w:rsidR="00B03FBD" w:rsidRPr="000A20AA" w:rsidRDefault="00B03FBD" w:rsidP="00B03FBD">
      <w:pPr>
        <w:pStyle w:val="RozpocetOdstavec"/>
        <w:numPr>
          <w:ilvl w:val="0"/>
          <w:numId w:val="6"/>
        </w:numPr>
      </w:pPr>
      <w:r w:rsidRPr="000A20AA">
        <w:t>realizace úprav informační infrastruktury pro naplnění požadavků nařízení EU,</w:t>
      </w:r>
    </w:p>
    <w:p w14:paraId="17B67FF6" w14:textId="77777777" w:rsidR="00B03FBD" w:rsidRPr="000A20AA" w:rsidRDefault="00B03FBD" w:rsidP="00B03FBD">
      <w:pPr>
        <w:pStyle w:val="RozpocetOdstavec"/>
        <w:numPr>
          <w:ilvl w:val="0"/>
          <w:numId w:val="6"/>
        </w:numPr>
      </w:pPr>
      <w:r w:rsidRPr="000A20AA">
        <w:t xml:space="preserve">vedlejší náklady nezbytně nutné k realizaci výše uvedených bodů, včetně plateb DPH </w:t>
      </w:r>
      <w:r w:rsidRPr="000A20AA">
        <w:br/>
        <w:t>a jeho vyrovnání.</w:t>
      </w:r>
    </w:p>
    <w:p w14:paraId="4F57B80A" w14:textId="77777777" w:rsidR="00B03FBD" w:rsidRPr="000A20AA" w:rsidRDefault="00B03FBD" w:rsidP="00B03FBD">
      <w:pPr>
        <w:jc w:val="both"/>
      </w:pPr>
    </w:p>
    <w:p w14:paraId="733C2FE5" w14:textId="77777777" w:rsidR="00B03FBD" w:rsidRPr="000A20AA" w:rsidRDefault="00B03FBD" w:rsidP="00B03FBD">
      <w:pPr>
        <w:jc w:val="both"/>
      </w:pPr>
      <w:bookmarkStart w:id="57" w:name="_Hlk155645159"/>
      <w:r w:rsidRPr="000A20AA">
        <w:t>Pro financování akce „Novostavba objektu U1“ je vyhrazeno z položek „Mimořádný příspěvek do fondu Stavební komise“ v letech 2020 až 2022 celkem 125 mil. Kč, který je v rámci Stavební komise evidován na samostatném SPP.</w:t>
      </w:r>
    </w:p>
    <w:bookmarkEnd w:id="57"/>
    <w:p w14:paraId="67066358" w14:textId="77777777" w:rsidR="00B03FBD" w:rsidRPr="000A20AA" w:rsidRDefault="00B03FBD" w:rsidP="00B03FBD">
      <w:pPr>
        <w:pStyle w:val="RozpocetOdstavec"/>
      </w:pPr>
    </w:p>
    <w:p w14:paraId="7B1E0A3F" w14:textId="77777777" w:rsidR="00B03FBD" w:rsidRPr="000A20AA" w:rsidRDefault="00B03FBD" w:rsidP="00B03FBD">
      <w:pPr>
        <w:pStyle w:val="RozpocetOdstavec"/>
      </w:pPr>
      <w:r w:rsidRPr="000A20AA">
        <w:t xml:space="preserve">V rámci akcí zařazených do plánu Stavební komise bude vždy stanovena struktura financování akce (tj. jaká část bude hrazena z prostředků Stavební komise, jaká část bude hrazena </w:t>
      </w:r>
      <w:r w:rsidRPr="000A20AA">
        <w:br/>
        <w:t>z dotačních titulů a jaká část bude hrazena součástí).</w:t>
      </w:r>
    </w:p>
    <w:p w14:paraId="22F3AF8C" w14:textId="77777777" w:rsidR="00DD7CB5" w:rsidRDefault="00DD7CB5" w:rsidP="00B711D9">
      <w:pPr>
        <w:pStyle w:val="RozpocetOdstavec"/>
      </w:pPr>
    </w:p>
    <w:p w14:paraId="79A2618D" w14:textId="77777777" w:rsidR="00FC784D" w:rsidRDefault="00FC784D" w:rsidP="00B711D9">
      <w:pPr>
        <w:pStyle w:val="RozpocetOdstavec"/>
        <w:sectPr w:rsidR="00FC784D" w:rsidSect="00495879">
          <w:pgSz w:w="11906" w:h="16838"/>
          <w:pgMar w:top="1417" w:right="1417" w:bottom="1417" w:left="1417" w:header="708" w:footer="708" w:gutter="0"/>
          <w:cols w:space="708"/>
          <w:titlePg/>
          <w:docGrid w:linePitch="360"/>
        </w:sectPr>
      </w:pPr>
    </w:p>
    <w:p w14:paraId="65855A4D" w14:textId="77777777" w:rsidR="00B711D9" w:rsidRDefault="00B711D9" w:rsidP="00587AAF">
      <w:pPr>
        <w:pStyle w:val="RozpocetNadpis2"/>
      </w:pPr>
      <w:bookmarkStart w:id="58" w:name="_Toc228824359"/>
      <w:r>
        <w:lastRenderedPageBreak/>
        <w:t>Odvody na financování celouniverzitních aktivit</w:t>
      </w:r>
      <w:bookmarkEnd w:id="58"/>
    </w:p>
    <w:p w14:paraId="16E4F3E8" w14:textId="1F195FB1" w:rsidR="00CC67F7" w:rsidRPr="000A20AA" w:rsidRDefault="00CC67F7" w:rsidP="00CC67F7">
      <w:pPr>
        <w:pStyle w:val="RozpocetOdstavec"/>
      </w:pPr>
      <w:r w:rsidRPr="000A20AA">
        <w:t>Financování celouniverzitních aktivit a Knihovny je prováděno formou odvodů jednotlivých součástí UTB</w:t>
      </w:r>
      <w:r w:rsidR="004912DE">
        <w:t>, vyjma KMZ</w:t>
      </w:r>
      <w:r w:rsidRPr="000A20AA">
        <w:t xml:space="preserve">. Celkový objem odvodů je rozdělen do dvou částí podle struktury zdrojů, a to takto: </w:t>
      </w:r>
    </w:p>
    <w:p w14:paraId="686DD8E8" w14:textId="77777777" w:rsidR="00CC67F7" w:rsidRPr="000A20AA" w:rsidRDefault="00CC67F7" w:rsidP="00CC67F7">
      <w:pPr>
        <w:pStyle w:val="RozpocetOdstavec"/>
        <w:numPr>
          <w:ilvl w:val="0"/>
          <w:numId w:val="28"/>
        </w:numPr>
      </w:pPr>
      <w:r w:rsidRPr="000A20AA">
        <w:t xml:space="preserve"> 95 % celkového objemu odvodů je hrazeno z definované množiny výnosů jednotlivých součástí, kde jsou započteny výnosy součástí z ukazatele A, K, F, P, FUČ, DKRVO a SVV v aktuálním kalendářním roce, </w:t>
      </w:r>
    </w:p>
    <w:p w14:paraId="59271D03" w14:textId="77777777" w:rsidR="00CC67F7" w:rsidRPr="000A20AA" w:rsidRDefault="00CC67F7" w:rsidP="00CC67F7">
      <w:pPr>
        <w:pStyle w:val="RozpocetOdstavec"/>
        <w:numPr>
          <w:ilvl w:val="0"/>
          <w:numId w:val="28"/>
        </w:numPr>
      </w:pPr>
      <w:r w:rsidRPr="000A20AA">
        <w:t xml:space="preserve">5 % celkového objemu odvodů je hrazeno ze všech ostatních neinvestičních výnosů jednotlivých součástí předchozího roku (tzn. mimo ukazatele A, K, F, P, FUČ, DKRVO a SVV). </w:t>
      </w:r>
    </w:p>
    <w:p w14:paraId="4C90E909" w14:textId="77777777" w:rsidR="00CC67F7" w:rsidRPr="000A20AA" w:rsidRDefault="00CC67F7" w:rsidP="00CC67F7">
      <w:pPr>
        <w:pStyle w:val="RozpocetOdstavec"/>
      </w:pPr>
    </w:p>
    <w:p w14:paraId="6E48DC27" w14:textId="77777777" w:rsidR="00CC67F7" w:rsidRPr="000A20AA" w:rsidRDefault="00CC67F7" w:rsidP="00CC67F7">
      <w:pPr>
        <w:pStyle w:val="RozpocetOdstavec"/>
      </w:pPr>
      <w:r w:rsidRPr="000A20AA">
        <w:t>Odvody finančních prostředků na celouniverzitní aktivity jsou realizovány:</w:t>
      </w:r>
    </w:p>
    <w:p w14:paraId="7C32B4DB" w14:textId="77777777" w:rsidR="00CC67F7" w:rsidRPr="000A20AA" w:rsidRDefault="00CC67F7" w:rsidP="00CC67F7">
      <w:pPr>
        <w:pStyle w:val="Odstavecseseznamem"/>
        <w:numPr>
          <w:ilvl w:val="0"/>
          <w:numId w:val="7"/>
        </w:numPr>
        <w:jc w:val="both"/>
      </w:pPr>
      <w:r w:rsidRPr="000A20AA">
        <w:t>u součástí, které disponují dostatečnými prostředky ve zdroji 1100 výhradně z tohoto zdroje,</w:t>
      </w:r>
    </w:p>
    <w:p w14:paraId="40513CF4" w14:textId="77777777" w:rsidR="00CC67F7" w:rsidRPr="000A20AA" w:rsidRDefault="00CC67F7" w:rsidP="00CC67F7">
      <w:pPr>
        <w:pStyle w:val="Odstavecseseznamem"/>
        <w:numPr>
          <w:ilvl w:val="0"/>
          <w:numId w:val="7"/>
        </w:numPr>
        <w:jc w:val="both"/>
      </w:pPr>
      <w:r w:rsidRPr="000A20AA">
        <w:t>u součástí, které financemi ve zdroji 1100 nedisponují v dostatečné výši nebo vůbec, bude odvod proveden i z ostatních zdrojů individuálně.</w:t>
      </w:r>
    </w:p>
    <w:p w14:paraId="079C3F2D" w14:textId="77777777" w:rsidR="00CC67F7" w:rsidRPr="000A20AA" w:rsidRDefault="00CC67F7" w:rsidP="00CC67F7">
      <w:pPr>
        <w:pStyle w:val="RozpocetOdstavec"/>
      </w:pPr>
    </w:p>
    <w:p w14:paraId="10304F5B" w14:textId="77777777" w:rsidR="00CC67F7" w:rsidRPr="000A20AA" w:rsidRDefault="00CC67F7" w:rsidP="00CC67F7">
      <w:pPr>
        <w:pStyle w:val="RozpocetOdstavec"/>
      </w:pPr>
      <w:r w:rsidRPr="000A20AA">
        <w:t>V případě, že v průběhu roku 2026 součásti uplatní odvody do projektu na celouniverzitní aktivity přes nákladový druh s prefixem 5, sníží se jim ve stejné výši odvod za rok 2026 provedený ve zdroji 1100 popř. jiném zdroji, kterým již dané celouniverzitní aktivity uhradily.</w:t>
      </w:r>
    </w:p>
    <w:p w14:paraId="7AC5FB63" w14:textId="77777777" w:rsidR="00B711D9" w:rsidRPr="000A20AA" w:rsidRDefault="00B711D9" w:rsidP="00B711D9">
      <w:pPr>
        <w:pStyle w:val="RozpocetOdstavec"/>
      </w:pPr>
    </w:p>
    <w:p w14:paraId="0545731B" w14:textId="77777777" w:rsidR="00C64138" w:rsidRDefault="00C64138" w:rsidP="00C64138">
      <w:pPr>
        <w:pStyle w:val="RozpocetOdstavec"/>
      </w:pPr>
    </w:p>
    <w:p w14:paraId="545D884E" w14:textId="77777777" w:rsidR="00C64138" w:rsidRDefault="00C64138" w:rsidP="00C64138">
      <w:pPr>
        <w:pStyle w:val="RozpoetNadpis3"/>
      </w:pPr>
      <w:bookmarkStart w:id="59" w:name="_Toc155555631"/>
      <w:bookmarkStart w:id="60" w:name="_Toc218018984"/>
      <w:bookmarkStart w:id="61" w:name="_Toc228824360"/>
      <w:r>
        <w:t>Odvody na financování interních fondů</w:t>
      </w:r>
      <w:bookmarkEnd w:id="59"/>
      <w:bookmarkEnd w:id="60"/>
      <w:bookmarkEnd w:id="61"/>
    </w:p>
    <w:p w14:paraId="2F3E0F08" w14:textId="77777777" w:rsidR="000A20AA" w:rsidRDefault="000A20AA" w:rsidP="000A20AA">
      <w:pPr>
        <w:pStyle w:val="RozpocetOdstavec"/>
      </w:pPr>
      <w:r>
        <w:t>Prostředky na financování interních fondů budou odvedeny ze součástí, vyjma KMZ. Prostředky na f</w:t>
      </w:r>
      <w:r w:rsidRPr="0078087A">
        <w:t>inancování interních fondů bud</w:t>
      </w:r>
      <w:r>
        <w:t>ou</w:t>
      </w:r>
      <w:r w:rsidRPr="0078087A">
        <w:t xml:space="preserve"> rozdělen</w:t>
      </w:r>
      <w:r>
        <w:t>y</w:t>
      </w:r>
      <w:r w:rsidRPr="0078087A">
        <w:t xml:space="preserve"> na 95 % hodnoty odvodů, která bude z</w:t>
      </w:r>
      <w:r>
        <w:t>e</w:t>
      </w:r>
      <w:r w:rsidRPr="0078087A">
        <w:t xml:space="preserve"> součástí odvedena podle podílu součtu výnosů z ukazatelů A, K, F, FUČ, </w:t>
      </w:r>
      <w:r>
        <w:t xml:space="preserve">P, </w:t>
      </w:r>
      <w:r w:rsidRPr="0078087A">
        <w:t>DKRVO a SVV na celkovém výnosu UTB v těchto ukazatelích v aktuálním roce, a dále 5 % objemu odvodů podle podílu ostatních</w:t>
      </w:r>
      <w:r>
        <w:t xml:space="preserve"> neinvestičních</w:t>
      </w:r>
      <w:r w:rsidRPr="0078087A">
        <w:t xml:space="preserve"> výnosů těchto součástí na celkovém ostatním výnosu těchto součástí předchozího roku.</w:t>
      </w:r>
    </w:p>
    <w:p w14:paraId="5E4B0C3D" w14:textId="77777777" w:rsidR="00C64138" w:rsidRDefault="00C64138" w:rsidP="00C64138">
      <w:pPr>
        <w:pStyle w:val="RozpocetOdstavec"/>
      </w:pPr>
    </w:p>
    <w:p w14:paraId="00215881" w14:textId="77777777" w:rsidR="00C64138" w:rsidRDefault="00C64138" w:rsidP="00C64138">
      <w:pPr>
        <w:pStyle w:val="RozpoetNadpis3"/>
      </w:pPr>
      <w:bookmarkStart w:id="62" w:name="_Toc155555632"/>
      <w:bookmarkStart w:id="63" w:name="_Toc218018985"/>
      <w:bookmarkStart w:id="64" w:name="_Toc228824361"/>
      <w:r>
        <w:t>Odvody na financování informačních zdrojů</w:t>
      </w:r>
      <w:bookmarkEnd w:id="62"/>
      <w:bookmarkEnd w:id="63"/>
      <w:bookmarkEnd w:id="64"/>
    </w:p>
    <w:p w14:paraId="1A4D0643" w14:textId="77777777" w:rsidR="00C64138" w:rsidRPr="000A20AA" w:rsidRDefault="00C64138" w:rsidP="00C64138">
      <w:pPr>
        <w:pStyle w:val="RozpocetOdstavec"/>
      </w:pPr>
      <w:r w:rsidRPr="000A20AA">
        <w:t>Prostředky na financování informačních zdrojů budou odvedeny ze součástí vyjma KMZ. KMZ se na financování informačních zdrojů nepodílí.</w:t>
      </w:r>
      <w:r w:rsidRPr="000A20AA">
        <w:rPr>
          <w:rFonts w:ascii="Calibri" w:hAnsi="Calibri" w:cs="Calibri"/>
          <w:sz w:val="23"/>
          <w:szCs w:val="23"/>
        </w:rPr>
        <w:t xml:space="preserve"> </w:t>
      </w:r>
      <w:r w:rsidRPr="000A20AA">
        <w:t>Prostředky na financování informačních zdrojů budou rozděleny na 95 % hodnoty odvodů, která bude ze součástí odvedena podle podílu součtu výnosů z ukazatelů A, K, F, FUČ, P, DKRVO a SVV na celkovém výnosu UTB v těchto ukazatelích v aktuálním roce, a dále 5 % objemu odvodů podle podílu ostatních neinvestičních výnosů těchto součástí na celkovém ostatním výnosu těchto součástí předchozího roku.</w:t>
      </w:r>
    </w:p>
    <w:p w14:paraId="17F5F111" w14:textId="77777777" w:rsidR="00C64138" w:rsidRPr="000A20AA" w:rsidRDefault="00C64138" w:rsidP="00C64138">
      <w:pPr>
        <w:pStyle w:val="RozpocetOdstavec"/>
      </w:pPr>
    </w:p>
    <w:p w14:paraId="512DC7E9" w14:textId="77777777" w:rsidR="00C64138" w:rsidRDefault="00C64138" w:rsidP="00C64138">
      <w:pPr>
        <w:pStyle w:val="RozpoetNadpis3"/>
      </w:pPr>
      <w:bookmarkStart w:id="65" w:name="_Toc155555633"/>
      <w:bookmarkStart w:id="66" w:name="_Toc218018986"/>
      <w:bookmarkStart w:id="67" w:name="_Toc228824362"/>
      <w:r>
        <w:t>Odvody na financování provozu rektorátu</w:t>
      </w:r>
      <w:bookmarkEnd w:id="65"/>
      <w:bookmarkEnd w:id="66"/>
      <w:bookmarkEnd w:id="67"/>
    </w:p>
    <w:p w14:paraId="12CF1146" w14:textId="77777777" w:rsidR="000A20AA" w:rsidRDefault="000A20AA" w:rsidP="000A20AA">
      <w:pPr>
        <w:pStyle w:val="RozpocetOdstavec"/>
      </w:pPr>
      <w:bookmarkStart w:id="68" w:name="_Toc218018987"/>
      <w:bookmarkStart w:id="69" w:name="_Toc155555634"/>
      <w:r w:rsidRPr="0078087A">
        <w:t>Prostředky na financování provozu rektorátu bud</w:t>
      </w:r>
      <w:r>
        <w:t>ou</w:t>
      </w:r>
      <w:r w:rsidRPr="0078087A">
        <w:t xml:space="preserve"> rozdělen</w:t>
      </w:r>
      <w:r>
        <w:t>y</w:t>
      </w:r>
      <w:r w:rsidRPr="0078087A">
        <w:t xml:space="preserve"> na 95 % hodnoty odvodů, která bude z</w:t>
      </w:r>
      <w:r>
        <w:t>e</w:t>
      </w:r>
      <w:r w:rsidRPr="0078087A">
        <w:t xml:space="preserve"> součástí odvedena podle podílu součtu výnosů z</w:t>
      </w:r>
      <w:r>
        <w:t> </w:t>
      </w:r>
      <w:r w:rsidRPr="0078087A">
        <w:t xml:space="preserve">ukazatelů A, K, F, FUČ, </w:t>
      </w:r>
      <w:r>
        <w:t xml:space="preserve">P, </w:t>
      </w:r>
      <w:r w:rsidRPr="0078087A">
        <w:t>DKRVO a SVV na celkovém výnosu UTB v těchto ukazatelích v</w:t>
      </w:r>
      <w:r>
        <w:t> </w:t>
      </w:r>
      <w:r w:rsidRPr="0078087A">
        <w:t xml:space="preserve">aktuálním roce, a dále 5 % objemu odvodů podle podílu ostatních </w:t>
      </w:r>
      <w:r>
        <w:t xml:space="preserve">neinvestičních </w:t>
      </w:r>
      <w:r w:rsidRPr="0078087A">
        <w:t xml:space="preserve">výnosů těchto součástí na celkovém ostatním výnosu těchto součástí předchozího roku. </w:t>
      </w:r>
    </w:p>
    <w:p w14:paraId="7EDDF275" w14:textId="77777777" w:rsidR="000A20AA" w:rsidRPr="000A20AA" w:rsidRDefault="000A20AA" w:rsidP="000A20AA">
      <w:pPr>
        <w:pStyle w:val="RozpocetOdstavec"/>
      </w:pPr>
    </w:p>
    <w:p w14:paraId="44FF9A01" w14:textId="77777777" w:rsidR="00C64138" w:rsidRDefault="00C64138" w:rsidP="00C64138">
      <w:pPr>
        <w:pStyle w:val="RozpoetNadpis3"/>
      </w:pPr>
      <w:bookmarkStart w:id="70" w:name="_Toc228824363"/>
      <w:r>
        <w:t>Odvody na zdroje Stavební komise, celouniverzitní SZNN</w:t>
      </w:r>
      <w:r w:rsidDel="00A8301C">
        <w:t xml:space="preserve"> </w:t>
      </w:r>
      <w:r>
        <w:t>a celouniverzitní projekty</w:t>
      </w:r>
      <w:bookmarkEnd w:id="68"/>
      <w:bookmarkEnd w:id="70"/>
      <w:r w:rsidDel="00A8301C">
        <w:t xml:space="preserve"> </w:t>
      </w:r>
      <w:bookmarkEnd w:id="69"/>
    </w:p>
    <w:p w14:paraId="7A46B475" w14:textId="0585E37E" w:rsidR="00102316" w:rsidRPr="000A20AA" w:rsidRDefault="00C64138" w:rsidP="00B711D9">
      <w:pPr>
        <w:pStyle w:val="RozpocetOdstavec"/>
      </w:pPr>
      <w:r w:rsidRPr="000A20AA">
        <w:t>Prostředky na financování Stavební komise a celouniverzitní SZNN a celouniverzitní projekty</w:t>
      </w:r>
      <w:r w:rsidRPr="000A20AA" w:rsidDel="00A8301C">
        <w:t xml:space="preserve"> </w:t>
      </w:r>
      <w:r w:rsidRPr="000A20AA">
        <w:t xml:space="preserve">budou odvedeny ze součástí vyjma KMZ. KMZ se na financování celouniverzitních zdrojů </w:t>
      </w:r>
      <w:r w:rsidRPr="000A20AA">
        <w:lastRenderedPageBreak/>
        <w:t>nepodílí, jelikož vytváří vlastní FRIM.</w:t>
      </w:r>
      <w:r w:rsidRPr="000A20AA">
        <w:rPr>
          <w:rFonts w:ascii="Calibri" w:hAnsi="Calibri" w:cs="Calibri"/>
          <w:sz w:val="23"/>
          <w:szCs w:val="23"/>
        </w:rPr>
        <w:t xml:space="preserve"> </w:t>
      </w:r>
      <w:r w:rsidRPr="000A20AA">
        <w:t>Prostředky na financování Stavební komise, celouniverzitních SZNN a celouniverzitní projekty budou rozděleny na 95 % hodnoty odvodů, která bude ze součástí odvedena podle podílu součtu výnosů z ukazatelů A, K, F, FUČ, P, DKRVO a SVV na celkovém výnosu UTB v těchto ukazatelích v aktuálním roce, a dále 5 % objemu odvodů podle podílu ostatních neinvestičních výnosů těchto součástí na celkovém ostatním výnosu těchto součástí předchozího roku.</w:t>
      </w:r>
    </w:p>
    <w:p w14:paraId="79E4468D" w14:textId="77777777" w:rsidR="001529FC" w:rsidRDefault="001529FC" w:rsidP="00B711D9">
      <w:pPr>
        <w:pStyle w:val="RozpocetOdstavec"/>
        <w:rPr>
          <w:color w:val="00B050"/>
        </w:rPr>
      </w:pPr>
    </w:p>
    <w:tbl>
      <w:tblPr>
        <w:tblW w:w="9071" w:type="dxa"/>
        <w:tblLook w:val="04A0" w:firstRow="1" w:lastRow="0" w:firstColumn="1" w:lastColumn="0" w:noHBand="0" w:noVBand="1"/>
      </w:tblPr>
      <w:tblGrid>
        <w:gridCol w:w="1134"/>
        <w:gridCol w:w="1134"/>
        <w:gridCol w:w="1304"/>
        <w:gridCol w:w="1304"/>
        <w:gridCol w:w="1757"/>
        <w:gridCol w:w="1134"/>
        <w:gridCol w:w="1304"/>
      </w:tblGrid>
      <w:tr w:rsidR="001529FC" w:rsidRPr="001529FC" w14:paraId="0B63FC10" w14:textId="77777777" w:rsidTr="005A5409">
        <w:trPr>
          <w:trHeight w:val="102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516CA" w14:textId="345884D2" w:rsidR="001529FC" w:rsidRPr="001529FC" w:rsidRDefault="001529FC" w:rsidP="001529FC">
            <w:pPr>
              <w:jc w:val="center"/>
              <w:rPr>
                <w:rFonts w:ascii="Aptos Narrow" w:hAnsi="Aptos Narrow"/>
                <w:b/>
                <w:bCs/>
                <w:color w:val="000000"/>
              </w:rPr>
            </w:pPr>
            <w:r>
              <w:rPr>
                <w:rFonts w:ascii="Aptos Narrow" w:hAnsi="Aptos Narrow"/>
                <w:b/>
                <w:bCs/>
                <w:color w:val="000000"/>
              </w:rPr>
              <w:t>Součást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D58A19"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Interní fondy</w:t>
            </w:r>
          </w:p>
          <w:p w14:paraId="20382C6F" w14:textId="7C70BB7C"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v tis. 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9A14C2"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Provoz rektorátu</w:t>
            </w:r>
          </w:p>
          <w:p w14:paraId="260D6B21" w14:textId="35A17F36"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 xml:space="preserve">tis. </w:t>
            </w:r>
            <w:r w:rsidRPr="001529FC">
              <w:rPr>
                <w:rFonts w:ascii="Aptos Narrow" w:hAnsi="Aptos Narrow"/>
                <w:b/>
                <w:bCs/>
                <w:color w:val="000000"/>
              </w:rPr>
              <w:t>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4F132"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Informační zdroje</w:t>
            </w:r>
          </w:p>
          <w:p w14:paraId="6BD38B6E" w14:textId="51A2A9B2"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 xml:space="preserve">tis. </w:t>
            </w:r>
            <w:r w:rsidRPr="001529FC">
              <w:rPr>
                <w:rFonts w:ascii="Aptos Narrow" w:hAnsi="Aptos Narrow"/>
                <w:b/>
                <w:bCs/>
                <w:color w:val="000000"/>
              </w:rPr>
              <w:t>Kč</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94F130"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Celouniverzitní zdroje</w:t>
            </w:r>
          </w:p>
          <w:p w14:paraId="2D98EEE0" w14:textId="42BFA4E8"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tis.</w:t>
            </w:r>
            <w:r w:rsidRPr="001529FC">
              <w:rPr>
                <w:rFonts w:ascii="Aptos Narrow" w:hAnsi="Aptos Narrow"/>
                <w:b/>
                <w:bCs/>
                <w:color w:val="000000"/>
              </w:rPr>
              <w:t>Kč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82F361"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Celkem odvody</w:t>
            </w:r>
          </w:p>
          <w:p w14:paraId="5F10E136" w14:textId="04EA386A"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 xml:space="preserve">v </w:t>
            </w:r>
            <w:r>
              <w:rPr>
                <w:rFonts w:ascii="Aptos Narrow" w:hAnsi="Aptos Narrow"/>
                <w:b/>
                <w:bCs/>
                <w:color w:val="000000"/>
              </w:rPr>
              <w:t xml:space="preserve">tis. </w:t>
            </w:r>
            <w:r w:rsidRPr="001529FC">
              <w:rPr>
                <w:rFonts w:ascii="Aptos Narrow" w:hAnsi="Aptos Narrow"/>
                <w:b/>
                <w:bCs/>
                <w:color w:val="000000"/>
              </w:rPr>
              <w:t>Kč</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B59001" w14:textId="77777777" w:rsidR="001529FC" w:rsidRDefault="001529FC" w:rsidP="001529FC">
            <w:pPr>
              <w:jc w:val="center"/>
              <w:rPr>
                <w:rFonts w:ascii="Aptos Narrow" w:hAnsi="Aptos Narrow"/>
                <w:b/>
                <w:bCs/>
                <w:color w:val="000000"/>
              </w:rPr>
            </w:pPr>
            <w:r w:rsidRPr="001529FC">
              <w:rPr>
                <w:rFonts w:ascii="Aptos Narrow" w:hAnsi="Aptos Narrow"/>
                <w:b/>
                <w:bCs/>
                <w:color w:val="000000"/>
              </w:rPr>
              <w:t>Celkem</w:t>
            </w:r>
          </w:p>
          <w:p w14:paraId="259CCCA7" w14:textId="4ED3501F" w:rsidR="001529FC" w:rsidRPr="001529FC" w:rsidRDefault="001529FC" w:rsidP="001529FC">
            <w:pPr>
              <w:jc w:val="center"/>
              <w:rPr>
                <w:rFonts w:ascii="Aptos Narrow" w:hAnsi="Aptos Narrow"/>
                <w:b/>
                <w:bCs/>
                <w:color w:val="000000"/>
              </w:rPr>
            </w:pPr>
            <w:r w:rsidRPr="001529FC">
              <w:rPr>
                <w:rFonts w:ascii="Aptos Narrow" w:hAnsi="Aptos Narrow"/>
                <w:b/>
                <w:bCs/>
                <w:color w:val="000000"/>
              </w:rPr>
              <w:t>v %</w:t>
            </w:r>
          </w:p>
        </w:tc>
      </w:tr>
      <w:tr w:rsidR="001814EA" w:rsidRPr="001529FC" w14:paraId="6BB6ABAE"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15C999AD" w14:textId="77777777" w:rsidR="001814EA" w:rsidRPr="001529FC" w:rsidRDefault="001814EA" w:rsidP="001814EA">
            <w:pPr>
              <w:rPr>
                <w:rFonts w:ascii="Aptos Narrow" w:hAnsi="Aptos Narrow"/>
                <w:color w:val="000000"/>
              </w:rPr>
            </w:pPr>
            <w:r w:rsidRPr="001529FC">
              <w:rPr>
                <w:rFonts w:ascii="Aptos Narrow" w:hAnsi="Aptos Narrow"/>
                <w:color w:val="000000"/>
              </w:rPr>
              <w:t>FT</w:t>
            </w:r>
          </w:p>
        </w:tc>
        <w:tc>
          <w:tcPr>
            <w:tcW w:w="1134" w:type="dxa"/>
            <w:tcBorders>
              <w:top w:val="nil"/>
              <w:left w:val="nil"/>
              <w:bottom w:val="single" w:sz="4" w:space="0" w:color="auto"/>
              <w:right w:val="single" w:sz="4" w:space="0" w:color="auto"/>
            </w:tcBorders>
            <w:noWrap/>
            <w:vAlign w:val="center"/>
            <w:hideMark/>
          </w:tcPr>
          <w:p w14:paraId="72194D99" w14:textId="5D4C8616" w:rsidR="001814EA" w:rsidRPr="001529FC" w:rsidRDefault="001814EA" w:rsidP="001814EA">
            <w:pPr>
              <w:jc w:val="right"/>
              <w:rPr>
                <w:rFonts w:ascii="Aptos Narrow" w:hAnsi="Aptos Narrow"/>
                <w:color w:val="000000"/>
              </w:rPr>
            </w:pPr>
            <w:r>
              <w:rPr>
                <w:rFonts w:ascii="Aptos Narrow" w:hAnsi="Aptos Narrow"/>
                <w:color w:val="000000"/>
              </w:rPr>
              <w:t>4 909,0</w:t>
            </w:r>
          </w:p>
        </w:tc>
        <w:tc>
          <w:tcPr>
            <w:tcW w:w="1304" w:type="dxa"/>
            <w:tcBorders>
              <w:top w:val="nil"/>
              <w:left w:val="nil"/>
              <w:bottom w:val="single" w:sz="4" w:space="0" w:color="auto"/>
              <w:right w:val="single" w:sz="4" w:space="0" w:color="auto"/>
            </w:tcBorders>
            <w:noWrap/>
            <w:vAlign w:val="center"/>
            <w:hideMark/>
          </w:tcPr>
          <w:p w14:paraId="4FC2D8EC" w14:textId="121AC691" w:rsidR="001814EA" w:rsidRPr="001529FC" w:rsidRDefault="001814EA" w:rsidP="001814EA">
            <w:pPr>
              <w:jc w:val="right"/>
              <w:rPr>
                <w:rFonts w:ascii="Aptos Narrow" w:hAnsi="Aptos Narrow"/>
                <w:color w:val="000000"/>
              </w:rPr>
            </w:pPr>
            <w:r>
              <w:rPr>
                <w:rFonts w:ascii="Aptos Narrow" w:hAnsi="Aptos Narrow"/>
                <w:color w:val="000000"/>
              </w:rPr>
              <w:t>16 452,23</w:t>
            </w:r>
          </w:p>
        </w:tc>
        <w:tc>
          <w:tcPr>
            <w:tcW w:w="1304" w:type="dxa"/>
            <w:tcBorders>
              <w:top w:val="nil"/>
              <w:left w:val="nil"/>
              <w:bottom w:val="single" w:sz="4" w:space="0" w:color="auto"/>
              <w:right w:val="single" w:sz="4" w:space="0" w:color="auto"/>
            </w:tcBorders>
            <w:noWrap/>
            <w:vAlign w:val="center"/>
            <w:hideMark/>
          </w:tcPr>
          <w:p w14:paraId="0108B69F" w14:textId="4AF634FE" w:rsidR="001814EA" w:rsidRPr="001529FC" w:rsidRDefault="001814EA" w:rsidP="001814EA">
            <w:pPr>
              <w:jc w:val="right"/>
              <w:rPr>
                <w:rFonts w:ascii="Aptos Narrow" w:hAnsi="Aptos Narrow"/>
                <w:color w:val="000000"/>
              </w:rPr>
            </w:pPr>
            <w:r>
              <w:rPr>
                <w:rFonts w:ascii="Aptos Narrow" w:hAnsi="Aptos Narrow"/>
                <w:color w:val="000000"/>
              </w:rPr>
              <w:t>6 507,67</w:t>
            </w:r>
          </w:p>
        </w:tc>
        <w:tc>
          <w:tcPr>
            <w:tcW w:w="1757" w:type="dxa"/>
            <w:tcBorders>
              <w:top w:val="nil"/>
              <w:left w:val="nil"/>
              <w:bottom w:val="single" w:sz="4" w:space="0" w:color="auto"/>
              <w:right w:val="single" w:sz="4" w:space="0" w:color="auto"/>
            </w:tcBorders>
            <w:noWrap/>
            <w:vAlign w:val="center"/>
            <w:hideMark/>
          </w:tcPr>
          <w:p w14:paraId="46529FEB" w14:textId="754A13DD" w:rsidR="001814EA" w:rsidRPr="001529FC" w:rsidRDefault="001814EA" w:rsidP="001814EA">
            <w:pPr>
              <w:jc w:val="right"/>
              <w:rPr>
                <w:rFonts w:ascii="Aptos Narrow" w:hAnsi="Aptos Narrow"/>
                <w:color w:val="000000"/>
              </w:rPr>
            </w:pPr>
            <w:r>
              <w:rPr>
                <w:rFonts w:ascii="Aptos Narrow" w:hAnsi="Aptos Narrow"/>
                <w:color w:val="000000"/>
              </w:rPr>
              <w:t>10 767,16</w:t>
            </w:r>
          </w:p>
        </w:tc>
        <w:tc>
          <w:tcPr>
            <w:tcW w:w="1134" w:type="dxa"/>
            <w:tcBorders>
              <w:top w:val="nil"/>
              <w:left w:val="nil"/>
              <w:bottom w:val="single" w:sz="4" w:space="0" w:color="auto"/>
              <w:right w:val="single" w:sz="4" w:space="0" w:color="auto"/>
            </w:tcBorders>
            <w:noWrap/>
            <w:vAlign w:val="center"/>
            <w:hideMark/>
          </w:tcPr>
          <w:p w14:paraId="6ACDD003" w14:textId="43964B6C" w:rsidR="001814EA" w:rsidRPr="001529FC" w:rsidRDefault="001814EA" w:rsidP="001814EA">
            <w:pPr>
              <w:jc w:val="right"/>
              <w:rPr>
                <w:rFonts w:ascii="Aptos Narrow" w:hAnsi="Aptos Narrow"/>
                <w:color w:val="000000"/>
              </w:rPr>
            </w:pPr>
            <w:r>
              <w:rPr>
                <w:rFonts w:ascii="Aptos Narrow" w:hAnsi="Aptos Narrow"/>
                <w:color w:val="000000"/>
              </w:rPr>
              <w:t>38 636,1</w:t>
            </w:r>
          </w:p>
        </w:tc>
        <w:tc>
          <w:tcPr>
            <w:tcW w:w="1304" w:type="dxa"/>
            <w:tcBorders>
              <w:top w:val="nil"/>
              <w:left w:val="nil"/>
              <w:bottom w:val="single" w:sz="4" w:space="0" w:color="auto"/>
              <w:right w:val="single" w:sz="4" w:space="0" w:color="auto"/>
            </w:tcBorders>
            <w:noWrap/>
            <w:vAlign w:val="center"/>
            <w:hideMark/>
          </w:tcPr>
          <w:p w14:paraId="74B1FFFE" w14:textId="2686085C" w:rsidR="001814EA" w:rsidRPr="001529FC" w:rsidRDefault="001814EA" w:rsidP="001814EA">
            <w:pPr>
              <w:jc w:val="right"/>
              <w:rPr>
                <w:rFonts w:ascii="Aptos Narrow" w:hAnsi="Aptos Narrow"/>
                <w:color w:val="000000"/>
              </w:rPr>
            </w:pPr>
            <w:r>
              <w:rPr>
                <w:rFonts w:ascii="Aptos Narrow" w:hAnsi="Aptos Narrow"/>
                <w:color w:val="000000"/>
              </w:rPr>
              <w:t>21,53%</w:t>
            </w:r>
          </w:p>
        </w:tc>
      </w:tr>
      <w:tr w:rsidR="001814EA" w:rsidRPr="001529FC" w14:paraId="5F31A641"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59E52E84" w14:textId="77777777" w:rsidR="001814EA" w:rsidRPr="001529FC" w:rsidRDefault="001814EA" w:rsidP="001814EA">
            <w:pPr>
              <w:rPr>
                <w:rFonts w:ascii="Aptos Narrow" w:hAnsi="Aptos Narrow"/>
                <w:color w:val="000000"/>
              </w:rPr>
            </w:pPr>
            <w:r w:rsidRPr="001529FC">
              <w:rPr>
                <w:rFonts w:ascii="Aptos Narrow" w:hAnsi="Aptos Narrow"/>
                <w:color w:val="000000"/>
              </w:rPr>
              <w:t>FLKŘ</w:t>
            </w:r>
          </w:p>
        </w:tc>
        <w:tc>
          <w:tcPr>
            <w:tcW w:w="1134" w:type="dxa"/>
            <w:tcBorders>
              <w:top w:val="nil"/>
              <w:left w:val="nil"/>
              <w:bottom w:val="single" w:sz="4" w:space="0" w:color="auto"/>
              <w:right w:val="single" w:sz="4" w:space="0" w:color="auto"/>
            </w:tcBorders>
            <w:noWrap/>
            <w:vAlign w:val="center"/>
            <w:hideMark/>
          </w:tcPr>
          <w:p w14:paraId="483664FB" w14:textId="68E813B6" w:rsidR="001814EA" w:rsidRPr="001529FC" w:rsidRDefault="001814EA" w:rsidP="001814EA">
            <w:pPr>
              <w:jc w:val="right"/>
              <w:rPr>
                <w:rFonts w:ascii="Aptos Narrow" w:hAnsi="Aptos Narrow"/>
                <w:color w:val="000000"/>
              </w:rPr>
            </w:pPr>
            <w:r>
              <w:rPr>
                <w:rFonts w:ascii="Aptos Narrow" w:hAnsi="Aptos Narrow"/>
                <w:color w:val="000000"/>
              </w:rPr>
              <w:t>2 127,4</w:t>
            </w:r>
          </w:p>
        </w:tc>
        <w:tc>
          <w:tcPr>
            <w:tcW w:w="1304" w:type="dxa"/>
            <w:tcBorders>
              <w:top w:val="nil"/>
              <w:left w:val="nil"/>
              <w:bottom w:val="single" w:sz="4" w:space="0" w:color="auto"/>
              <w:right w:val="single" w:sz="4" w:space="0" w:color="auto"/>
            </w:tcBorders>
            <w:noWrap/>
            <w:vAlign w:val="center"/>
            <w:hideMark/>
          </w:tcPr>
          <w:p w14:paraId="69CCC1A8" w14:textId="5131D8EE" w:rsidR="001814EA" w:rsidRPr="001529FC" w:rsidRDefault="001814EA" w:rsidP="001814EA">
            <w:pPr>
              <w:jc w:val="right"/>
              <w:rPr>
                <w:rFonts w:ascii="Aptos Narrow" w:hAnsi="Aptos Narrow"/>
                <w:color w:val="000000"/>
              </w:rPr>
            </w:pPr>
            <w:r>
              <w:rPr>
                <w:rFonts w:ascii="Aptos Narrow" w:hAnsi="Aptos Narrow"/>
                <w:color w:val="000000"/>
              </w:rPr>
              <w:t>7 129,70</w:t>
            </w:r>
          </w:p>
        </w:tc>
        <w:tc>
          <w:tcPr>
            <w:tcW w:w="1304" w:type="dxa"/>
            <w:tcBorders>
              <w:top w:val="nil"/>
              <w:left w:val="nil"/>
              <w:bottom w:val="single" w:sz="4" w:space="0" w:color="auto"/>
              <w:right w:val="single" w:sz="4" w:space="0" w:color="auto"/>
            </w:tcBorders>
            <w:noWrap/>
            <w:vAlign w:val="center"/>
            <w:hideMark/>
          </w:tcPr>
          <w:p w14:paraId="6F2E2704" w14:textId="6588D505" w:rsidR="001814EA" w:rsidRPr="001529FC" w:rsidRDefault="001814EA" w:rsidP="001814EA">
            <w:pPr>
              <w:jc w:val="right"/>
              <w:rPr>
                <w:rFonts w:ascii="Aptos Narrow" w:hAnsi="Aptos Narrow"/>
                <w:color w:val="000000"/>
              </w:rPr>
            </w:pPr>
            <w:r>
              <w:rPr>
                <w:rFonts w:ascii="Aptos Narrow" w:hAnsi="Aptos Narrow"/>
                <w:color w:val="000000"/>
              </w:rPr>
              <w:t>2 820,15</w:t>
            </w:r>
          </w:p>
        </w:tc>
        <w:tc>
          <w:tcPr>
            <w:tcW w:w="1757" w:type="dxa"/>
            <w:tcBorders>
              <w:top w:val="nil"/>
              <w:left w:val="nil"/>
              <w:bottom w:val="single" w:sz="4" w:space="0" w:color="auto"/>
              <w:right w:val="single" w:sz="4" w:space="0" w:color="auto"/>
            </w:tcBorders>
            <w:noWrap/>
            <w:vAlign w:val="center"/>
            <w:hideMark/>
          </w:tcPr>
          <w:p w14:paraId="589BAE40" w14:textId="1F797CB1" w:rsidR="001814EA" w:rsidRPr="001529FC" w:rsidRDefault="001814EA" w:rsidP="001814EA">
            <w:pPr>
              <w:jc w:val="right"/>
              <w:rPr>
                <w:rFonts w:ascii="Aptos Narrow" w:hAnsi="Aptos Narrow"/>
                <w:color w:val="000000"/>
              </w:rPr>
            </w:pPr>
            <w:r>
              <w:rPr>
                <w:rFonts w:ascii="Aptos Narrow" w:hAnsi="Aptos Narrow"/>
                <w:color w:val="000000"/>
              </w:rPr>
              <w:t>4 666,04</w:t>
            </w:r>
          </w:p>
        </w:tc>
        <w:tc>
          <w:tcPr>
            <w:tcW w:w="1134" w:type="dxa"/>
            <w:tcBorders>
              <w:top w:val="nil"/>
              <w:left w:val="nil"/>
              <w:bottom w:val="single" w:sz="4" w:space="0" w:color="auto"/>
              <w:right w:val="single" w:sz="4" w:space="0" w:color="auto"/>
            </w:tcBorders>
            <w:noWrap/>
            <w:vAlign w:val="center"/>
            <w:hideMark/>
          </w:tcPr>
          <w:p w14:paraId="6778B95F" w14:textId="377821D3" w:rsidR="001814EA" w:rsidRPr="001529FC" w:rsidRDefault="001814EA" w:rsidP="001814EA">
            <w:pPr>
              <w:jc w:val="right"/>
              <w:rPr>
                <w:rFonts w:ascii="Aptos Narrow" w:hAnsi="Aptos Narrow"/>
                <w:color w:val="000000"/>
              </w:rPr>
            </w:pPr>
            <w:r>
              <w:rPr>
                <w:rFonts w:ascii="Aptos Narrow" w:hAnsi="Aptos Narrow"/>
                <w:color w:val="000000"/>
              </w:rPr>
              <w:t>16 743,3</w:t>
            </w:r>
          </w:p>
        </w:tc>
        <w:tc>
          <w:tcPr>
            <w:tcW w:w="1304" w:type="dxa"/>
            <w:tcBorders>
              <w:top w:val="nil"/>
              <w:left w:val="nil"/>
              <w:bottom w:val="single" w:sz="4" w:space="0" w:color="auto"/>
              <w:right w:val="single" w:sz="4" w:space="0" w:color="auto"/>
            </w:tcBorders>
            <w:noWrap/>
            <w:vAlign w:val="center"/>
            <w:hideMark/>
          </w:tcPr>
          <w:p w14:paraId="1D6C4F79" w14:textId="7EFB8257" w:rsidR="001814EA" w:rsidRPr="001529FC" w:rsidRDefault="001814EA" w:rsidP="001814EA">
            <w:pPr>
              <w:jc w:val="right"/>
              <w:rPr>
                <w:rFonts w:ascii="Aptos Narrow" w:hAnsi="Aptos Narrow"/>
                <w:color w:val="000000"/>
              </w:rPr>
            </w:pPr>
            <w:r>
              <w:rPr>
                <w:rFonts w:ascii="Aptos Narrow" w:hAnsi="Aptos Narrow"/>
                <w:color w:val="000000"/>
              </w:rPr>
              <w:t>9,33%</w:t>
            </w:r>
          </w:p>
        </w:tc>
      </w:tr>
      <w:tr w:rsidR="001814EA" w:rsidRPr="001529FC" w14:paraId="57537DC5"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0EC3E887" w14:textId="77777777" w:rsidR="001814EA" w:rsidRPr="001529FC" w:rsidRDefault="001814EA" w:rsidP="001814EA">
            <w:pPr>
              <w:rPr>
                <w:rFonts w:ascii="Aptos Narrow" w:hAnsi="Aptos Narrow"/>
                <w:color w:val="000000"/>
              </w:rPr>
            </w:pPr>
            <w:r w:rsidRPr="001529FC">
              <w:rPr>
                <w:rFonts w:ascii="Aptos Narrow" w:hAnsi="Aptos Narrow"/>
                <w:color w:val="000000"/>
              </w:rPr>
              <w:t>FAI</w:t>
            </w:r>
          </w:p>
        </w:tc>
        <w:tc>
          <w:tcPr>
            <w:tcW w:w="1134" w:type="dxa"/>
            <w:tcBorders>
              <w:top w:val="nil"/>
              <w:left w:val="nil"/>
              <w:bottom w:val="single" w:sz="4" w:space="0" w:color="auto"/>
              <w:right w:val="single" w:sz="4" w:space="0" w:color="auto"/>
            </w:tcBorders>
            <w:noWrap/>
            <w:vAlign w:val="center"/>
            <w:hideMark/>
          </w:tcPr>
          <w:p w14:paraId="0CBC3F83" w14:textId="2A186077" w:rsidR="001814EA" w:rsidRPr="001529FC" w:rsidRDefault="001814EA" w:rsidP="001814EA">
            <w:pPr>
              <w:jc w:val="right"/>
              <w:rPr>
                <w:rFonts w:ascii="Aptos Narrow" w:hAnsi="Aptos Narrow"/>
                <w:color w:val="000000"/>
              </w:rPr>
            </w:pPr>
            <w:r>
              <w:rPr>
                <w:rFonts w:ascii="Aptos Narrow" w:hAnsi="Aptos Narrow"/>
                <w:color w:val="000000"/>
              </w:rPr>
              <w:t>3 185,5</w:t>
            </w:r>
          </w:p>
        </w:tc>
        <w:tc>
          <w:tcPr>
            <w:tcW w:w="1304" w:type="dxa"/>
            <w:tcBorders>
              <w:top w:val="nil"/>
              <w:left w:val="nil"/>
              <w:bottom w:val="single" w:sz="4" w:space="0" w:color="auto"/>
              <w:right w:val="single" w:sz="4" w:space="0" w:color="auto"/>
            </w:tcBorders>
            <w:noWrap/>
            <w:vAlign w:val="center"/>
            <w:hideMark/>
          </w:tcPr>
          <w:p w14:paraId="2CDD4E78" w14:textId="2CD9B23E" w:rsidR="001814EA" w:rsidRPr="001529FC" w:rsidRDefault="001814EA" w:rsidP="001814EA">
            <w:pPr>
              <w:jc w:val="right"/>
              <w:rPr>
                <w:rFonts w:ascii="Aptos Narrow" w:hAnsi="Aptos Narrow"/>
                <w:color w:val="000000"/>
              </w:rPr>
            </w:pPr>
            <w:r>
              <w:rPr>
                <w:rFonts w:ascii="Aptos Narrow" w:hAnsi="Aptos Narrow"/>
                <w:color w:val="000000"/>
              </w:rPr>
              <w:t>10 675,96</w:t>
            </w:r>
          </w:p>
        </w:tc>
        <w:tc>
          <w:tcPr>
            <w:tcW w:w="1304" w:type="dxa"/>
            <w:tcBorders>
              <w:top w:val="nil"/>
              <w:left w:val="nil"/>
              <w:bottom w:val="single" w:sz="4" w:space="0" w:color="auto"/>
              <w:right w:val="single" w:sz="4" w:space="0" w:color="auto"/>
            </w:tcBorders>
            <w:noWrap/>
            <w:vAlign w:val="center"/>
            <w:hideMark/>
          </w:tcPr>
          <w:p w14:paraId="41182F2E" w14:textId="759B9C92" w:rsidR="001814EA" w:rsidRPr="001529FC" w:rsidRDefault="001814EA" w:rsidP="001814EA">
            <w:pPr>
              <w:jc w:val="right"/>
              <w:rPr>
                <w:rFonts w:ascii="Aptos Narrow" w:hAnsi="Aptos Narrow"/>
                <w:color w:val="000000"/>
              </w:rPr>
            </w:pPr>
            <w:r>
              <w:rPr>
                <w:rFonts w:ascii="Aptos Narrow" w:hAnsi="Aptos Narrow"/>
                <w:color w:val="000000"/>
              </w:rPr>
              <w:t>4 222,87</w:t>
            </w:r>
          </w:p>
        </w:tc>
        <w:tc>
          <w:tcPr>
            <w:tcW w:w="1757" w:type="dxa"/>
            <w:tcBorders>
              <w:top w:val="nil"/>
              <w:left w:val="nil"/>
              <w:bottom w:val="single" w:sz="4" w:space="0" w:color="auto"/>
              <w:right w:val="single" w:sz="4" w:space="0" w:color="auto"/>
            </w:tcBorders>
            <w:noWrap/>
            <w:vAlign w:val="center"/>
            <w:hideMark/>
          </w:tcPr>
          <w:p w14:paraId="57D6CC87" w14:textId="40760139" w:rsidR="001814EA" w:rsidRPr="001529FC" w:rsidRDefault="001814EA" w:rsidP="001814EA">
            <w:pPr>
              <w:jc w:val="right"/>
              <w:rPr>
                <w:rFonts w:ascii="Aptos Narrow" w:hAnsi="Aptos Narrow"/>
                <w:color w:val="000000"/>
              </w:rPr>
            </w:pPr>
            <w:r>
              <w:rPr>
                <w:rFonts w:ascii="Aptos Narrow" w:hAnsi="Aptos Narrow"/>
                <w:color w:val="000000"/>
              </w:rPr>
              <w:t>6 986,89</w:t>
            </w:r>
          </w:p>
        </w:tc>
        <w:tc>
          <w:tcPr>
            <w:tcW w:w="1134" w:type="dxa"/>
            <w:tcBorders>
              <w:top w:val="nil"/>
              <w:left w:val="nil"/>
              <w:bottom w:val="single" w:sz="4" w:space="0" w:color="auto"/>
              <w:right w:val="single" w:sz="4" w:space="0" w:color="auto"/>
            </w:tcBorders>
            <w:noWrap/>
            <w:vAlign w:val="center"/>
            <w:hideMark/>
          </w:tcPr>
          <w:p w14:paraId="6671488F" w14:textId="19062AD4" w:rsidR="001814EA" w:rsidRPr="001529FC" w:rsidRDefault="001814EA" w:rsidP="001814EA">
            <w:pPr>
              <w:jc w:val="right"/>
              <w:rPr>
                <w:rFonts w:ascii="Aptos Narrow" w:hAnsi="Aptos Narrow"/>
                <w:color w:val="000000"/>
              </w:rPr>
            </w:pPr>
            <w:r>
              <w:rPr>
                <w:rFonts w:ascii="Aptos Narrow" w:hAnsi="Aptos Narrow"/>
                <w:color w:val="000000"/>
              </w:rPr>
              <w:t>25 071,2</w:t>
            </w:r>
          </w:p>
        </w:tc>
        <w:tc>
          <w:tcPr>
            <w:tcW w:w="1304" w:type="dxa"/>
            <w:tcBorders>
              <w:top w:val="nil"/>
              <w:left w:val="nil"/>
              <w:bottom w:val="single" w:sz="4" w:space="0" w:color="auto"/>
              <w:right w:val="single" w:sz="4" w:space="0" w:color="auto"/>
            </w:tcBorders>
            <w:noWrap/>
            <w:vAlign w:val="center"/>
            <w:hideMark/>
          </w:tcPr>
          <w:p w14:paraId="22F976E9" w14:textId="11C44A68" w:rsidR="001814EA" w:rsidRPr="001529FC" w:rsidRDefault="001814EA" w:rsidP="001814EA">
            <w:pPr>
              <w:jc w:val="right"/>
              <w:rPr>
                <w:rFonts w:ascii="Aptos Narrow" w:hAnsi="Aptos Narrow"/>
                <w:color w:val="000000"/>
              </w:rPr>
            </w:pPr>
            <w:r>
              <w:rPr>
                <w:rFonts w:ascii="Aptos Narrow" w:hAnsi="Aptos Narrow"/>
                <w:color w:val="000000"/>
              </w:rPr>
              <w:t>13,97%</w:t>
            </w:r>
          </w:p>
        </w:tc>
      </w:tr>
      <w:tr w:rsidR="001814EA" w:rsidRPr="001529FC" w14:paraId="4A0B9B58"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390CC017" w14:textId="77777777" w:rsidR="001814EA" w:rsidRPr="001529FC" w:rsidRDefault="001814EA" w:rsidP="001814EA">
            <w:pPr>
              <w:rPr>
                <w:rFonts w:ascii="Aptos Narrow" w:hAnsi="Aptos Narrow"/>
                <w:color w:val="000000"/>
              </w:rPr>
            </w:pPr>
            <w:r w:rsidRPr="001529FC">
              <w:rPr>
                <w:rFonts w:ascii="Aptos Narrow" w:hAnsi="Aptos Narrow"/>
                <w:color w:val="000000"/>
              </w:rPr>
              <w:t>FMK</w:t>
            </w:r>
          </w:p>
        </w:tc>
        <w:tc>
          <w:tcPr>
            <w:tcW w:w="1134" w:type="dxa"/>
            <w:tcBorders>
              <w:top w:val="nil"/>
              <w:left w:val="nil"/>
              <w:bottom w:val="single" w:sz="4" w:space="0" w:color="auto"/>
              <w:right w:val="single" w:sz="4" w:space="0" w:color="auto"/>
            </w:tcBorders>
            <w:noWrap/>
            <w:vAlign w:val="center"/>
            <w:hideMark/>
          </w:tcPr>
          <w:p w14:paraId="3931FDCF" w14:textId="6680568C" w:rsidR="001814EA" w:rsidRPr="001529FC" w:rsidRDefault="001814EA" w:rsidP="001814EA">
            <w:pPr>
              <w:jc w:val="right"/>
              <w:rPr>
                <w:rFonts w:ascii="Aptos Narrow" w:hAnsi="Aptos Narrow"/>
                <w:color w:val="000000"/>
              </w:rPr>
            </w:pPr>
            <w:r>
              <w:rPr>
                <w:rFonts w:ascii="Aptos Narrow" w:hAnsi="Aptos Narrow"/>
                <w:color w:val="000000"/>
              </w:rPr>
              <w:t>3 859,9</w:t>
            </w:r>
          </w:p>
        </w:tc>
        <w:tc>
          <w:tcPr>
            <w:tcW w:w="1304" w:type="dxa"/>
            <w:tcBorders>
              <w:top w:val="nil"/>
              <w:left w:val="nil"/>
              <w:bottom w:val="single" w:sz="4" w:space="0" w:color="auto"/>
              <w:right w:val="single" w:sz="4" w:space="0" w:color="auto"/>
            </w:tcBorders>
            <w:noWrap/>
            <w:vAlign w:val="center"/>
            <w:hideMark/>
          </w:tcPr>
          <w:p w14:paraId="4DE2C4AA" w14:textId="642A80A8" w:rsidR="001814EA" w:rsidRPr="001529FC" w:rsidRDefault="001814EA" w:rsidP="001814EA">
            <w:pPr>
              <w:jc w:val="right"/>
              <w:rPr>
                <w:rFonts w:ascii="Aptos Narrow" w:hAnsi="Aptos Narrow"/>
                <w:color w:val="000000"/>
              </w:rPr>
            </w:pPr>
            <w:r>
              <w:rPr>
                <w:rFonts w:ascii="Aptos Narrow" w:hAnsi="Aptos Narrow"/>
                <w:color w:val="000000"/>
              </w:rPr>
              <w:t>12 936,30</w:t>
            </w:r>
          </w:p>
        </w:tc>
        <w:tc>
          <w:tcPr>
            <w:tcW w:w="1304" w:type="dxa"/>
            <w:tcBorders>
              <w:top w:val="nil"/>
              <w:left w:val="nil"/>
              <w:bottom w:val="single" w:sz="4" w:space="0" w:color="auto"/>
              <w:right w:val="single" w:sz="4" w:space="0" w:color="auto"/>
            </w:tcBorders>
            <w:noWrap/>
            <w:vAlign w:val="center"/>
            <w:hideMark/>
          </w:tcPr>
          <w:p w14:paraId="0F9F9F21" w14:textId="270AF948" w:rsidR="001814EA" w:rsidRPr="001529FC" w:rsidRDefault="001814EA" w:rsidP="001814EA">
            <w:pPr>
              <w:jc w:val="right"/>
              <w:rPr>
                <w:rFonts w:ascii="Aptos Narrow" w:hAnsi="Aptos Narrow"/>
                <w:color w:val="000000"/>
              </w:rPr>
            </w:pPr>
            <w:r>
              <w:rPr>
                <w:rFonts w:ascii="Aptos Narrow" w:hAnsi="Aptos Narrow"/>
                <w:color w:val="000000"/>
              </w:rPr>
              <w:t>5 116,95</w:t>
            </w:r>
          </w:p>
        </w:tc>
        <w:tc>
          <w:tcPr>
            <w:tcW w:w="1757" w:type="dxa"/>
            <w:tcBorders>
              <w:top w:val="nil"/>
              <w:left w:val="nil"/>
              <w:bottom w:val="single" w:sz="4" w:space="0" w:color="auto"/>
              <w:right w:val="single" w:sz="4" w:space="0" w:color="auto"/>
            </w:tcBorders>
            <w:noWrap/>
            <w:vAlign w:val="center"/>
            <w:hideMark/>
          </w:tcPr>
          <w:p w14:paraId="79A861A4" w14:textId="7D28C369" w:rsidR="001814EA" w:rsidRPr="001529FC" w:rsidRDefault="001814EA" w:rsidP="001814EA">
            <w:pPr>
              <w:jc w:val="right"/>
              <w:rPr>
                <w:rFonts w:ascii="Aptos Narrow" w:hAnsi="Aptos Narrow"/>
                <w:color w:val="000000"/>
              </w:rPr>
            </w:pPr>
            <w:r>
              <w:rPr>
                <w:rFonts w:ascii="Aptos Narrow" w:hAnsi="Aptos Narrow"/>
                <w:color w:val="000000"/>
              </w:rPr>
              <w:t>8 466,16</w:t>
            </w:r>
          </w:p>
        </w:tc>
        <w:tc>
          <w:tcPr>
            <w:tcW w:w="1134" w:type="dxa"/>
            <w:tcBorders>
              <w:top w:val="nil"/>
              <w:left w:val="nil"/>
              <w:bottom w:val="single" w:sz="4" w:space="0" w:color="auto"/>
              <w:right w:val="single" w:sz="4" w:space="0" w:color="auto"/>
            </w:tcBorders>
            <w:noWrap/>
            <w:vAlign w:val="center"/>
            <w:hideMark/>
          </w:tcPr>
          <w:p w14:paraId="4BB6DAAC" w14:textId="0FEC6BCB" w:rsidR="001814EA" w:rsidRPr="001529FC" w:rsidRDefault="001814EA" w:rsidP="001814EA">
            <w:pPr>
              <w:jc w:val="right"/>
              <w:rPr>
                <w:rFonts w:ascii="Aptos Narrow" w:hAnsi="Aptos Narrow"/>
                <w:color w:val="000000"/>
              </w:rPr>
            </w:pPr>
            <w:r>
              <w:rPr>
                <w:rFonts w:ascii="Aptos Narrow" w:hAnsi="Aptos Narrow"/>
                <w:color w:val="000000"/>
              </w:rPr>
              <w:t>30 379,3</w:t>
            </w:r>
          </w:p>
        </w:tc>
        <w:tc>
          <w:tcPr>
            <w:tcW w:w="1304" w:type="dxa"/>
            <w:tcBorders>
              <w:top w:val="nil"/>
              <w:left w:val="nil"/>
              <w:bottom w:val="single" w:sz="4" w:space="0" w:color="auto"/>
              <w:right w:val="single" w:sz="4" w:space="0" w:color="auto"/>
            </w:tcBorders>
            <w:noWrap/>
            <w:vAlign w:val="center"/>
            <w:hideMark/>
          </w:tcPr>
          <w:p w14:paraId="40EFC955" w14:textId="32672291" w:rsidR="001814EA" w:rsidRPr="001529FC" w:rsidRDefault="001814EA" w:rsidP="001814EA">
            <w:pPr>
              <w:jc w:val="right"/>
              <w:rPr>
                <w:rFonts w:ascii="Aptos Narrow" w:hAnsi="Aptos Narrow"/>
                <w:color w:val="000000"/>
              </w:rPr>
            </w:pPr>
            <w:r>
              <w:rPr>
                <w:rFonts w:ascii="Aptos Narrow" w:hAnsi="Aptos Narrow"/>
                <w:color w:val="000000"/>
              </w:rPr>
              <w:t>16,93%</w:t>
            </w:r>
          </w:p>
        </w:tc>
      </w:tr>
      <w:tr w:rsidR="001814EA" w:rsidRPr="001529FC" w14:paraId="3BE2763B"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3A53542A" w14:textId="77777777" w:rsidR="001814EA" w:rsidRPr="001529FC" w:rsidRDefault="001814EA" w:rsidP="001814EA">
            <w:pPr>
              <w:rPr>
                <w:rFonts w:ascii="Aptos Narrow" w:hAnsi="Aptos Narrow"/>
                <w:color w:val="000000"/>
              </w:rPr>
            </w:pPr>
            <w:r w:rsidRPr="001529FC">
              <w:rPr>
                <w:rFonts w:ascii="Aptos Narrow" w:hAnsi="Aptos Narrow"/>
                <w:color w:val="000000"/>
              </w:rPr>
              <w:t>FaME</w:t>
            </w:r>
          </w:p>
        </w:tc>
        <w:tc>
          <w:tcPr>
            <w:tcW w:w="1134" w:type="dxa"/>
            <w:tcBorders>
              <w:top w:val="nil"/>
              <w:left w:val="nil"/>
              <w:bottom w:val="single" w:sz="4" w:space="0" w:color="auto"/>
              <w:right w:val="single" w:sz="4" w:space="0" w:color="auto"/>
            </w:tcBorders>
            <w:noWrap/>
            <w:vAlign w:val="center"/>
            <w:hideMark/>
          </w:tcPr>
          <w:p w14:paraId="29D096E4" w14:textId="13266C69" w:rsidR="001814EA" w:rsidRPr="001529FC" w:rsidRDefault="001814EA" w:rsidP="001814EA">
            <w:pPr>
              <w:jc w:val="right"/>
              <w:rPr>
                <w:rFonts w:ascii="Aptos Narrow" w:hAnsi="Aptos Narrow"/>
                <w:color w:val="000000"/>
              </w:rPr>
            </w:pPr>
            <w:r>
              <w:rPr>
                <w:rFonts w:ascii="Aptos Narrow" w:hAnsi="Aptos Narrow"/>
                <w:color w:val="000000"/>
              </w:rPr>
              <w:t>2 999,0</w:t>
            </w:r>
          </w:p>
        </w:tc>
        <w:tc>
          <w:tcPr>
            <w:tcW w:w="1304" w:type="dxa"/>
            <w:tcBorders>
              <w:top w:val="nil"/>
              <w:left w:val="nil"/>
              <w:bottom w:val="single" w:sz="4" w:space="0" w:color="auto"/>
              <w:right w:val="single" w:sz="4" w:space="0" w:color="auto"/>
            </w:tcBorders>
            <w:noWrap/>
            <w:vAlign w:val="center"/>
            <w:hideMark/>
          </w:tcPr>
          <w:p w14:paraId="4239752E" w14:textId="2BDED623" w:rsidR="001814EA" w:rsidRPr="001529FC" w:rsidRDefault="001814EA" w:rsidP="001814EA">
            <w:pPr>
              <w:jc w:val="right"/>
              <w:rPr>
                <w:rFonts w:ascii="Aptos Narrow" w:hAnsi="Aptos Narrow"/>
                <w:color w:val="000000"/>
              </w:rPr>
            </w:pPr>
            <w:r>
              <w:rPr>
                <w:rFonts w:ascii="Aptos Narrow" w:hAnsi="Aptos Narrow"/>
                <w:color w:val="000000"/>
              </w:rPr>
              <w:t>10 050,85</w:t>
            </w:r>
          </w:p>
        </w:tc>
        <w:tc>
          <w:tcPr>
            <w:tcW w:w="1304" w:type="dxa"/>
            <w:tcBorders>
              <w:top w:val="nil"/>
              <w:left w:val="nil"/>
              <w:bottom w:val="single" w:sz="4" w:space="0" w:color="auto"/>
              <w:right w:val="single" w:sz="4" w:space="0" w:color="auto"/>
            </w:tcBorders>
            <w:noWrap/>
            <w:vAlign w:val="center"/>
            <w:hideMark/>
          </w:tcPr>
          <w:p w14:paraId="31514313" w14:textId="3D86F64C" w:rsidR="001814EA" w:rsidRPr="001529FC" w:rsidRDefault="001814EA" w:rsidP="001814EA">
            <w:pPr>
              <w:jc w:val="right"/>
              <w:rPr>
                <w:rFonts w:ascii="Aptos Narrow" w:hAnsi="Aptos Narrow"/>
                <w:color w:val="000000"/>
              </w:rPr>
            </w:pPr>
            <w:r>
              <w:rPr>
                <w:rFonts w:ascii="Aptos Narrow" w:hAnsi="Aptos Narrow"/>
                <w:color w:val="000000"/>
              </w:rPr>
              <w:t>3 975,61</w:t>
            </w:r>
          </w:p>
        </w:tc>
        <w:tc>
          <w:tcPr>
            <w:tcW w:w="1757" w:type="dxa"/>
            <w:tcBorders>
              <w:top w:val="nil"/>
              <w:left w:val="nil"/>
              <w:bottom w:val="single" w:sz="4" w:space="0" w:color="auto"/>
              <w:right w:val="single" w:sz="4" w:space="0" w:color="auto"/>
            </w:tcBorders>
            <w:noWrap/>
            <w:vAlign w:val="center"/>
            <w:hideMark/>
          </w:tcPr>
          <w:p w14:paraId="1586EFD2" w14:textId="073C2BB7" w:rsidR="001814EA" w:rsidRPr="001529FC" w:rsidRDefault="001814EA" w:rsidP="001814EA">
            <w:pPr>
              <w:jc w:val="right"/>
              <w:rPr>
                <w:rFonts w:ascii="Aptos Narrow" w:hAnsi="Aptos Narrow"/>
                <w:color w:val="000000"/>
              </w:rPr>
            </w:pPr>
            <w:r>
              <w:rPr>
                <w:rFonts w:ascii="Aptos Narrow" w:hAnsi="Aptos Narrow"/>
                <w:color w:val="000000"/>
              </w:rPr>
              <w:t>6 577,78</w:t>
            </w:r>
          </w:p>
        </w:tc>
        <w:tc>
          <w:tcPr>
            <w:tcW w:w="1134" w:type="dxa"/>
            <w:tcBorders>
              <w:top w:val="nil"/>
              <w:left w:val="nil"/>
              <w:bottom w:val="single" w:sz="4" w:space="0" w:color="auto"/>
              <w:right w:val="single" w:sz="4" w:space="0" w:color="auto"/>
            </w:tcBorders>
            <w:noWrap/>
            <w:vAlign w:val="center"/>
            <w:hideMark/>
          </w:tcPr>
          <w:p w14:paraId="74AAFC70" w14:textId="1A6D24EC" w:rsidR="001814EA" w:rsidRPr="001529FC" w:rsidRDefault="001814EA" w:rsidP="001814EA">
            <w:pPr>
              <w:jc w:val="right"/>
              <w:rPr>
                <w:rFonts w:ascii="Aptos Narrow" w:hAnsi="Aptos Narrow"/>
                <w:color w:val="000000"/>
              </w:rPr>
            </w:pPr>
            <w:r>
              <w:rPr>
                <w:rFonts w:ascii="Aptos Narrow" w:hAnsi="Aptos Narrow"/>
                <w:color w:val="000000"/>
              </w:rPr>
              <w:t>23 603,2</w:t>
            </w:r>
          </w:p>
        </w:tc>
        <w:tc>
          <w:tcPr>
            <w:tcW w:w="1304" w:type="dxa"/>
            <w:tcBorders>
              <w:top w:val="nil"/>
              <w:left w:val="nil"/>
              <w:bottom w:val="single" w:sz="4" w:space="0" w:color="auto"/>
              <w:right w:val="single" w:sz="4" w:space="0" w:color="auto"/>
            </w:tcBorders>
            <w:noWrap/>
            <w:vAlign w:val="center"/>
            <w:hideMark/>
          </w:tcPr>
          <w:p w14:paraId="5EA35AE2" w14:textId="39A5E3A7" w:rsidR="001814EA" w:rsidRPr="001529FC" w:rsidRDefault="001814EA" w:rsidP="001814EA">
            <w:pPr>
              <w:jc w:val="right"/>
              <w:rPr>
                <w:rFonts w:ascii="Aptos Narrow" w:hAnsi="Aptos Narrow"/>
                <w:color w:val="000000"/>
              </w:rPr>
            </w:pPr>
            <w:r>
              <w:rPr>
                <w:rFonts w:ascii="Aptos Narrow" w:hAnsi="Aptos Narrow"/>
                <w:color w:val="000000"/>
              </w:rPr>
              <w:t>13,16%</w:t>
            </w:r>
          </w:p>
        </w:tc>
      </w:tr>
      <w:tr w:rsidR="001814EA" w:rsidRPr="001529FC" w14:paraId="088536D2"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79DE7F03" w14:textId="77777777" w:rsidR="001814EA" w:rsidRPr="001529FC" w:rsidRDefault="001814EA" w:rsidP="001814EA">
            <w:pPr>
              <w:rPr>
                <w:rFonts w:ascii="Aptos Narrow" w:hAnsi="Aptos Narrow"/>
                <w:color w:val="000000"/>
              </w:rPr>
            </w:pPr>
            <w:r w:rsidRPr="001529FC">
              <w:rPr>
                <w:rFonts w:ascii="Aptos Narrow" w:hAnsi="Aptos Narrow"/>
                <w:color w:val="000000"/>
              </w:rPr>
              <w:t>FHS</w:t>
            </w:r>
          </w:p>
        </w:tc>
        <w:tc>
          <w:tcPr>
            <w:tcW w:w="1134" w:type="dxa"/>
            <w:tcBorders>
              <w:top w:val="nil"/>
              <w:left w:val="nil"/>
              <w:bottom w:val="single" w:sz="4" w:space="0" w:color="auto"/>
              <w:right w:val="single" w:sz="4" w:space="0" w:color="auto"/>
            </w:tcBorders>
            <w:noWrap/>
            <w:vAlign w:val="center"/>
            <w:hideMark/>
          </w:tcPr>
          <w:p w14:paraId="67BB7E2A" w14:textId="309AB5EA" w:rsidR="001814EA" w:rsidRPr="001529FC" w:rsidRDefault="001814EA" w:rsidP="001814EA">
            <w:pPr>
              <w:jc w:val="right"/>
              <w:rPr>
                <w:rFonts w:ascii="Aptos Narrow" w:hAnsi="Aptos Narrow"/>
                <w:color w:val="000000"/>
              </w:rPr>
            </w:pPr>
            <w:r>
              <w:rPr>
                <w:rFonts w:ascii="Aptos Narrow" w:hAnsi="Aptos Narrow"/>
                <w:color w:val="000000"/>
              </w:rPr>
              <w:t>3 676,0</w:t>
            </w:r>
          </w:p>
        </w:tc>
        <w:tc>
          <w:tcPr>
            <w:tcW w:w="1304" w:type="dxa"/>
            <w:tcBorders>
              <w:top w:val="nil"/>
              <w:left w:val="nil"/>
              <w:bottom w:val="single" w:sz="4" w:space="0" w:color="auto"/>
              <w:right w:val="single" w:sz="4" w:space="0" w:color="auto"/>
            </w:tcBorders>
            <w:noWrap/>
            <w:vAlign w:val="center"/>
            <w:hideMark/>
          </w:tcPr>
          <w:p w14:paraId="1EE3F6A3" w14:textId="032E43BC" w:rsidR="001814EA" w:rsidRPr="001529FC" w:rsidRDefault="001814EA" w:rsidP="001814EA">
            <w:pPr>
              <w:jc w:val="right"/>
              <w:rPr>
                <w:rFonts w:ascii="Aptos Narrow" w:hAnsi="Aptos Narrow"/>
                <w:color w:val="000000"/>
              </w:rPr>
            </w:pPr>
            <w:r>
              <w:rPr>
                <w:rFonts w:ascii="Aptos Narrow" w:hAnsi="Aptos Narrow"/>
                <w:color w:val="000000"/>
              </w:rPr>
              <w:t>12 320,00</w:t>
            </w:r>
          </w:p>
        </w:tc>
        <w:tc>
          <w:tcPr>
            <w:tcW w:w="1304" w:type="dxa"/>
            <w:tcBorders>
              <w:top w:val="nil"/>
              <w:left w:val="nil"/>
              <w:bottom w:val="single" w:sz="4" w:space="0" w:color="auto"/>
              <w:right w:val="single" w:sz="4" w:space="0" w:color="auto"/>
            </w:tcBorders>
            <w:noWrap/>
            <w:vAlign w:val="center"/>
            <w:hideMark/>
          </w:tcPr>
          <w:p w14:paraId="2A799BD7" w14:textId="2CC7A88A" w:rsidR="001814EA" w:rsidRPr="001529FC" w:rsidRDefault="001814EA" w:rsidP="001814EA">
            <w:pPr>
              <w:jc w:val="right"/>
              <w:rPr>
                <w:rFonts w:ascii="Aptos Narrow" w:hAnsi="Aptos Narrow"/>
                <w:color w:val="000000"/>
              </w:rPr>
            </w:pPr>
            <w:r>
              <w:rPr>
                <w:rFonts w:ascii="Aptos Narrow" w:hAnsi="Aptos Narrow"/>
                <w:color w:val="000000"/>
              </w:rPr>
              <w:t>4 873,17</w:t>
            </w:r>
          </w:p>
        </w:tc>
        <w:tc>
          <w:tcPr>
            <w:tcW w:w="1757" w:type="dxa"/>
            <w:tcBorders>
              <w:top w:val="nil"/>
              <w:left w:val="nil"/>
              <w:bottom w:val="single" w:sz="4" w:space="0" w:color="auto"/>
              <w:right w:val="single" w:sz="4" w:space="0" w:color="auto"/>
            </w:tcBorders>
            <w:noWrap/>
            <w:vAlign w:val="center"/>
            <w:hideMark/>
          </w:tcPr>
          <w:p w14:paraId="165C4BAB" w14:textId="545B217D" w:rsidR="001814EA" w:rsidRPr="001529FC" w:rsidRDefault="001814EA" w:rsidP="001814EA">
            <w:pPr>
              <w:jc w:val="right"/>
              <w:rPr>
                <w:rFonts w:ascii="Aptos Narrow" w:hAnsi="Aptos Narrow"/>
                <w:color w:val="000000"/>
              </w:rPr>
            </w:pPr>
            <w:r>
              <w:rPr>
                <w:rFonts w:ascii="Aptos Narrow" w:hAnsi="Aptos Narrow"/>
                <w:color w:val="000000"/>
              </w:rPr>
              <w:t>8 062,82</w:t>
            </w:r>
          </w:p>
        </w:tc>
        <w:tc>
          <w:tcPr>
            <w:tcW w:w="1134" w:type="dxa"/>
            <w:tcBorders>
              <w:top w:val="nil"/>
              <w:left w:val="nil"/>
              <w:bottom w:val="single" w:sz="4" w:space="0" w:color="auto"/>
              <w:right w:val="single" w:sz="4" w:space="0" w:color="auto"/>
            </w:tcBorders>
            <w:noWrap/>
            <w:vAlign w:val="center"/>
            <w:hideMark/>
          </w:tcPr>
          <w:p w14:paraId="6DCF9A50" w14:textId="46A334EB" w:rsidR="001814EA" w:rsidRPr="001529FC" w:rsidRDefault="001814EA" w:rsidP="001814EA">
            <w:pPr>
              <w:jc w:val="right"/>
              <w:rPr>
                <w:rFonts w:ascii="Aptos Narrow" w:hAnsi="Aptos Narrow"/>
                <w:color w:val="000000"/>
              </w:rPr>
            </w:pPr>
            <w:r>
              <w:rPr>
                <w:rFonts w:ascii="Aptos Narrow" w:hAnsi="Aptos Narrow"/>
                <w:color w:val="000000"/>
              </w:rPr>
              <w:t>28 932,0</w:t>
            </w:r>
          </w:p>
        </w:tc>
        <w:tc>
          <w:tcPr>
            <w:tcW w:w="1304" w:type="dxa"/>
            <w:tcBorders>
              <w:top w:val="nil"/>
              <w:left w:val="nil"/>
              <w:bottom w:val="single" w:sz="4" w:space="0" w:color="auto"/>
              <w:right w:val="single" w:sz="4" w:space="0" w:color="auto"/>
            </w:tcBorders>
            <w:noWrap/>
            <w:vAlign w:val="center"/>
            <w:hideMark/>
          </w:tcPr>
          <w:p w14:paraId="505FDBEF" w14:textId="2C1B4261" w:rsidR="001814EA" w:rsidRPr="001529FC" w:rsidRDefault="001814EA" w:rsidP="001814EA">
            <w:pPr>
              <w:jc w:val="right"/>
              <w:rPr>
                <w:rFonts w:ascii="Aptos Narrow" w:hAnsi="Aptos Narrow"/>
                <w:color w:val="000000"/>
              </w:rPr>
            </w:pPr>
            <w:r>
              <w:rPr>
                <w:rFonts w:ascii="Aptos Narrow" w:hAnsi="Aptos Narrow"/>
                <w:color w:val="000000"/>
              </w:rPr>
              <w:t>16,13%</w:t>
            </w:r>
          </w:p>
        </w:tc>
      </w:tr>
      <w:tr w:rsidR="001814EA" w:rsidRPr="001529FC" w14:paraId="7F319F00"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7994C557" w14:textId="77777777" w:rsidR="001814EA" w:rsidRPr="001529FC" w:rsidRDefault="001814EA" w:rsidP="001814EA">
            <w:pPr>
              <w:rPr>
                <w:rFonts w:ascii="Aptos Narrow" w:hAnsi="Aptos Narrow"/>
                <w:color w:val="000000"/>
              </w:rPr>
            </w:pPr>
            <w:r w:rsidRPr="001529FC">
              <w:rPr>
                <w:rFonts w:ascii="Aptos Narrow" w:hAnsi="Aptos Narrow"/>
                <w:color w:val="000000"/>
              </w:rPr>
              <w:t>UNI</w:t>
            </w:r>
          </w:p>
        </w:tc>
        <w:tc>
          <w:tcPr>
            <w:tcW w:w="1134" w:type="dxa"/>
            <w:tcBorders>
              <w:top w:val="nil"/>
              <w:left w:val="nil"/>
              <w:bottom w:val="single" w:sz="4" w:space="0" w:color="auto"/>
              <w:right w:val="single" w:sz="4" w:space="0" w:color="auto"/>
            </w:tcBorders>
            <w:noWrap/>
            <w:vAlign w:val="center"/>
            <w:hideMark/>
          </w:tcPr>
          <w:p w14:paraId="5B639D81" w14:textId="3258697D" w:rsidR="001814EA" w:rsidRPr="001529FC" w:rsidRDefault="001814EA" w:rsidP="001814EA">
            <w:pPr>
              <w:jc w:val="right"/>
              <w:rPr>
                <w:rFonts w:ascii="Aptos Narrow" w:hAnsi="Aptos Narrow"/>
                <w:color w:val="000000"/>
              </w:rPr>
            </w:pPr>
            <w:r>
              <w:rPr>
                <w:rFonts w:ascii="Aptos Narrow" w:hAnsi="Aptos Narrow"/>
                <w:color w:val="000000"/>
              </w:rPr>
              <w:t>2 004,9</w:t>
            </w:r>
          </w:p>
        </w:tc>
        <w:tc>
          <w:tcPr>
            <w:tcW w:w="1304" w:type="dxa"/>
            <w:tcBorders>
              <w:top w:val="nil"/>
              <w:left w:val="nil"/>
              <w:bottom w:val="single" w:sz="4" w:space="0" w:color="auto"/>
              <w:right w:val="single" w:sz="4" w:space="0" w:color="auto"/>
            </w:tcBorders>
            <w:noWrap/>
            <w:vAlign w:val="center"/>
            <w:hideMark/>
          </w:tcPr>
          <w:p w14:paraId="179E444B" w14:textId="4A6BF19C" w:rsidR="001814EA" w:rsidRPr="001529FC" w:rsidRDefault="001814EA" w:rsidP="001814EA">
            <w:pPr>
              <w:jc w:val="right"/>
              <w:rPr>
                <w:rFonts w:ascii="Aptos Narrow" w:hAnsi="Aptos Narrow"/>
                <w:color w:val="000000"/>
              </w:rPr>
            </w:pPr>
            <w:r>
              <w:rPr>
                <w:rFonts w:ascii="Aptos Narrow" w:hAnsi="Aptos Narrow"/>
                <w:color w:val="000000"/>
              </w:rPr>
              <w:t>6 719,30</w:t>
            </w:r>
          </w:p>
        </w:tc>
        <w:tc>
          <w:tcPr>
            <w:tcW w:w="1304" w:type="dxa"/>
            <w:tcBorders>
              <w:top w:val="nil"/>
              <w:left w:val="nil"/>
              <w:bottom w:val="single" w:sz="4" w:space="0" w:color="auto"/>
              <w:right w:val="single" w:sz="4" w:space="0" w:color="auto"/>
            </w:tcBorders>
            <w:noWrap/>
            <w:vAlign w:val="center"/>
            <w:hideMark/>
          </w:tcPr>
          <w:p w14:paraId="2DAEB056" w14:textId="48086D73" w:rsidR="001814EA" w:rsidRPr="001529FC" w:rsidRDefault="001814EA" w:rsidP="001814EA">
            <w:pPr>
              <w:jc w:val="right"/>
              <w:rPr>
                <w:rFonts w:ascii="Aptos Narrow" w:hAnsi="Aptos Narrow"/>
                <w:color w:val="000000"/>
              </w:rPr>
            </w:pPr>
            <w:r>
              <w:rPr>
                <w:rFonts w:ascii="Aptos Narrow" w:hAnsi="Aptos Narrow"/>
                <w:color w:val="000000"/>
              </w:rPr>
              <w:t>2 657,82</w:t>
            </w:r>
          </w:p>
        </w:tc>
        <w:tc>
          <w:tcPr>
            <w:tcW w:w="1757" w:type="dxa"/>
            <w:tcBorders>
              <w:top w:val="nil"/>
              <w:left w:val="nil"/>
              <w:bottom w:val="single" w:sz="4" w:space="0" w:color="auto"/>
              <w:right w:val="single" w:sz="4" w:space="0" w:color="auto"/>
            </w:tcBorders>
            <w:noWrap/>
            <w:vAlign w:val="center"/>
            <w:hideMark/>
          </w:tcPr>
          <w:p w14:paraId="21AFAAD6" w14:textId="06693386" w:rsidR="001814EA" w:rsidRPr="001529FC" w:rsidRDefault="001814EA" w:rsidP="001814EA">
            <w:pPr>
              <w:jc w:val="right"/>
              <w:rPr>
                <w:rFonts w:ascii="Aptos Narrow" w:hAnsi="Aptos Narrow"/>
                <w:color w:val="000000"/>
              </w:rPr>
            </w:pPr>
            <w:r>
              <w:rPr>
                <w:rFonts w:ascii="Aptos Narrow" w:hAnsi="Aptos Narrow"/>
                <w:color w:val="000000"/>
              </w:rPr>
              <w:t>4 397,45</w:t>
            </w:r>
          </w:p>
        </w:tc>
        <w:tc>
          <w:tcPr>
            <w:tcW w:w="1134" w:type="dxa"/>
            <w:tcBorders>
              <w:top w:val="nil"/>
              <w:left w:val="nil"/>
              <w:bottom w:val="single" w:sz="4" w:space="0" w:color="auto"/>
              <w:right w:val="single" w:sz="4" w:space="0" w:color="auto"/>
            </w:tcBorders>
            <w:noWrap/>
            <w:vAlign w:val="center"/>
            <w:hideMark/>
          </w:tcPr>
          <w:p w14:paraId="6B39942E" w14:textId="1230D71F" w:rsidR="001814EA" w:rsidRPr="001529FC" w:rsidRDefault="001814EA" w:rsidP="001814EA">
            <w:pPr>
              <w:jc w:val="right"/>
              <w:rPr>
                <w:rFonts w:ascii="Aptos Narrow" w:hAnsi="Aptos Narrow"/>
                <w:color w:val="000000"/>
              </w:rPr>
            </w:pPr>
            <w:r>
              <w:rPr>
                <w:rFonts w:ascii="Aptos Narrow" w:hAnsi="Aptos Narrow"/>
                <w:color w:val="000000"/>
              </w:rPr>
              <w:t>15 779,5</w:t>
            </w:r>
          </w:p>
        </w:tc>
        <w:tc>
          <w:tcPr>
            <w:tcW w:w="1304" w:type="dxa"/>
            <w:tcBorders>
              <w:top w:val="nil"/>
              <w:left w:val="nil"/>
              <w:bottom w:val="single" w:sz="4" w:space="0" w:color="auto"/>
              <w:right w:val="single" w:sz="4" w:space="0" w:color="auto"/>
            </w:tcBorders>
            <w:noWrap/>
            <w:vAlign w:val="center"/>
            <w:hideMark/>
          </w:tcPr>
          <w:p w14:paraId="1AF68AA5" w14:textId="252927F6" w:rsidR="001814EA" w:rsidRPr="001529FC" w:rsidRDefault="001814EA" w:rsidP="001814EA">
            <w:pPr>
              <w:jc w:val="right"/>
              <w:rPr>
                <w:rFonts w:ascii="Aptos Narrow" w:hAnsi="Aptos Narrow"/>
                <w:color w:val="000000"/>
              </w:rPr>
            </w:pPr>
            <w:r>
              <w:rPr>
                <w:rFonts w:ascii="Aptos Narrow" w:hAnsi="Aptos Narrow"/>
                <w:color w:val="000000"/>
              </w:rPr>
              <w:t>8,79%</w:t>
            </w:r>
          </w:p>
        </w:tc>
      </w:tr>
      <w:tr w:rsidR="001814EA" w:rsidRPr="001529FC" w14:paraId="0922D88F" w14:textId="77777777" w:rsidTr="001814EA">
        <w:trPr>
          <w:trHeight w:val="340"/>
        </w:trPr>
        <w:tc>
          <w:tcPr>
            <w:tcW w:w="1134" w:type="dxa"/>
            <w:tcBorders>
              <w:top w:val="nil"/>
              <w:left w:val="single" w:sz="4" w:space="0" w:color="auto"/>
              <w:bottom w:val="single" w:sz="4" w:space="0" w:color="auto"/>
              <w:right w:val="single" w:sz="4" w:space="0" w:color="auto"/>
            </w:tcBorders>
            <w:vAlign w:val="center"/>
            <w:hideMark/>
          </w:tcPr>
          <w:p w14:paraId="521EE006" w14:textId="77777777" w:rsidR="001814EA" w:rsidRPr="001529FC" w:rsidRDefault="001814EA" w:rsidP="001814EA">
            <w:pPr>
              <w:rPr>
                <w:rFonts w:ascii="Aptos Narrow" w:hAnsi="Aptos Narrow"/>
                <w:color w:val="000000"/>
              </w:rPr>
            </w:pPr>
            <w:r w:rsidRPr="001529FC">
              <w:rPr>
                <w:rFonts w:ascii="Aptos Narrow" w:hAnsi="Aptos Narrow"/>
                <w:color w:val="000000"/>
              </w:rPr>
              <w:t>Knihovna</w:t>
            </w:r>
          </w:p>
        </w:tc>
        <w:tc>
          <w:tcPr>
            <w:tcW w:w="1134" w:type="dxa"/>
            <w:tcBorders>
              <w:top w:val="nil"/>
              <w:left w:val="nil"/>
              <w:bottom w:val="single" w:sz="4" w:space="0" w:color="auto"/>
              <w:right w:val="single" w:sz="4" w:space="0" w:color="auto"/>
            </w:tcBorders>
            <w:noWrap/>
            <w:vAlign w:val="center"/>
            <w:hideMark/>
          </w:tcPr>
          <w:p w14:paraId="05852F75" w14:textId="74F4DEC1" w:rsidR="001814EA" w:rsidRPr="001529FC" w:rsidRDefault="001814EA" w:rsidP="001814EA">
            <w:pPr>
              <w:jc w:val="right"/>
              <w:rPr>
                <w:rFonts w:ascii="Aptos Narrow" w:hAnsi="Aptos Narrow"/>
                <w:color w:val="000000"/>
              </w:rPr>
            </w:pPr>
            <w:r>
              <w:rPr>
                <w:rFonts w:ascii="Aptos Narrow" w:hAnsi="Aptos Narrow"/>
                <w:color w:val="000000"/>
              </w:rPr>
              <w:t>34,5</w:t>
            </w:r>
          </w:p>
        </w:tc>
        <w:tc>
          <w:tcPr>
            <w:tcW w:w="1304" w:type="dxa"/>
            <w:tcBorders>
              <w:top w:val="nil"/>
              <w:left w:val="nil"/>
              <w:bottom w:val="single" w:sz="4" w:space="0" w:color="auto"/>
              <w:right w:val="single" w:sz="4" w:space="0" w:color="auto"/>
            </w:tcBorders>
            <w:noWrap/>
            <w:vAlign w:val="center"/>
            <w:hideMark/>
          </w:tcPr>
          <w:p w14:paraId="617A56D8" w14:textId="6E8CF5BA" w:rsidR="001814EA" w:rsidRPr="001529FC" w:rsidRDefault="001814EA" w:rsidP="001814EA">
            <w:pPr>
              <w:jc w:val="right"/>
              <w:rPr>
                <w:rFonts w:ascii="Aptos Narrow" w:hAnsi="Aptos Narrow"/>
                <w:color w:val="000000"/>
              </w:rPr>
            </w:pPr>
            <w:r>
              <w:rPr>
                <w:rFonts w:ascii="Aptos Narrow" w:hAnsi="Aptos Narrow"/>
                <w:color w:val="000000"/>
              </w:rPr>
              <w:t>115,67</w:t>
            </w:r>
          </w:p>
        </w:tc>
        <w:tc>
          <w:tcPr>
            <w:tcW w:w="1304" w:type="dxa"/>
            <w:tcBorders>
              <w:top w:val="nil"/>
              <w:left w:val="nil"/>
              <w:bottom w:val="single" w:sz="4" w:space="0" w:color="auto"/>
              <w:right w:val="single" w:sz="4" w:space="0" w:color="auto"/>
            </w:tcBorders>
            <w:noWrap/>
            <w:vAlign w:val="center"/>
            <w:hideMark/>
          </w:tcPr>
          <w:p w14:paraId="2D629747" w14:textId="31746BA5" w:rsidR="001814EA" w:rsidRPr="001529FC" w:rsidRDefault="001814EA" w:rsidP="001814EA">
            <w:pPr>
              <w:jc w:val="right"/>
              <w:rPr>
                <w:rFonts w:ascii="Aptos Narrow" w:hAnsi="Aptos Narrow"/>
                <w:color w:val="000000"/>
              </w:rPr>
            </w:pPr>
            <w:r>
              <w:rPr>
                <w:rFonts w:ascii="Aptos Narrow" w:hAnsi="Aptos Narrow"/>
                <w:color w:val="000000"/>
              </w:rPr>
              <w:t>45,75</w:t>
            </w:r>
          </w:p>
        </w:tc>
        <w:tc>
          <w:tcPr>
            <w:tcW w:w="1757" w:type="dxa"/>
            <w:tcBorders>
              <w:top w:val="nil"/>
              <w:left w:val="nil"/>
              <w:bottom w:val="single" w:sz="4" w:space="0" w:color="auto"/>
              <w:right w:val="single" w:sz="4" w:space="0" w:color="auto"/>
            </w:tcBorders>
            <w:noWrap/>
            <w:vAlign w:val="center"/>
            <w:hideMark/>
          </w:tcPr>
          <w:p w14:paraId="3A524D78" w14:textId="26B9E376" w:rsidR="001814EA" w:rsidRPr="001529FC" w:rsidRDefault="001814EA" w:rsidP="001814EA">
            <w:pPr>
              <w:jc w:val="right"/>
              <w:rPr>
                <w:rFonts w:ascii="Aptos Narrow" w:hAnsi="Aptos Narrow"/>
                <w:color w:val="000000"/>
              </w:rPr>
            </w:pPr>
            <w:r>
              <w:rPr>
                <w:rFonts w:ascii="Aptos Narrow" w:hAnsi="Aptos Narrow"/>
                <w:color w:val="000000"/>
              </w:rPr>
              <w:t>75,70</w:t>
            </w:r>
          </w:p>
        </w:tc>
        <w:tc>
          <w:tcPr>
            <w:tcW w:w="1134" w:type="dxa"/>
            <w:tcBorders>
              <w:top w:val="nil"/>
              <w:left w:val="nil"/>
              <w:bottom w:val="single" w:sz="4" w:space="0" w:color="auto"/>
              <w:right w:val="single" w:sz="4" w:space="0" w:color="auto"/>
            </w:tcBorders>
            <w:noWrap/>
            <w:vAlign w:val="center"/>
            <w:hideMark/>
          </w:tcPr>
          <w:p w14:paraId="0272C3CC" w14:textId="7C6D11C8" w:rsidR="001814EA" w:rsidRPr="001529FC" w:rsidRDefault="001814EA" w:rsidP="001814EA">
            <w:pPr>
              <w:jc w:val="right"/>
              <w:rPr>
                <w:rFonts w:ascii="Aptos Narrow" w:hAnsi="Aptos Narrow"/>
                <w:color w:val="000000"/>
              </w:rPr>
            </w:pPr>
            <w:r>
              <w:rPr>
                <w:rFonts w:ascii="Aptos Narrow" w:hAnsi="Aptos Narrow"/>
                <w:color w:val="000000"/>
              </w:rPr>
              <w:t>271,6</w:t>
            </w:r>
          </w:p>
        </w:tc>
        <w:tc>
          <w:tcPr>
            <w:tcW w:w="1304" w:type="dxa"/>
            <w:tcBorders>
              <w:top w:val="nil"/>
              <w:left w:val="nil"/>
              <w:bottom w:val="single" w:sz="4" w:space="0" w:color="auto"/>
              <w:right w:val="single" w:sz="4" w:space="0" w:color="auto"/>
            </w:tcBorders>
            <w:noWrap/>
            <w:vAlign w:val="center"/>
            <w:hideMark/>
          </w:tcPr>
          <w:p w14:paraId="07CE1C5D" w14:textId="36EECFC7" w:rsidR="001814EA" w:rsidRPr="001529FC" w:rsidRDefault="001814EA" w:rsidP="001814EA">
            <w:pPr>
              <w:jc w:val="right"/>
              <w:rPr>
                <w:rFonts w:ascii="Aptos Narrow" w:hAnsi="Aptos Narrow"/>
                <w:color w:val="000000"/>
              </w:rPr>
            </w:pPr>
            <w:r>
              <w:rPr>
                <w:rFonts w:ascii="Aptos Narrow" w:hAnsi="Aptos Narrow"/>
                <w:color w:val="000000"/>
              </w:rPr>
              <w:t>0,15%</w:t>
            </w:r>
          </w:p>
        </w:tc>
      </w:tr>
      <w:tr w:rsidR="001814EA" w:rsidRPr="001529FC" w14:paraId="3ADD76D7" w14:textId="77777777" w:rsidTr="001814EA">
        <w:trPr>
          <w:trHeight w:val="320"/>
        </w:trPr>
        <w:tc>
          <w:tcPr>
            <w:tcW w:w="1134" w:type="dxa"/>
            <w:tcBorders>
              <w:top w:val="nil"/>
              <w:left w:val="single" w:sz="4" w:space="0" w:color="auto"/>
              <w:bottom w:val="single" w:sz="4" w:space="0" w:color="auto"/>
              <w:right w:val="single" w:sz="4" w:space="0" w:color="auto"/>
            </w:tcBorders>
            <w:noWrap/>
            <w:vAlign w:val="center"/>
            <w:hideMark/>
          </w:tcPr>
          <w:p w14:paraId="18DA95F9" w14:textId="77777777" w:rsidR="001814EA" w:rsidRPr="001529FC" w:rsidRDefault="001814EA" w:rsidP="001814EA">
            <w:pPr>
              <w:rPr>
                <w:rFonts w:ascii="Aptos Narrow" w:hAnsi="Aptos Narrow"/>
                <w:color w:val="000000"/>
              </w:rPr>
            </w:pPr>
            <w:r w:rsidRPr="001529FC">
              <w:rPr>
                <w:rFonts w:ascii="Aptos Narrow" w:hAnsi="Aptos Narrow"/>
                <w:color w:val="000000"/>
              </w:rPr>
              <w:t>KMZ</w:t>
            </w:r>
          </w:p>
        </w:tc>
        <w:tc>
          <w:tcPr>
            <w:tcW w:w="1134" w:type="dxa"/>
            <w:tcBorders>
              <w:top w:val="nil"/>
              <w:left w:val="nil"/>
              <w:bottom w:val="single" w:sz="4" w:space="0" w:color="auto"/>
              <w:right w:val="single" w:sz="4" w:space="0" w:color="auto"/>
            </w:tcBorders>
            <w:noWrap/>
            <w:vAlign w:val="center"/>
            <w:hideMark/>
          </w:tcPr>
          <w:p w14:paraId="14B8263D" w14:textId="51F827AE" w:rsidR="001814EA" w:rsidRPr="001529FC" w:rsidRDefault="001814EA" w:rsidP="001814EA">
            <w:pPr>
              <w:jc w:val="right"/>
              <w:rPr>
                <w:rFonts w:ascii="Aptos Narrow" w:hAnsi="Aptos Narrow"/>
                <w:color w:val="000000"/>
              </w:rPr>
            </w:pPr>
            <w:r>
              <w:rPr>
                <w:rFonts w:ascii="Aptos Narrow" w:hAnsi="Aptos Narrow"/>
                <w:color w:val="000000"/>
              </w:rPr>
              <w:t>0,0</w:t>
            </w:r>
          </w:p>
        </w:tc>
        <w:tc>
          <w:tcPr>
            <w:tcW w:w="1304" w:type="dxa"/>
            <w:tcBorders>
              <w:top w:val="nil"/>
              <w:left w:val="nil"/>
              <w:bottom w:val="single" w:sz="4" w:space="0" w:color="auto"/>
              <w:right w:val="single" w:sz="4" w:space="0" w:color="auto"/>
            </w:tcBorders>
            <w:noWrap/>
            <w:vAlign w:val="center"/>
            <w:hideMark/>
          </w:tcPr>
          <w:p w14:paraId="779FA841" w14:textId="51206A1A" w:rsidR="001814EA" w:rsidRPr="001529FC" w:rsidRDefault="001814EA" w:rsidP="001814EA">
            <w:pPr>
              <w:jc w:val="right"/>
              <w:rPr>
                <w:rFonts w:ascii="Aptos Narrow" w:hAnsi="Aptos Narrow"/>
              </w:rPr>
            </w:pPr>
            <w:r>
              <w:rPr>
                <w:rFonts w:ascii="Aptos Narrow" w:hAnsi="Aptos Narrow"/>
              </w:rPr>
              <w:t>0,0</w:t>
            </w:r>
          </w:p>
        </w:tc>
        <w:tc>
          <w:tcPr>
            <w:tcW w:w="1304" w:type="dxa"/>
            <w:tcBorders>
              <w:top w:val="nil"/>
              <w:left w:val="nil"/>
              <w:bottom w:val="single" w:sz="4" w:space="0" w:color="auto"/>
              <w:right w:val="single" w:sz="4" w:space="0" w:color="auto"/>
            </w:tcBorders>
            <w:noWrap/>
            <w:vAlign w:val="center"/>
            <w:hideMark/>
          </w:tcPr>
          <w:p w14:paraId="4306CB5C" w14:textId="3C714EEE" w:rsidR="001814EA" w:rsidRPr="001529FC" w:rsidRDefault="001814EA" w:rsidP="001814EA">
            <w:pPr>
              <w:jc w:val="right"/>
              <w:rPr>
                <w:rFonts w:ascii="Aptos Narrow" w:hAnsi="Aptos Narrow"/>
                <w:color w:val="000000"/>
              </w:rPr>
            </w:pPr>
            <w:r>
              <w:rPr>
                <w:rFonts w:ascii="Aptos Narrow" w:hAnsi="Aptos Narrow"/>
                <w:color w:val="000000"/>
              </w:rPr>
              <w:t> 0,0</w:t>
            </w:r>
          </w:p>
        </w:tc>
        <w:tc>
          <w:tcPr>
            <w:tcW w:w="1757" w:type="dxa"/>
            <w:tcBorders>
              <w:top w:val="nil"/>
              <w:left w:val="nil"/>
              <w:bottom w:val="single" w:sz="4" w:space="0" w:color="auto"/>
              <w:right w:val="single" w:sz="4" w:space="0" w:color="auto"/>
            </w:tcBorders>
            <w:noWrap/>
            <w:vAlign w:val="center"/>
            <w:hideMark/>
          </w:tcPr>
          <w:p w14:paraId="76B46B19" w14:textId="3A63ECF3" w:rsidR="001814EA" w:rsidRPr="001529FC" w:rsidRDefault="001814EA" w:rsidP="001814EA">
            <w:pPr>
              <w:jc w:val="right"/>
              <w:rPr>
                <w:rFonts w:ascii="Aptos Narrow" w:hAnsi="Aptos Narrow"/>
                <w:color w:val="000000"/>
              </w:rPr>
            </w:pPr>
            <w:r>
              <w:rPr>
                <w:rFonts w:ascii="Aptos Narrow" w:hAnsi="Aptos Narrow"/>
                <w:color w:val="000000"/>
              </w:rPr>
              <w:t> 0,0</w:t>
            </w:r>
          </w:p>
        </w:tc>
        <w:tc>
          <w:tcPr>
            <w:tcW w:w="1134" w:type="dxa"/>
            <w:tcBorders>
              <w:top w:val="nil"/>
              <w:left w:val="nil"/>
              <w:bottom w:val="single" w:sz="4" w:space="0" w:color="auto"/>
              <w:right w:val="single" w:sz="4" w:space="0" w:color="auto"/>
            </w:tcBorders>
            <w:noWrap/>
            <w:vAlign w:val="center"/>
            <w:hideMark/>
          </w:tcPr>
          <w:p w14:paraId="027DA6C1" w14:textId="038275C9" w:rsidR="001814EA" w:rsidRPr="001529FC" w:rsidRDefault="001814EA" w:rsidP="001814EA">
            <w:pPr>
              <w:jc w:val="right"/>
              <w:rPr>
                <w:rFonts w:ascii="Aptos Narrow" w:hAnsi="Aptos Narrow"/>
                <w:color w:val="000000"/>
              </w:rPr>
            </w:pPr>
            <w:r>
              <w:rPr>
                <w:rFonts w:ascii="Aptos Narrow" w:hAnsi="Aptos Narrow"/>
                <w:color w:val="000000"/>
              </w:rPr>
              <w:t>0,0</w:t>
            </w:r>
          </w:p>
        </w:tc>
        <w:tc>
          <w:tcPr>
            <w:tcW w:w="1304" w:type="dxa"/>
            <w:tcBorders>
              <w:top w:val="nil"/>
              <w:left w:val="nil"/>
              <w:bottom w:val="single" w:sz="4" w:space="0" w:color="auto"/>
              <w:right w:val="single" w:sz="4" w:space="0" w:color="auto"/>
            </w:tcBorders>
            <w:noWrap/>
            <w:vAlign w:val="center"/>
            <w:hideMark/>
          </w:tcPr>
          <w:p w14:paraId="2972F994" w14:textId="2F8C9920" w:rsidR="001814EA" w:rsidRPr="001529FC" w:rsidRDefault="001814EA" w:rsidP="001814EA">
            <w:pPr>
              <w:jc w:val="right"/>
              <w:rPr>
                <w:rFonts w:ascii="Aptos Narrow" w:hAnsi="Aptos Narrow"/>
                <w:color w:val="000000"/>
              </w:rPr>
            </w:pPr>
            <w:r>
              <w:rPr>
                <w:rFonts w:ascii="Aptos Narrow" w:hAnsi="Aptos Narrow"/>
                <w:color w:val="000000"/>
              </w:rPr>
              <w:t>0,00</w:t>
            </w:r>
          </w:p>
        </w:tc>
      </w:tr>
      <w:tr w:rsidR="001814EA" w:rsidRPr="001529FC" w14:paraId="1B372ADE" w14:textId="77777777" w:rsidTr="001814EA">
        <w:trPr>
          <w:trHeight w:val="320"/>
        </w:trPr>
        <w:tc>
          <w:tcPr>
            <w:tcW w:w="1134" w:type="dxa"/>
            <w:tcBorders>
              <w:top w:val="nil"/>
              <w:left w:val="single" w:sz="4" w:space="0" w:color="auto"/>
              <w:bottom w:val="single" w:sz="4" w:space="0" w:color="auto"/>
              <w:right w:val="single" w:sz="4" w:space="0" w:color="auto"/>
            </w:tcBorders>
            <w:noWrap/>
            <w:vAlign w:val="center"/>
            <w:hideMark/>
          </w:tcPr>
          <w:p w14:paraId="5D24D8F1" w14:textId="77777777" w:rsidR="001814EA" w:rsidRPr="001529FC" w:rsidRDefault="001814EA" w:rsidP="001814EA">
            <w:pPr>
              <w:rPr>
                <w:rFonts w:ascii="Aptos Narrow" w:hAnsi="Aptos Narrow"/>
                <w:b/>
                <w:bCs/>
                <w:color w:val="000000"/>
              </w:rPr>
            </w:pPr>
            <w:r w:rsidRPr="001529FC">
              <w:rPr>
                <w:rFonts w:ascii="Aptos Narrow" w:hAnsi="Aptos Narrow"/>
                <w:b/>
                <w:bCs/>
                <w:color w:val="000000"/>
              </w:rPr>
              <w:t>Celkem</w:t>
            </w:r>
          </w:p>
        </w:tc>
        <w:tc>
          <w:tcPr>
            <w:tcW w:w="1134" w:type="dxa"/>
            <w:tcBorders>
              <w:top w:val="nil"/>
              <w:left w:val="nil"/>
              <w:bottom w:val="single" w:sz="4" w:space="0" w:color="auto"/>
              <w:right w:val="single" w:sz="4" w:space="0" w:color="auto"/>
            </w:tcBorders>
            <w:noWrap/>
            <w:vAlign w:val="center"/>
            <w:hideMark/>
          </w:tcPr>
          <w:p w14:paraId="69A37049" w14:textId="261EC61A" w:rsidR="001814EA" w:rsidRPr="001529FC" w:rsidRDefault="001814EA" w:rsidP="001814EA">
            <w:pPr>
              <w:jc w:val="right"/>
              <w:rPr>
                <w:rFonts w:ascii="Aptos Narrow" w:hAnsi="Aptos Narrow"/>
                <w:b/>
                <w:bCs/>
                <w:color w:val="000000"/>
              </w:rPr>
            </w:pPr>
            <w:r>
              <w:rPr>
                <w:rFonts w:ascii="Aptos Narrow" w:hAnsi="Aptos Narrow"/>
                <w:b/>
                <w:bCs/>
                <w:color w:val="000000"/>
              </w:rPr>
              <w:t>22 796</w:t>
            </w:r>
          </w:p>
        </w:tc>
        <w:tc>
          <w:tcPr>
            <w:tcW w:w="1304" w:type="dxa"/>
            <w:tcBorders>
              <w:top w:val="nil"/>
              <w:left w:val="nil"/>
              <w:bottom w:val="single" w:sz="4" w:space="0" w:color="auto"/>
              <w:right w:val="single" w:sz="4" w:space="0" w:color="auto"/>
            </w:tcBorders>
            <w:noWrap/>
            <w:vAlign w:val="center"/>
            <w:hideMark/>
          </w:tcPr>
          <w:p w14:paraId="3E179F73" w14:textId="4BA2696B" w:rsidR="001814EA" w:rsidRPr="001529FC" w:rsidRDefault="001814EA" w:rsidP="001814EA">
            <w:pPr>
              <w:jc w:val="right"/>
              <w:rPr>
                <w:rFonts w:ascii="Aptos Narrow" w:hAnsi="Aptos Narrow"/>
                <w:b/>
                <w:bCs/>
                <w:color w:val="000000"/>
              </w:rPr>
            </w:pPr>
            <w:r>
              <w:rPr>
                <w:rFonts w:ascii="Aptos Narrow" w:hAnsi="Aptos Narrow"/>
                <w:b/>
                <w:bCs/>
                <w:color w:val="000000"/>
              </w:rPr>
              <w:t>76 400</w:t>
            </w:r>
          </w:p>
        </w:tc>
        <w:tc>
          <w:tcPr>
            <w:tcW w:w="1304" w:type="dxa"/>
            <w:tcBorders>
              <w:top w:val="nil"/>
              <w:left w:val="nil"/>
              <w:bottom w:val="single" w:sz="4" w:space="0" w:color="auto"/>
              <w:right w:val="single" w:sz="4" w:space="0" w:color="auto"/>
            </w:tcBorders>
            <w:noWrap/>
            <w:vAlign w:val="center"/>
            <w:hideMark/>
          </w:tcPr>
          <w:p w14:paraId="2B4CCD14" w14:textId="5E1C2FB8" w:rsidR="001814EA" w:rsidRPr="001529FC" w:rsidRDefault="001814EA" w:rsidP="001814EA">
            <w:pPr>
              <w:jc w:val="right"/>
              <w:rPr>
                <w:rFonts w:ascii="Aptos Narrow" w:hAnsi="Aptos Narrow"/>
                <w:b/>
                <w:bCs/>
                <w:color w:val="000000"/>
              </w:rPr>
            </w:pPr>
            <w:r>
              <w:rPr>
                <w:rFonts w:ascii="Aptos Narrow" w:hAnsi="Aptos Narrow"/>
                <w:b/>
                <w:bCs/>
                <w:color w:val="000000"/>
              </w:rPr>
              <w:t>30 220</w:t>
            </w:r>
          </w:p>
        </w:tc>
        <w:tc>
          <w:tcPr>
            <w:tcW w:w="1757" w:type="dxa"/>
            <w:tcBorders>
              <w:top w:val="nil"/>
              <w:left w:val="nil"/>
              <w:bottom w:val="single" w:sz="4" w:space="0" w:color="auto"/>
              <w:right w:val="single" w:sz="4" w:space="0" w:color="auto"/>
            </w:tcBorders>
            <w:noWrap/>
            <w:vAlign w:val="center"/>
            <w:hideMark/>
          </w:tcPr>
          <w:p w14:paraId="3C644AFD" w14:textId="40E53DE1" w:rsidR="001814EA" w:rsidRPr="001529FC" w:rsidRDefault="001814EA" w:rsidP="001814EA">
            <w:pPr>
              <w:jc w:val="right"/>
              <w:rPr>
                <w:rFonts w:ascii="Aptos Narrow" w:hAnsi="Aptos Narrow"/>
                <w:b/>
                <w:bCs/>
                <w:color w:val="000000"/>
              </w:rPr>
            </w:pPr>
            <w:r>
              <w:rPr>
                <w:rFonts w:ascii="Aptos Narrow" w:hAnsi="Aptos Narrow"/>
                <w:b/>
                <w:bCs/>
                <w:color w:val="000000"/>
              </w:rPr>
              <w:t>50 000</w:t>
            </w:r>
          </w:p>
        </w:tc>
        <w:tc>
          <w:tcPr>
            <w:tcW w:w="1134" w:type="dxa"/>
            <w:tcBorders>
              <w:top w:val="nil"/>
              <w:left w:val="nil"/>
              <w:bottom w:val="single" w:sz="4" w:space="0" w:color="auto"/>
              <w:right w:val="single" w:sz="4" w:space="0" w:color="auto"/>
            </w:tcBorders>
            <w:noWrap/>
            <w:vAlign w:val="center"/>
            <w:hideMark/>
          </w:tcPr>
          <w:p w14:paraId="6E9D93C4" w14:textId="18859DDB" w:rsidR="001814EA" w:rsidRPr="001529FC" w:rsidRDefault="001814EA" w:rsidP="001814EA">
            <w:pPr>
              <w:jc w:val="right"/>
              <w:rPr>
                <w:rFonts w:ascii="Aptos Narrow" w:hAnsi="Aptos Narrow"/>
                <w:b/>
                <w:bCs/>
                <w:color w:val="000000"/>
              </w:rPr>
            </w:pPr>
            <w:r>
              <w:rPr>
                <w:rFonts w:ascii="Aptos Narrow" w:hAnsi="Aptos Narrow"/>
                <w:b/>
                <w:bCs/>
                <w:color w:val="000000"/>
              </w:rPr>
              <w:t>179 416</w:t>
            </w:r>
          </w:p>
        </w:tc>
        <w:tc>
          <w:tcPr>
            <w:tcW w:w="1304" w:type="dxa"/>
            <w:tcBorders>
              <w:top w:val="nil"/>
              <w:left w:val="nil"/>
              <w:bottom w:val="single" w:sz="4" w:space="0" w:color="auto"/>
              <w:right w:val="single" w:sz="4" w:space="0" w:color="auto"/>
            </w:tcBorders>
            <w:noWrap/>
            <w:vAlign w:val="center"/>
            <w:hideMark/>
          </w:tcPr>
          <w:p w14:paraId="2E3AA776" w14:textId="46E16D06" w:rsidR="001814EA" w:rsidRPr="001529FC" w:rsidRDefault="001814EA" w:rsidP="001814EA">
            <w:pPr>
              <w:jc w:val="right"/>
              <w:rPr>
                <w:rFonts w:ascii="Aptos Narrow" w:hAnsi="Aptos Narrow"/>
                <w:b/>
                <w:bCs/>
                <w:color w:val="000000"/>
              </w:rPr>
            </w:pPr>
            <w:r>
              <w:rPr>
                <w:rFonts w:ascii="Aptos Narrow" w:hAnsi="Aptos Narrow"/>
                <w:b/>
                <w:bCs/>
                <w:color w:val="000000"/>
              </w:rPr>
              <w:t>100,00</w:t>
            </w:r>
          </w:p>
        </w:tc>
      </w:tr>
    </w:tbl>
    <w:p w14:paraId="7E746D34" w14:textId="77777777" w:rsidR="001529FC" w:rsidRPr="00102316" w:rsidRDefault="001529FC" w:rsidP="00B711D9">
      <w:pPr>
        <w:pStyle w:val="RozpocetOdstavec"/>
        <w:rPr>
          <w:color w:val="00B050"/>
        </w:rPr>
      </w:pPr>
    </w:p>
    <w:p w14:paraId="5B5BA252" w14:textId="77777777" w:rsidR="00FC784D" w:rsidRDefault="00FC784D" w:rsidP="00B711D9">
      <w:pPr>
        <w:pStyle w:val="RozpocetOdstavec"/>
        <w:sectPr w:rsidR="00FC784D" w:rsidSect="00C64138">
          <w:pgSz w:w="11906" w:h="16838"/>
          <w:pgMar w:top="1417" w:right="1417" w:bottom="1417" w:left="1417" w:header="708" w:footer="708" w:gutter="0"/>
          <w:cols w:space="708"/>
          <w:titlePg/>
          <w:docGrid w:linePitch="360"/>
        </w:sectPr>
      </w:pPr>
    </w:p>
    <w:p w14:paraId="656F0319" w14:textId="77777777" w:rsidR="00A30E4E" w:rsidRDefault="00A30E4E" w:rsidP="00A30E4E">
      <w:pPr>
        <w:pStyle w:val="RozpocetNadpis1"/>
      </w:pPr>
      <w:bookmarkStart w:id="71" w:name="_Toc228824364"/>
      <w:r>
        <w:lastRenderedPageBreak/>
        <w:t>Čerpání finančních prostředků</w:t>
      </w:r>
      <w:bookmarkEnd w:id="71"/>
    </w:p>
    <w:p w14:paraId="3D6CBF4E" w14:textId="6EA4B070" w:rsidR="002355AD" w:rsidRPr="000A20AA" w:rsidRDefault="009D3AE1" w:rsidP="002355AD">
      <w:pPr>
        <w:pStyle w:val="RozpocetOdstavec"/>
      </w:pPr>
      <w:r w:rsidRPr="000A20AA">
        <w:t>Součásti hospodaří s přidělenými finančními prostředky samostatně. Při hospodaření                       s přidělenými prostředky musí součásti respektovat jejich účelovost, efektivnost                                  a hospodárnost.</w:t>
      </w:r>
    </w:p>
    <w:p w14:paraId="2168689F" w14:textId="77777777" w:rsidR="009D3AE1" w:rsidRDefault="009D3AE1" w:rsidP="002355AD">
      <w:pPr>
        <w:pStyle w:val="RozpocetOdstavec"/>
      </w:pPr>
    </w:p>
    <w:p w14:paraId="0FF3D6B3" w14:textId="77777777" w:rsidR="00A30E4E" w:rsidRDefault="00A30E4E" w:rsidP="00A30E4E">
      <w:pPr>
        <w:pStyle w:val="RozpocetNadpis2"/>
      </w:pPr>
      <w:bookmarkStart w:id="72" w:name="_Toc228824365"/>
      <w:r>
        <w:t>Počáteční nastavení financí ve fondech</w:t>
      </w:r>
      <w:bookmarkEnd w:id="72"/>
    </w:p>
    <w:p w14:paraId="43E06EAE" w14:textId="77777777" w:rsidR="009D3AE1" w:rsidRPr="000A20AA" w:rsidRDefault="009D3AE1" w:rsidP="009D3AE1">
      <w:pPr>
        <w:pStyle w:val="RozpocetOdstavec"/>
      </w:pPr>
      <w:r w:rsidRPr="000A20AA">
        <w:t>Počáteční stav roku 2026 ve finančních fondech UTB je dán stavem fondů dle účetní závěrky ke dni 31. prosince 2025. UTB jako celek má k dispozici finanční rezervy.</w:t>
      </w:r>
    </w:p>
    <w:p w14:paraId="1402D08C" w14:textId="77777777" w:rsidR="009D3AE1" w:rsidRPr="000A20AA" w:rsidRDefault="009D3AE1" w:rsidP="009D3AE1">
      <w:pPr>
        <w:pStyle w:val="RozpocetOdstavec"/>
      </w:pPr>
    </w:p>
    <w:p w14:paraId="4B073B56" w14:textId="77777777" w:rsidR="009D3AE1" w:rsidRPr="000A20AA" w:rsidRDefault="009D3AE1" w:rsidP="009D3AE1">
      <w:pPr>
        <w:pStyle w:val="RozpocetOdstavec"/>
      </w:pPr>
      <w:r w:rsidRPr="000A20AA">
        <w:t>Jednotlivé součásti budou mít podle analytického výkaznictví k 1. 1. 2026 k dispozici zůstatky v dalších fondech UTB:</w:t>
      </w:r>
    </w:p>
    <w:p w14:paraId="6F7C4016" w14:textId="77777777" w:rsidR="009D3AE1" w:rsidRPr="000A20AA" w:rsidRDefault="009D3AE1" w:rsidP="009D3AE1">
      <w:pPr>
        <w:pStyle w:val="Odstavecseseznamem"/>
        <w:numPr>
          <w:ilvl w:val="0"/>
          <w:numId w:val="8"/>
        </w:numPr>
      </w:pPr>
      <w:r w:rsidRPr="000A20AA">
        <w:t>fond odměn,</w:t>
      </w:r>
    </w:p>
    <w:p w14:paraId="0CB370C6" w14:textId="77777777" w:rsidR="009D3AE1" w:rsidRPr="000A20AA" w:rsidRDefault="009D3AE1" w:rsidP="009D3AE1">
      <w:pPr>
        <w:pStyle w:val="Odstavecseseznamem"/>
        <w:numPr>
          <w:ilvl w:val="0"/>
          <w:numId w:val="8"/>
        </w:numPr>
      </w:pPr>
      <w:r w:rsidRPr="000A20AA">
        <w:t>stipendijní fond,</w:t>
      </w:r>
    </w:p>
    <w:p w14:paraId="5AFA1B3E" w14:textId="77777777" w:rsidR="009D3AE1" w:rsidRPr="000A20AA" w:rsidRDefault="009D3AE1" w:rsidP="009D3AE1">
      <w:pPr>
        <w:pStyle w:val="Odstavecseseznamem"/>
        <w:numPr>
          <w:ilvl w:val="0"/>
          <w:numId w:val="8"/>
        </w:numPr>
      </w:pPr>
      <w:r w:rsidRPr="000A20AA">
        <w:t>fond reprodukce investičního majetku,</w:t>
      </w:r>
    </w:p>
    <w:p w14:paraId="47F40605" w14:textId="77777777" w:rsidR="009D3AE1" w:rsidRPr="000A20AA" w:rsidRDefault="009D3AE1" w:rsidP="009D3AE1">
      <w:pPr>
        <w:pStyle w:val="Odstavecseseznamem"/>
        <w:numPr>
          <w:ilvl w:val="0"/>
          <w:numId w:val="8"/>
        </w:numPr>
      </w:pPr>
      <w:r w:rsidRPr="000A20AA">
        <w:t>fond provozních prostředků,</w:t>
      </w:r>
    </w:p>
    <w:p w14:paraId="7797C840" w14:textId="77777777" w:rsidR="009D3AE1" w:rsidRPr="000A20AA" w:rsidRDefault="009D3AE1" w:rsidP="009D3AE1">
      <w:pPr>
        <w:pStyle w:val="Odstavecseseznamem"/>
        <w:numPr>
          <w:ilvl w:val="0"/>
          <w:numId w:val="8"/>
        </w:numPr>
      </w:pPr>
      <w:r w:rsidRPr="000A20AA">
        <w:t>fond sociální,</w:t>
      </w:r>
    </w:p>
    <w:p w14:paraId="14EA48AC" w14:textId="77777777" w:rsidR="009D3AE1" w:rsidRPr="000A20AA" w:rsidRDefault="009D3AE1" w:rsidP="009D3AE1">
      <w:pPr>
        <w:pStyle w:val="Odstavecseseznamem"/>
        <w:numPr>
          <w:ilvl w:val="0"/>
          <w:numId w:val="8"/>
        </w:numPr>
      </w:pPr>
      <w:r w:rsidRPr="000A20AA">
        <w:t>fond účelově určených prostředků.</w:t>
      </w:r>
    </w:p>
    <w:p w14:paraId="7AF2A70D" w14:textId="77777777" w:rsidR="009D3AE1" w:rsidRPr="000A20AA" w:rsidRDefault="009D3AE1" w:rsidP="009D3AE1">
      <w:pPr>
        <w:pStyle w:val="RozpocetOdstavec"/>
      </w:pPr>
    </w:p>
    <w:p w14:paraId="49FFA33F" w14:textId="77777777" w:rsidR="009D3AE1" w:rsidRPr="000A20AA" w:rsidRDefault="009D3AE1" w:rsidP="009D3AE1">
      <w:pPr>
        <w:pStyle w:val="RozpocetOdstavec"/>
      </w:pPr>
      <w:r w:rsidRPr="000A20AA">
        <w:t>Hospodářské výsledky součástí budou navrženy (po finančním vypořádání se státním rozpočtem za rok 2025 a odsouhlasení výsledků hospodaření na MŠMT) k převodu do fondu reprodukce investičního majetku, pokud nebude organizační jednotka požadovat jinak.</w:t>
      </w:r>
    </w:p>
    <w:p w14:paraId="4B7F16E9" w14:textId="77777777" w:rsidR="007555B1" w:rsidRDefault="007555B1" w:rsidP="009D3AE1">
      <w:pPr>
        <w:pStyle w:val="RozpocetOdstavec"/>
        <w:rPr>
          <w:color w:val="00B050"/>
        </w:rPr>
      </w:pPr>
    </w:p>
    <w:p w14:paraId="7D3F70DF" w14:textId="77777777" w:rsidR="007555B1" w:rsidRDefault="007555B1" w:rsidP="007555B1">
      <w:pPr>
        <w:pStyle w:val="RozpoetNadpis3"/>
      </w:pPr>
      <w:bookmarkStart w:id="73" w:name="_Toc155555637"/>
      <w:bookmarkStart w:id="74" w:name="_Toc218018990"/>
      <w:bookmarkStart w:id="75" w:name="_Toc228824366"/>
      <w:r>
        <w:t>Tvorba sociálního fondu</w:t>
      </w:r>
      <w:bookmarkEnd w:id="73"/>
      <w:bookmarkEnd w:id="74"/>
      <w:bookmarkEnd w:id="75"/>
    </w:p>
    <w:p w14:paraId="05DA25A2" w14:textId="77777777" w:rsidR="007555B1" w:rsidRPr="000A20AA" w:rsidRDefault="007555B1" w:rsidP="007555B1">
      <w:pPr>
        <w:pStyle w:val="RozpocetOdstavec"/>
      </w:pPr>
      <w:r w:rsidRPr="000A20AA">
        <w:t>V souladu s interními předpisy bude na součástech vytvářen sociální fond ve výši max. 1,0 % vyplacených mezd určený výhradně pro krytí těchto zaměstnavatelem vyplácených příspěvků:</w:t>
      </w:r>
    </w:p>
    <w:p w14:paraId="1CE26CD4" w14:textId="77777777" w:rsidR="007555B1" w:rsidRPr="000A20AA" w:rsidRDefault="007555B1" w:rsidP="007555B1">
      <w:pPr>
        <w:pStyle w:val="Odstavecseseznamem"/>
        <w:numPr>
          <w:ilvl w:val="0"/>
          <w:numId w:val="29"/>
        </w:numPr>
        <w:jc w:val="both"/>
      </w:pPr>
      <w:r w:rsidRPr="000A20AA">
        <w:t>příspěvek zaměstnanci na penzijní připojištění a penzijní pojištění se státním příspěvkem,</w:t>
      </w:r>
    </w:p>
    <w:p w14:paraId="673FCF43" w14:textId="77777777" w:rsidR="000A20AA" w:rsidRPr="000A20AA" w:rsidRDefault="007555B1" w:rsidP="000A20AA">
      <w:pPr>
        <w:pStyle w:val="Odstavecseseznamem"/>
        <w:numPr>
          <w:ilvl w:val="0"/>
          <w:numId w:val="29"/>
        </w:numPr>
        <w:jc w:val="both"/>
      </w:pPr>
      <w:r w:rsidRPr="000A20AA">
        <w:t>příspěvek na penzijní připojištění a penzijní pojištění poukázaný ve prospěch zaměstnance,</w:t>
      </w:r>
    </w:p>
    <w:p w14:paraId="0D4E451E" w14:textId="15FF3CCC" w:rsidR="000A20AA" w:rsidRDefault="000A20AA" w:rsidP="000A20AA">
      <w:pPr>
        <w:pStyle w:val="Odstavecseseznamem"/>
        <w:numPr>
          <w:ilvl w:val="0"/>
          <w:numId w:val="29"/>
        </w:numPr>
        <w:jc w:val="both"/>
      </w:pPr>
      <w:r>
        <w:t xml:space="preserve">příspěvek na DIP poukázaný ve prospěch zaměstnance na dlouhodobý investiční produkt na stáří sjednaného u poskytovatele DIP, který je zapsán </w:t>
      </w:r>
      <w:r w:rsidRPr="008D3CE1">
        <w:t xml:space="preserve">v </w:t>
      </w:r>
      <w:r w:rsidRPr="000A20AA">
        <w:rPr>
          <w:color w:val="000000"/>
        </w:rPr>
        <w:t> </w:t>
      </w:r>
      <w:hyperlink r:id="rId15" w:history="1"/>
      <w:hyperlink r:id="rId16" w:history="1">
        <w:r w:rsidRPr="000A20AA">
          <w:rPr>
            <w:rStyle w:val="Hypertextovodkaz"/>
            <w:color w:val="auto"/>
            <w:u w:val="none"/>
          </w:rPr>
          <w:t>seznamu poskytovatelů DIP vedeném Českou národní bankou</w:t>
        </w:r>
      </w:hyperlink>
      <w:r w:rsidRPr="000A20AA">
        <w:t xml:space="preserve">, </w:t>
      </w:r>
      <w:r>
        <w:t xml:space="preserve"> za podmínky, že k výběru prostředků z DIP nedojde dříve než po 10 letech (120 měsících) od vzniku DIP a nejdříve v roce, kdy zaměstnanec dosáhne věku 60 let,</w:t>
      </w:r>
    </w:p>
    <w:p w14:paraId="3D592A17" w14:textId="51E81483" w:rsidR="005801EC" w:rsidRPr="000A20AA" w:rsidRDefault="007555B1" w:rsidP="009D3AE1">
      <w:pPr>
        <w:pStyle w:val="Odstavecseseznamem"/>
        <w:numPr>
          <w:ilvl w:val="0"/>
          <w:numId w:val="29"/>
        </w:numPr>
        <w:jc w:val="both"/>
      </w:pPr>
      <w:r w:rsidRPr="000A20AA">
        <w:t>příspěvek na nepeněžní plnění poskytované ve formě benefitních karet nabitých příspěvkem ve formě bodů (benefit na sportovní a další aktivity pro zaměstnance, kterým není hrazen příspěvek k penzijnímu pojištění či připojištění).</w:t>
      </w:r>
    </w:p>
    <w:p w14:paraId="328E29EE" w14:textId="77777777" w:rsidR="006B0FC7" w:rsidRDefault="006B0FC7" w:rsidP="00A30E4E">
      <w:pPr>
        <w:pStyle w:val="RozpocetOdstavec"/>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1477"/>
        <w:gridCol w:w="1871"/>
        <w:gridCol w:w="1586"/>
        <w:gridCol w:w="1588"/>
        <w:gridCol w:w="1132"/>
      </w:tblGrid>
      <w:tr w:rsidR="009F08BA" w:rsidRPr="009F08BA" w14:paraId="32DA15B3" w14:textId="77777777" w:rsidTr="00A95461">
        <w:trPr>
          <w:trHeight w:val="320"/>
        </w:trPr>
        <w:tc>
          <w:tcPr>
            <w:tcW w:w="782" w:type="pct"/>
            <w:shd w:val="clear" w:color="auto" w:fill="D9D9D9" w:themeFill="background1" w:themeFillShade="D9"/>
            <w:noWrap/>
            <w:vAlign w:val="center"/>
            <w:hideMark/>
          </w:tcPr>
          <w:p w14:paraId="12EB5479" w14:textId="1C7583CE" w:rsidR="009F08BA" w:rsidRPr="00FD4FD2" w:rsidRDefault="00556610" w:rsidP="000D14C1">
            <w:pPr>
              <w:jc w:val="center"/>
              <w:rPr>
                <w:rFonts w:ascii="Aptos Narrow" w:hAnsi="Aptos Narrow"/>
                <w:b/>
                <w:bCs/>
                <w:color w:val="000000"/>
                <w:lang w:eastAsia="cs-CZ"/>
              </w:rPr>
            </w:pPr>
            <w:r w:rsidRPr="00FD4FD2">
              <w:rPr>
                <w:rFonts w:ascii="Aptos Narrow" w:hAnsi="Aptos Narrow"/>
                <w:b/>
                <w:bCs/>
                <w:color w:val="000000"/>
                <w:lang w:eastAsia="cs-CZ"/>
              </w:rPr>
              <w:t>Součást</w:t>
            </w:r>
          </w:p>
        </w:tc>
        <w:tc>
          <w:tcPr>
            <w:tcW w:w="814" w:type="pct"/>
            <w:shd w:val="clear" w:color="auto" w:fill="D9D9D9" w:themeFill="background1" w:themeFillShade="D9"/>
            <w:noWrap/>
            <w:vAlign w:val="center"/>
            <w:hideMark/>
          </w:tcPr>
          <w:p w14:paraId="69146498"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Fond odměn </w:t>
            </w:r>
            <w:r w:rsidRPr="00FD4FD2">
              <w:rPr>
                <w:rFonts w:ascii="Aptos Narrow" w:hAnsi="Aptos Narrow"/>
                <w:b/>
                <w:bCs/>
                <w:color w:val="000000"/>
                <w:lang w:eastAsia="cs-CZ"/>
              </w:rPr>
              <w:br/>
              <w:t>v tis. Kč</w:t>
            </w:r>
          </w:p>
        </w:tc>
        <w:tc>
          <w:tcPr>
            <w:tcW w:w="1031" w:type="pct"/>
            <w:shd w:val="clear" w:color="auto" w:fill="D9D9D9" w:themeFill="background1" w:themeFillShade="D9"/>
            <w:noWrap/>
            <w:vAlign w:val="center"/>
            <w:hideMark/>
          </w:tcPr>
          <w:p w14:paraId="4E6415BA"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Stipendijní fond </w:t>
            </w:r>
            <w:r w:rsidRPr="00FD4FD2">
              <w:rPr>
                <w:rFonts w:ascii="Aptos Narrow" w:hAnsi="Aptos Narrow"/>
                <w:b/>
                <w:bCs/>
                <w:color w:val="000000"/>
                <w:lang w:eastAsia="cs-CZ"/>
              </w:rPr>
              <w:br/>
              <w:t>v tis. Kč</w:t>
            </w:r>
          </w:p>
        </w:tc>
        <w:tc>
          <w:tcPr>
            <w:tcW w:w="874" w:type="pct"/>
            <w:shd w:val="clear" w:color="auto" w:fill="D9D9D9" w:themeFill="background1" w:themeFillShade="D9"/>
            <w:noWrap/>
            <w:vAlign w:val="center"/>
            <w:hideMark/>
          </w:tcPr>
          <w:p w14:paraId="70A259BB"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FPP </w:t>
            </w:r>
            <w:r w:rsidRPr="00FD4FD2">
              <w:rPr>
                <w:rFonts w:ascii="Aptos Narrow" w:hAnsi="Aptos Narrow"/>
                <w:b/>
                <w:bCs/>
                <w:color w:val="000000"/>
                <w:lang w:eastAsia="cs-CZ"/>
              </w:rPr>
              <w:br/>
              <w:t>v tis. Kč</w:t>
            </w:r>
          </w:p>
        </w:tc>
        <w:tc>
          <w:tcPr>
            <w:tcW w:w="875" w:type="pct"/>
            <w:shd w:val="clear" w:color="auto" w:fill="D9D9D9" w:themeFill="background1" w:themeFillShade="D9"/>
            <w:noWrap/>
            <w:vAlign w:val="center"/>
            <w:hideMark/>
          </w:tcPr>
          <w:p w14:paraId="1F5960FC"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Fond sociální </w:t>
            </w:r>
            <w:r w:rsidRPr="00FD4FD2">
              <w:rPr>
                <w:rFonts w:ascii="Aptos Narrow" w:hAnsi="Aptos Narrow"/>
                <w:b/>
                <w:bCs/>
                <w:color w:val="000000"/>
                <w:lang w:eastAsia="cs-CZ"/>
              </w:rPr>
              <w:br/>
              <w:t>v tis. Kč</w:t>
            </w:r>
          </w:p>
        </w:tc>
        <w:tc>
          <w:tcPr>
            <w:tcW w:w="624" w:type="pct"/>
            <w:shd w:val="clear" w:color="auto" w:fill="D9D9D9" w:themeFill="background1" w:themeFillShade="D9"/>
            <w:noWrap/>
            <w:vAlign w:val="center"/>
            <w:hideMark/>
          </w:tcPr>
          <w:p w14:paraId="42EA5560" w14:textId="77777777" w:rsidR="009F08BA" w:rsidRPr="00FD4FD2" w:rsidRDefault="009F08BA" w:rsidP="000D14C1">
            <w:pPr>
              <w:jc w:val="center"/>
              <w:rPr>
                <w:rFonts w:ascii="Aptos Narrow" w:hAnsi="Aptos Narrow"/>
                <w:b/>
                <w:bCs/>
                <w:color w:val="000000"/>
                <w:lang w:eastAsia="cs-CZ"/>
              </w:rPr>
            </w:pPr>
            <w:r w:rsidRPr="00FD4FD2">
              <w:rPr>
                <w:rFonts w:ascii="Aptos Narrow" w:hAnsi="Aptos Narrow"/>
                <w:b/>
                <w:bCs/>
                <w:color w:val="000000"/>
                <w:lang w:eastAsia="cs-CZ"/>
              </w:rPr>
              <w:t xml:space="preserve">FUUP </w:t>
            </w:r>
            <w:r w:rsidRPr="00FD4FD2">
              <w:rPr>
                <w:rFonts w:ascii="Aptos Narrow" w:hAnsi="Aptos Narrow"/>
                <w:b/>
                <w:bCs/>
                <w:color w:val="000000"/>
                <w:lang w:eastAsia="cs-CZ"/>
              </w:rPr>
              <w:br/>
              <w:t>v tis. Kč</w:t>
            </w:r>
          </w:p>
        </w:tc>
      </w:tr>
      <w:tr w:rsidR="000D14C1" w:rsidRPr="009F08BA" w14:paraId="1EC7387B" w14:textId="77777777" w:rsidTr="00A95461">
        <w:trPr>
          <w:trHeight w:val="320"/>
        </w:trPr>
        <w:tc>
          <w:tcPr>
            <w:tcW w:w="782" w:type="pct"/>
            <w:noWrap/>
            <w:vAlign w:val="center"/>
            <w:hideMark/>
          </w:tcPr>
          <w:p w14:paraId="737F34FD"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FT</w:t>
            </w:r>
          </w:p>
        </w:tc>
        <w:tc>
          <w:tcPr>
            <w:tcW w:w="814" w:type="pct"/>
            <w:noWrap/>
            <w:vAlign w:val="center"/>
          </w:tcPr>
          <w:p w14:paraId="7220BA41" w14:textId="725A4A55" w:rsidR="000D14C1" w:rsidRPr="00FD4FD2" w:rsidRDefault="000D14C1" w:rsidP="000D14C1">
            <w:pPr>
              <w:jc w:val="right"/>
              <w:rPr>
                <w:rFonts w:ascii="Aptos Narrow" w:hAnsi="Aptos Narrow"/>
                <w:lang w:eastAsia="cs-CZ"/>
              </w:rPr>
            </w:pPr>
            <w:r>
              <w:rPr>
                <w:rFonts w:ascii="Aptos Narrow" w:hAnsi="Aptos Narrow" w:cs="Arial"/>
              </w:rPr>
              <w:t>62</w:t>
            </w:r>
          </w:p>
        </w:tc>
        <w:tc>
          <w:tcPr>
            <w:tcW w:w="1031" w:type="pct"/>
            <w:noWrap/>
            <w:vAlign w:val="center"/>
          </w:tcPr>
          <w:p w14:paraId="6C9642A0" w14:textId="5879ECA3" w:rsidR="000D14C1" w:rsidRPr="00FD4FD2" w:rsidRDefault="000D14C1" w:rsidP="000D14C1">
            <w:pPr>
              <w:jc w:val="right"/>
              <w:rPr>
                <w:rFonts w:ascii="Aptos Narrow" w:hAnsi="Aptos Narrow"/>
                <w:color w:val="000000"/>
                <w:lang w:eastAsia="cs-CZ"/>
              </w:rPr>
            </w:pPr>
            <w:r>
              <w:rPr>
                <w:rFonts w:ascii="Aptos Narrow" w:hAnsi="Aptos Narrow" w:cs="Arial"/>
                <w:color w:val="000000"/>
              </w:rPr>
              <w:t>1</w:t>
            </w:r>
            <w:r w:rsidR="004912DE">
              <w:rPr>
                <w:rFonts w:ascii="Aptos Narrow" w:hAnsi="Aptos Narrow" w:cs="Arial"/>
                <w:color w:val="000000"/>
              </w:rPr>
              <w:t xml:space="preserve"> </w:t>
            </w:r>
            <w:r>
              <w:rPr>
                <w:rFonts w:ascii="Aptos Narrow" w:hAnsi="Aptos Narrow" w:cs="Arial"/>
                <w:color w:val="000000"/>
              </w:rPr>
              <w:t>5</w:t>
            </w:r>
            <w:r w:rsidR="00931738">
              <w:rPr>
                <w:rFonts w:ascii="Aptos Narrow" w:hAnsi="Aptos Narrow" w:cs="Arial"/>
                <w:color w:val="000000"/>
              </w:rPr>
              <w:t>10</w:t>
            </w:r>
          </w:p>
        </w:tc>
        <w:tc>
          <w:tcPr>
            <w:tcW w:w="874" w:type="pct"/>
            <w:noWrap/>
            <w:vAlign w:val="center"/>
          </w:tcPr>
          <w:p w14:paraId="5B86ED6F" w14:textId="337E149C" w:rsidR="000D14C1" w:rsidRPr="00FD4FD2" w:rsidRDefault="000D14C1" w:rsidP="000D14C1">
            <w:pPr>
              <w:jc w:val="right"/>
              <w:rPr>
                <w:rFonts w:ascii="Aptos Narrow" w:hAnsi="Aptos Narrow"/>
                <w:color w:val="000000"/>
                <w:lang w:eastAsia="cs-CZ"/>
              </w:rPr>
            </w:pPr>
            <w:r>
              <w:rPr>
                <w:rFonts w:ascii="Aptos Narrow" w:hAnsi="Aptos Narrow" w:cs="Arial"/>
                <w:color w:val="000000"/>
              </w:rPr>
              <w:t>27 830</w:t>
            </w:r>
          </w:p>
        </w:tc>
        <w:tc>
          <w:tcPr>
            <w:tcW w:w="875" w:type="pct"/>
            <w:noWrap/>
            <w:vAlign w:val="center"/>
          </w:tcPr>
          <w:p w14:paraId="624F9829" w14:textId="455128A7"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228D38C2" w14:textId="4512C408" w:rsidR="000D14C1" w:rsidRPr="00FD4FD2" w:rsidRDefault="000D14C1" w:rsidP="000D14C1">
            <w:pPr>
              <w:jc w:val="right"/>
              <w:rPr>
                <w:rFonts w:ascii="Aptos Narrow" w:hAnsi="Aptos Narrow"/>
                <w:color w:val="000000"/>
                <w:lang w:eastAsia="cs-CZ"/>
              </w:rPr>
            </w:pPr>
            <w:r>
              <w:rPr>
                <w:rFonts w:ascii="Aptos Narrow" w:hAnsi="Aptos Narrow" w:cs="Arial"/>
                <w:color w:val="000000"/>
              </w:rPr>
              <w:t>1 678</w:t>
            </w:r>
          </w:p>
        </w:tc>
      </w:tr>
      <w:tr w:rsidR="000D14C1" w:rsidRPr="009F08BA" w14:paraId="2C310D34" w14:textId="77777777" w:rsidTr="00A95461">
        <w:trPr>
          <w:trHeight w:val="320"/>
        </w:trPr>
        <w:tc>
          <w:tcPr>
            <w:tcW w:w="782" w:type="pct"/>
            <w:noWrap/>
            <w:vAlign w:val="center"/>
            <w:hideMark/>
          </w:tcPr>
          <w:p w14:paraId="5BCE7D88"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FLKŘ</w:t>
            </w:r>
          </w:p>
        </w:tc>
        <w:tc>
          <w:tcPr>
            <w:tcW w:w="814" w:type="pct"/>
            <w:noWrap/>
            <w:vAlign w:val="center"/>
          </w:tcPr>
          <w:p w14:paraId="1BB2A2C0" w14:textId="54EF2E6A"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2F1A5925" w14:textId="515B792C" w:rsidR="000D14C1" w:rsidRPr="00FD4FD2" w:rsidRDefault="000D14C1" w:rsidP="000D14C1">
            <w:pPr>
              <w:jc w:val="right"/>
              <w:rPr>
                <w:rFonts w:ascii="Aptos Narrow" w:hAnsi="Aptos Narrow"/>
                <w:color w:val="000000"/>
                <w:lang w:eastAsia="cs-CZ"/>
              </w:rPr>
            </w:pPr>
            <w:r>
              <w:rPr>
                <w:rFonts w:ascii="Aptos Narrow" w:hAnsi="Aptos Narrow" w:cs="Arial"/>
                <w:color w:val="000000"/>
              </w:rPr>
              <w:t>1 635</w:t>
            </w:r>
          </w:p>
        </w:tc>
        <w:tc>
          <w:tcPr>
            <w:tcW w:w="874" w:type="pct"/>
            <w:noWrap/>
            <w:vAlign w:val="center"/>
          </w:tcPr>
          <w:p w14:paraId="20DABF87" w14:textId="06402646" w:rsidR="000D14C1" w:rsidRPr="00FD4FD2" w:rsidRDefault="000D14C1" w:rsidP="000D14C1">
            <w:pPr>
              <w:jc w:val="right"/>
              <w:rPr>
                <w:rFonts w:ascii="Aptos Narrow" w:hAnsi="Aptos Narrow"/>
                <w:color w:val="000000"/>
                <w:lang w:eastAsia="cs-CZ"/>
              </w:rPr>
            </w:pPr>
            <w:r>
              <w:rPr>
                <w:rFonts w:ascii="Aptos Narrow" w:hAnsi="Aptos Narrow" w:cs="Arial"/>
                <w:color w:val="000000"/>
              </w:rPr>
              <w:t>93 993</w:t>
            </w:r>
          </w:p>
        </w:tc>
        <w:tc>
          <w:tcPr>
            <w:tcW w:w="875" w:type="pct"/>
            <w:noWrap/>
            <w:vAlign w:val="center"/>
          </w:tcPr>
          <w:p w14:paraId="02F264C8" w14:textId="02335B71"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2810EBC1" w14:textId="53D03B57" w:rsidR="000D14C1" w:rsidRPr="00FD4FD2" w:rsidRDefault="000D14C1" w:rsidP="000D14C1">
            <w:pPr>
              <w:jc w:val="right"/>
              <w:rPr>
                <w:rFonts w:ascii="Aptos Narrow" w:hAnsi="Aptos Narrow"/>
                <w:color w:val="000000"/>
                <w:lang w:eastAsia="cs-CZ"/>
              </w:rPr>
            </w:pPr>
            <w:r>
              <w:rPr>
                <w:rFonts w:ascii="Aptos Narrow" w:hAnsi="Aptos Narrow" w:cs="Arial"/>
                <w:color w:val="000000"/>
              </w:rPr>
              <w:t>23</w:t>
            </w:r>
            <w:r w:rsidR="009B2B2B">
              <w:rPr>
                <w:rFonts w:ascii="Aptos Narrow" w:hAnsi="Aptos Narrow" w:cs="Arial"/>
                <w:color w:val="000000"/>
              </w:rPr>
              <w:t>1</w:t>
            </w:r>
          </w:p>
        </w:tc>
      </w:tr>
      <w:tr w:rsidR="000D14C1" w:rsidRPr="009F08BA" w14:paraId="6079A795" w14:textId="77777777" w:rsidTr="00A95461">
        <w:trPr>
          <w:trHeight w:val="320"/>
        </w:trPr>
        <w:tc>
          <w:tcPr>
            <w:tcW w:w="782" w:type="pct"/>
            <w:noWrap/>
            <w:vAlign w:val="center"/>
            <w:hideMark/>
          </w:tcPr>
          <w:p w14:paraId="70D4564F"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FAI</w:t>
            </w:r>
          </w:p>
        </w:tc>
        <w:tc>
          <w:tcPr>
            <w:tcW w:w="814" w:type="pct"/>
            <w:noWrap/>
            <w:vAlign w:val="center"/>
          </w:tcPr>
          <w:p w14:paraId="1D000D69" w14:textId="5F2C5FDC" w:rsidR="000D14C1" w:rsidRPr="00FD4FD2" w:rsidRDefault="000D14C1" w:rsidP="000D14C1">
            <w:pPr>
              <w:jc w:val="right"/>
              <w:rPr>
                <w:rFonts w:ascii="Aptos Narrow" w:hAnsi="Aptos Narrow"/>
                <w:color w:val="000000"/>
                <w:lang w:eastAsia="cs-CZ"/>
              </w:rPr>
            </w:pPr>
            <w:r>
              <w:rPr>
                <w:rFonts w:ascii="Aptos Narrow" w:hAnsi="Aptos Narrow" w:cs="Arial"/>
                <w:color w:val="000000"/>
              </w:rPr>
              <w:t>2</w:t>
            </w:r>
            <w:r w:rsidR="007306DB">
              <w:rPr>
                <w:rFonts w:ascii="Aptos Narrow" w:hAnsi="Aptos Narrow" w:cs="Arial"/>
                <w:color w:val="000000"/>
              </w:rPr>
              <w:t>7</w:t>
            </w:r>
          </w:p>
        </w:tc>
        <w:tc>
          <w:tcPr>
            <w:tcW w:w="1031" w:type="pct"/>
            <w:noWrap/>
            <w:vAlign w:val="center"/>
          </w:tcPr>
          <w:p w14:paraId="260F4099" w14:textId="42559EA5" w:rsidR="000D14C1" w:rsidRPr="00FD4FD2" w:rsidRDefault="000D14C1" w:rsidP="000D14C1">
            <w:pPr>
              <w:jc w:val="right"/>
              <w:rPr>
                <w:rFonts w:ascii="Aptos Narrow" w:hAnsi="Aptos Narrow"/>
                <w:color w:val="000000"/>
                <w:lang w:eastAsia="cs-CZ"/>
              </w:rPr>
            </w:pPr>
            <w:r>
              <w:rPr>
                <w:rFonts w:ascii="Aptos Narrow" w:hAnsi="Aptos Narrow" w:cs="Arial"/>
                <w:color w:val="000000"/>
              </w:rPr>
              <w:t>4 000</w:t>
            </w:r>
          </w:p>
        </w:tc>
        <w:tc>
          <w:tcPr>
            <w:tcW w:w="874" w:type="pct"/>
            <w:noWrap/>
            <w:vAlign w:val="center"/>
          </w:tcPr>
          <w:p w14:paraId="322E040D" w14:textId="29539A8B" w:rsidR="000D14C1" w:rsidRPr="00FD4FD2" w:rsidRDefault="009B2B2B" w:rsidP="000D14C1">
            <w:pPr>
              <w:jc w:val="right"/>
              <w:rPr>
                <w:rFonts w:ascii="Aptos Narrow" w:hAnsi="Aptos Narrow"/>
                <w:color w:val="000000"/>
                <w:lang w:eastAsia="cs-CZ"/>
              </w:rPr>
            </w:pPr>
            <w:r>
              <w:rPr>
                <w:rFonts w:ascii="Aptos Narrow" w:hAnsi="Aptos Narrow" w:cs="Arial"/>
                <w:color w:val="000000"/>
              </w:rPr>
              <w:t>83 844</w:t>
            </w:r>
          </w:p>
        </w:tc>
        <w:tc>
          <w:tcPr>
            <w:tcW w:w="875" w:type="pct"/>
            <w:noWrap/>
            <w:vAlign w:val="center"/>
          </w:tcPr>
          <w:p w14:paraId="2A5E31BA" w14:textId="16CD49E0"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7AA67F96" w14:textId="04CF7FA5" w:rsidR="000D14C1" w:rsidRPr="00FD4FD2" w:rsidRDefault="009B2B2B" w:rsidP="000D14C1">
            <w:pPr>
              <w:jc w:val="right"/>
              <w:rPr>
                <w:rFonts w:ascii="Aptos Narrow" w:hAnsi="Aptos Narrow"/>
                <w:color w:val="000000"/>
                <w:lang w:eastAsia="cs-CZ"/>
              </w:rPr>
            </w:pPr>
            <w:r>
              <w:rPr>
                <w:rFonts w:ascii="Aptos Narrow" w:hAnsi="Aptos Narrow" w:cs="Arial"/>
                <w:color w:val="000000"/>
              </w:rPr>
              <w:t>513</w:t>
            </w:r>
          </w:p>
        </w:tc>
      </w:tr>
      <w:tr w:rsidR="000D14C1" w:rsidRPr="009F08BA" w14:paraId="55C0D4E2" w14:textId="77777777" w:rsidTr="00A95461">
        <w:trPr>
          <w:trHeight w:val="320"/>
        </w:trPr>
        <w:tc>
          <w:tcPr>
            <w:tcW w:w="782" w:type="pct"/>
            <w:noWrap/>
            <w:vAlign w:val="center"/>
            <w:hideMark/>
          </w:tcPr>
          <w:p w14:paraId="361EF657"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FMK</w:t>
            </w:r>
          </w:p>
        </w:tc>
        <w:tc>
          <w:tcPr>
            <w:tcW w:w="814" w:type="pct"/>
            <w:noWrap/>
            <w:vAlign w:val="center"/>
          </w:tcPr>
          <w:p w14:paraId="5CDD4112" w14:textId="2BFC9AD0" w:rsidR="000D14C1" w:rsidRPr="00FD4FD2" w:rsidRDefault="000D14C1" w:rsidP="000D14C1">
            <w:pPr>
              <w:jc w:val="right"/>
              <w:rPr>
                <w:rFonts w:ascii="Aptos Narrow" w:hAnsi="Aptos Narrow"/>
                <w:color w:val="000000"/>
                <w:lang w:eastAsia="cs-CZ"/>
              </w:rPr>
            </w:pPr>
            <w:r>
              <w:rPr>
                <w:rFonts w:ascii="Aptos Narrow" w:hAnsi="Aptos Narrow" w:cs="Arial"/>
                <w:color w:val="000000"/>
              </w:rPr>
              <w:t>16</w:t>
            </w:r>
          </w:p>
        </w:tc>
        <w:tc>
          <w:tcPr>
            <w:tcW w:w="1031" w:type="pct"/>
            <w:noWrap/>
            <w:vAlign w:val="center"/>
          </w:tcPr>
          <w:p w14:paraId="2F1624BC" w14:textId="6EBCA926" w:rsidR="000D14C1" w:rsidRPr="00FD4FD2" w:rsidRDefault="000D14C1" w:rsidP="000D14C1">
            <w:pPr>
              <w:jc w:val="right"/>
              <w:rPr>
                <w:rFonts w:ascii="Aptos Narrow" w:hAnsi="Aptos Narrow"/>
                <w:color w:val="000000"/>
                <w:lang w:eastAsia="cs-CZ"/>
              </w:rPr>
            </w:pPr>
            <w:r>
              <w:rPr>
                <w:rFonts w:ascii="Aptos Narrow" w:hAnsi="Aptos Narrow" w:cs="Arial"/>
                <w:color w:val="000000"/>
              </w:rPr>
              <w:t>2 839</w:t>
            </w:r>
          </w:p>
        </w:tc>
        <w:tc>
          <w:tcPr>
            <w:tcW w:w="874" w:type="pct"/>
            <w:noWrap/>
            <w:vAlign w:val="center"/>
          </w:tcPr>
          <w:p w14:paraId="7F8C07ED" w14:textId="05243014" w:rsidR="000D14C1" w:rsidRPr="00FD4FD2" w:rsidRDefault="00931738" w:rsidP="000D14C1">
            <w:pPr>
              <w:jc w:val="right"/>
              <w:rPr>
                <w:rFonts w:ascii="Aptos Narrow" w:hAnsi="Aptos Narrow"/>
                <w:color w:val="000000"/>
                <w:lang w:eastAsia="cs-CZ"/>
              </w:rPr>
            </w:pPr>
            <w:r>
              <w:rPr>
                <w:rFonts w:ascii="Aptos Narrow" w:hAnsi="Aptos Narrow" w:cs="Arial"/>
                <w:color w:val="000000"/>
              </w:rPr>
              <w:t>67 00</w:t>
            </w:r>
            <w:r w:rsidR="009B2B2B">
              <w:rPr>
                <w:rFonts w:ascii="Aptos Narrow" w:hAnsi="Aptos Narrow" w:cs="Arial"/>
                <w:color w:val="000000"/>
              </w:rPr>
              <w:t>7</w:t>
            </w:r>
          </w:p>
        </w:tc>
        <w:tc>
          <w:tcPr>
            <w:tcW w:w="875" w:type="pct"/>
            <w:noWrap/>
            <w:vAlign w:val="center"/>
          </w:tcPr>
          <w:p w14:paraId="3A1901D0" w14:textId="7E3C6B8E"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6C6765FF" w14:textId="080C13ED" w:rsidR="000D14C1" w:rsidRPr="00FD4FD2" w:rsidRDefault="009B2B2B" w:rsidP="000D14C1">
            <w:pPr>
              <w:jc w:val="right"/>
              <w:rPr>
                <w:rFonts w:ascii="Aptos Narrow" w:hAnsi="Aptos Narrow"/>
                <w:color w:val="000000"/>
                <w:lang w:eastAsia="cs-CZ"/>
              </w:rPr>
            </w:pPr>
            <w:r>
              <w:rPr>
                <w:rFonts w:ascii="Aptos Narrow" w:hAnsi="Aptos Narrow" w:cs="Arial"/>
                <w:color w:val="000000"/>
              </w:rPr>
              <w:t>206</w:t>
            </w:r>
          </w:p>
        </w:tc>
      </w:tr>
      <w:tr w:rsidR="000D14C1" w:rsidRPr="009F08BA" w14:paraId="0C7A25CF" w14:textId="77777777" w:rsidTr="00A95461">
        <w:trPr>
          <w:trHeight w:val="320"/>
        </w:trPr>
        <w:tc>
          <w:tcPr>
            <w:tcW w:w="782" w:type="pct"/>
            <w:noWrap/>
            <w:vAlign w:val="center"/>
            <w:hideMark/>
          </w:tcPr>
          <w:p w14:paraId="61B3B5A5"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FaME</w:t>
            </w:r>
          </w:p>
        </w:tc>
        <w:tc>
          <w:tcPr>
            <w:tcW w:w="814" w:type="pct"/>
            <w:noWrap/>
            <w:vAlign w:val="center"/>
          </w:tcPr>
          <w:p w14:paraId="464C6916" w14:textId="29F5F327" w:rsidR="000D14C1" w:rsidRPr="00FD4FD2" w:rsidRDefault="007306DB" w:rsidP="000D14C1">
            <w:pPr>
              <w:jc w:val="right"/>
              <w:rPr>
                <w:rFonts w:ascii="Aptos Narrow" w:hAnsi="Aptos Narrow"/>
                <w:color w:val="000000"/>
                <w:lang w:eastAsia="cs-CZ"/>
              </w:rPr>
            </w:pPr>
            <w:r>
              <w:rPr>
                <w:rFonts w:ascii="Aptos Narrow" w:hAnsi="Aptos Narrow" w:cs="Arial"/>
                <w:color w:val="000000"/>
              </w:rPr>
              <w:t>6</w:t>
            </w:r>
          </w:p>
        </w:tc>
        <w:tc>
          <w:tcPr>
            <w:tcW w:w="1031" w:type="pct"/>
            <w:noWrap/>
            <w:vAlign w:val="center"/>
          </w:tcPr>
          <w:p w14:paraId="7C684B47" w14:textId="545BC565" w:rsidR="000D14C1" w:rsidRPr="00FD4FD2" w:rsidRDefault="000D14C1" w:rsidP="000D14C1">
            <w:pPr>
              <w:jc w:val="right"/>
              <w:rPr>
                <w:rFonts w:ascii="Aptos Narrow" w:hAnsi="Aptos Narrow"/>
                <w:color w:val="000000"/>
                <w:lang w:eastAsia="cs-CZ"/>
              </w:rPr>
            </w:pPr>
            <w:r>
              <w:rPr>
                <w:rFonts w:ascii="Aptos Narrow" w:hAnsi="Aptos Narrow" w:cs="Arial"/>
                <w:color w:val="000000"/>
              </w:rPr>
              <w:t>3 919</w:t>
            </w:r>
          </w:p>
        </w:tc>
        <w:tc>
          <w:tcPr>
            <w:tcW w:w="874" w:type="pct"/>
            <w:noWrap/>
            <w:vAlign w:val="center"/>
          </w:tcPr>
          <w:p w14:paraId="481CDE46" w14:textId="15715237" w:rsidR="000D14C1" w:rsidRPr="00FD4FD2" w:rsidRDefault="000D14C1" w:rsidP="000D14C1">
            <w:pPr>
              <w:jc w:val="right"/>
              <w:rPr>
                <w:rFonts w:ascii="Aptos Narrow" w:hAnsi="Aptos Narrow"/>
                <w:color w:val="000000"/>
                <w:lang w:eastAsia="cs-CZ"/>
              </w:rPr>
            </w:pPr>
            <w:r>
              <w:rPr>
                <w:rFonts w:ascii="Aptos Narrow" w:hAnsi="Aptos Narrow" w:cs="Arial"/>
                <w:color w:val="000000"/>
              </w:rPr>
              <w:t>70 138</w:t>
            </w:r>
          </w:p>
        </w:tc>
        <w:tc>
          <w:tcPr>
            <w:tcW w:w="875" w:type="pct"/>
            <w:noWrap/>
            <w:vAlign w:val="center"/>
          </w:tcPr>
          <w:p w14:paraId="16880A75" w14:textId="3DE8E7CF"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7C05FAF9" w14:textId="13E30DA7" w:rsidR="000D14C1" w:rsidRPr="00FD4FD2" w:rsidRDefault="009B2B2B" w:rsidP="000D14C1">
            <w:pPr>
              <w:jc w:val="right"/>
              <w:rPr>
                <w:rFonts w:ascii="Aptos Narrow" w:hAnsi="Aptos Narrow"/>
                <w:color w:val="000000"/>
                <w:lang w:eastAsia="cs-CZ"/>
              </w:rPr>
            </w:pPr>
            <w:r>
              <w:rPr>
                <w:rFonts w:ascii="Aptos Narrow" w:hAnsi="Aptos Narrow" w:cs="Arial"/>
                <w:color w:val="000000"/>
              </w:rPr>
              <w:t>714</w:t>
            </w:r>
          </w:p>
        </w:tc>
      </w:tr>
      <w:tr w:rsidR="000D14C1" w:rsidRPr="009F08BA" w14:paraId="1E5B1F21" w14:textId="77777777" w:rsidTr="00A95461">
        <w:trPr>
          <w:trHeight w:val="320"/>
        </w:trPr>
        <w:tc>
          <w:tcPr>
            <w:tcW w:w="782" w:type="pct"/>
            <w:noWrap/>
            <w:vAlign w:val="center"/>
            <w:hideMark/>
          </w:tcPr>
          <w:p w14:paraId="450939B6"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t>FHS</w:t>
            </w:r>
          </w:p>
        </w:tc>
        <w:tc>
          <w:tcPr>
            <w:tcW w:w="814" w:type="pct"/>
            <w:noWrap/>
            <w:vAlign w:val="center"/>
          </w:tcPr>
          <w:p w14:paraId="0DF7C7D9" w14:textId="5F57DA2E"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75BA834E" w14:textId="41EBEF2A" w:rsidR="000D14C1" w:rsidRPr="00FD4FD2" w:rsidRDefault="000D14C1" w:rsidP="000D14C1">
            <w:pPr>
              <w:jc w:val="right"/>
              <w:rPr>
                <w:rFonts w:ascii="Aptos Narrow" w:hAnsi="Aptos Narrow"/>
                <w:color w:val="000000"/>
                <w:lang w:eastAsia="cs-CZ"/>
              </w:rPr>
            </w:pPr>
            <w:r>
              <w:rPr>
                <w:rFonts w:ascii="Aptos Narrow" w:hAnsi="Aptos Narrow" w:cs="Arial"/>
                <w:color w:val="000000"/>
              </w:rPr>
              <w:t>10 229</w:t>
            </w:r>
          </w:p>
        </w:tc>
        <w:tc>
          <w:tcPr>
            <w:tcW w:w="874" w:type="pct"/>
            <w:noWrap/>
            <w:vAlign w:val="center"/>
          </w:tcPr>
          <w:p w14:paraId="0F4C3F60" w14:textId="0B516777" w:rsidR="000D14C1" w:rsidRPr="00FD4FD2" w:rsidRDefault="000D14C1" w:rsidP="000D14C1">
            <w:pPr>
              <w:jc w:val="right"/>
              <w:rPr>
                <w:rFonts w:ascii="Aptos Narrow" w:hAnsi="Aptos Narrow"/>
                <w:color w:val="000000"/>
                <w:lang w:eastAsia="cs-CZ"/>
              </w:rPr>
            </w:pPr>
            <w:r>
              <w:rPr>
                <w:rFonts w:ascii="Aptos Narrow" w:hAnsi="Aptos Narrow" w:cs="Arial"/>
                <w:color w:val="000000"/>
              </w:rPr>
              <w:t>106 229</w:t>
            </w:r>
          </w:p>
        </w:tc>
        <w:tc>
          <w:tcPr>
            <w:tcW w:w="875" w:type="pct"/>
            <w:noWrap/>
            <w:vAlign w:val="center"/>
          </w:tcPr>
          <w:p w14:paraId="7B27F90C" w14:textId="01EA1443" w:rsidR="000D14C1" w:rsidRPr="00FD4FD2" w:rsidRDefault="000D14C1" w:rsidP="000D14C1">
            <w:pPr>
              <w:jc w:val="right"/>
              <w:rPr>
                <w:rFonts w:ascii="Aptos Narrow" w:hAnsi="Aptos Narrow"/>
                <w:color w:val="000000"/>
                <w:lang w:eastAsia="cs-CZ"/>
              </w:rPr>
            </w:pPr>
            <w:r>
              <w:rPr>
                <w:rFonts w:ascii="Aptos Narrow" w:hAnsi="Aptos Narrow" w:cs="Arial"/>
                <w:color w:val="000000"/>
              </w:rPr>
              <w:t>391,61</w:t>
            </w:r>
          </w:p>
        </w:tc>
        <w:tc>
          <w:tcPr>
            <w:tcW w:w="624" w:type="pct"/>
            <w:noWrap/>
            <w:vAlign w:val="center"/>
          </w:tcPr>
          <w:p w14:paraId="478A43E2" w14:textId="2E8A9D37" w:rsidR="000D14C1" w:rsidRPr="00FD4FD2" w:rsidRDefault="000D14C1" w:rsidP="000D14C1">
            <w:pPr>
              <w:jc w:val="right"/>
              <w:rPr>
                <w:rFonts w:ascii="Aptos Narrow" w:hAnsi="Aptos Narrow"/>
                <w:color w:val="000000"/>
                <w:lang w:eastAsia="cs-CZ"/>
              </w:rPr>
            </w:pPr>
            <w:r>
              <w:rPr>
                <w:rFonts w:ascii="Aptos Narrow" w:hAnsi="Aptos Narrow" w:cs="Arial"/>
                <w:color w:val="000000"/>
              </w:rPr>
              <w:t>611</w:t>
            </w:r>
          </w:p>
        </w:tc>
      </w:tr>
      <w:tr w:rsidR="000D14C1" w:rsidRPr="009F08BA" w14:paraId="46051775" w14:textId="77777777" w:rsidTr="00A95461">
        <w:trPr>
          <w:trHeight w:val="320"/>
        </w:trPr>
        <w:tc>
          <w:tcPr>
            <w:tcW w:w="782" w:type="pct"/>
            <w:noWrap/>
            <w:vAlign w:val="center"/>
            <w:hideMark/>
          </w:tcPr>
          <w:p w14:paraId="28C5E94A" w14:textId="77777777" w:rsidR="000D14C1" w:rsidRPr="00FD4FD2" w:rsidRDefault="000D14C1" w:rsidP="000D14C1">
            <w:pPr>
              <w:rPr>
                <w:rFonts w:ascii="Aptos Narrow" w:hAnsi="Aptos Narrow"/>
                <w:color w:val="000000"/>
                <w:lang w:eastAsia="cs-CZ"/>
              </w:rPr>
            </w:pPr>
            <w:r w:rsidRPr="00FD4FD2">
              <w:rPr>
                <w:rFonts w:ascii="Aptos Narrow" w:hAnsi="Aptos Narrow"/>
                <w:color w:val="000000"/>
                <w:lang w:eastAsia="cs-CZ"/>
              </w:rPr>
              <w:lastRenderedPageBreak/>
              <w:t>UNI</w:t>
            </w:r>
          </w:p>
        </w:tc>
        <w:tc>
          <w:tcPr>
            <w:tcW w:w="814" w:type="pct"/>
            <w:noWrap/>
            <w:vAlign w:val="center"/>
          </w:tcPr>
          <w:p w14:paraId="4B938D7B" w14:textId="151AFFB1"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76A77A1A" w14:textId="0C894DA4" w:rsidR="000D14C1" w:rsidRPr="00FD4FD2" w:rsidRDefault="000D14C1" w:rsidP="000D14C1">
            <w:pPr>
              <w:jc w:val="right"/>
              <w:rPr>
                <w:rFonts w:ascii="Aptos Narrow" w:hAnsi="Aptos Narrow"/>
                <w:color w:val="000000"/>
                <w:lang w:eastAsia="cs-CZ"/>
              </w:rPr>
            </w:pPr>
            <w:r>
              <w:rPr>
                <w:rFonts w:ascii="Aptos Narrow" w:hAnsi="Aptos Narrow" w:cs="Arial"/>
                <w:color w:val="000000"/>
              </w:rPr>
              <w:t>0</w:t>
            </w:r>
          </w:p>
        </w:tc>
        <w:tc>
          <w:tcPr>
            <w:tcW w:w="874" w:type="pct"/>
            <w:noWrap/>
            <w:vAlign w:val="center"/>
          </w:tcPr>
          <w:p w14:paraId="12043028" w14:textId="291AA723" w:rsidR="000D14C1" w:rsidRPr="00FD4FD2" w:rsidRDefault="000D14C1" w:rsidP="000D14C1">
            <w:pPr>
              <w:jc w:val="right"/>
              <w:rPr>
                <w:rFonts w:ascii="Aptos Narrow" w:hAnsi="Aptos Narrow"/>
                <w:color w:val="000000"/>
                <w:lang w:eastAsia="cs-CZ"/>
              </w:rPr>
            </w:pPr>
            <w:r>
              <w:rPr>
                <w:rFonts w:ascii="Aptos Narrow" w:hAnsi="Aptos Narrow" w:cs="Arial"/>
                <w:color w:val="000000"/>
              </w:rPr>
              <w:t>71 168</w:t>
            </w:r>
          </w:p>
        </w:tc>
        <w:tc>
          <w:tcPr>
            <w:tcW w:w="875" w:type="pct"/>
            <w:noWrap/>
            <w:vAlign w:val="center"/>
          </w:tcPr>
          <w:p w14:paraId="45B839FC" w14:textId="1D99C20F" w:rsidR="000D14C1" w:rsidRPr="00FD4FD2" w:rsidRDefault="000D14C1" w:rsidP="000D14C1">
            <w:pPr>
              <w:jc w:val="right"/>
              <w:rPr>
                <w:rFonts w:ascii="Aptos Narrow" w:hAnsi="Aptos Narrow"/>
                <w:color w:val="000000"/>
                <w:lang w:eastAsia="cs-CZ"/>
              </w:rPr>
            </w:pPr>
            <w:r>
              <w:rPr>
                <w:rFonts w:ascii="Aptos Narrow" w:hAnsi="Aptos Narrow" w:cs="Arial"/>
                <w:color w:val="000000"/>
              </w:rPr>
              <w:t>3,42</w:t>
            </w:r>
          </w:p>
        </w:tc>
        <w:tc>
          <w:tcPr>
            <w:tcW w:w="624" w:type="pct"/>
            <w:noWrap/>
            <w:vAlign w:val="center"/>
          </w:tcPr>
          <w:p w14:paraId="47954F04" w14:textId="6CB8DB58" w:rsidR="000D14C1" w:rsidRPr="00FD4FD2" w:rsidRDefault="000D14C1" w:rsidP="000D14C1">
            <w:pPr>
              <w:jc w:val="right"/>
              <w:rPr>
                <w:rFonts w:ascii="Aptos Narrow" w:hAnsi="Aptos Narrow"/>
                <w:color w:val="000000"/>
                <w:lang w:eastAsia="cs-CZ"/>
              </w:rPr>
            </w:pPr>
            <w:r>
              <w:rPr>
                <w:rFonts w:ascii="Aptos Narrow" w:hAnsi="Aptos Narrow" w:cs="Arial"/>
                <w:color w:val="000000"/>
              </w:rPr>
              <w:t>2 336</w:t>
            </w:r>
          </w:p>
        </w:tc>
      </w:tr>
      <w:tr w:rsidR="000B42C3" w:rsidRPr="009F08BA" w14:paraId="26A342C9" w14:textId="77777777" w:rsidTr="00A95461">
        <w:trPr>
          <w:trHeight w:val="320"/>
        </w:trPr>
        <w:tc>
          <w:tcPr>
            <w:tcW w:w="782" w:type="pct"/>
            <w:noWrap/>
            <w:vAlign w:val="center"/>
            <w:hideMark/>
          </w:tcPr>
          <w:p w14:paraId="54B303FF" w14:textId="77777777" w:rsidR="000B42C3" w:rsidRPr="00FD4FD2" w:rsidRDefault="000B42C3" w:rsidP="000B42C3">
            <w:pPr>
              <w:rPr>
                <w:rFonts w:ascii="Aptos Narrow" w:hAnsi="Aptos Narrow"/>
                <w:color w:val="000000"/>
                <w:lang w:eastAsia="cs-CZ"/>
              </w:rPr>
            </w:pPr>
            <w:r w:rsidRPr="00FD4FD2">
              <w:rPr>
                <w:rFonts w:ascii="Aptos Narrow" w:hAnsi="Aptos Narrow"/>
                <w:color w:val="000000"/>
                <w:lang w:eastAsia="cs-CZ"/>
              </w:rPr>
              <w:t>KMZ</w:t>
            </w:r>
          </w:p>
        </w:tc>
        <w:tc>
          <w:tcPr>
            <w:tcW w:w="814" w:type="pct"/>
            <w:noWrap/>
            <w:vAlign w:val="center"/>
          </w:tcPr>
          <w:p w14:paraId="72AD291F" w14:textId="13EB90DC" w:rsidR="000B42C3" w:rsidRPr="00FD4FD2" w:rsidRDefault="000B42C3" w:rsidP="000B42C3">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780F8225" w14:textId="4FFEF56F" w:rsidR="000B42C3" w:rsidRPr="00FD4FD2" w:rsidRDefault="000B42C3" w:rsidP="000B42C3">
            <w:pPr>
              <w:jc w:val="right"/>
              <w:rPr>
                <w:rFonts w:ascii="Aptos Narrow" w:hAnsi="Aptos Narrow"/>
                <w:color w:val="000000"/>
                <w:lang w:eastAsia="cs-CZ"/>
              </w:rPr>
            </w:pPr>
            <w:r>
              <w:rPr>
                <w:rFonts w:ascii="Aptos Narrow" w:hAnsi="Aptos Narrow" w:cs="Arial"/>
                <w:color w:val="000000"/>
              </w:rPr>
              <w:t>0</w:t>
            </w:r>
          </w:p>
        </w:tc>
        <w:tc>
          <w:tcPr>
            <w:tcW w:w="874" w:type="pct"/>
            <w:noWrap/>
            <w:vAlign w:val="center"/>
          </w:tcPr>
          <w:p w14:paraId="0600B743" w14:textId="161F2926" w:rsidR="000B42C3" w:rsidRPr="00FD4FD2" w:rsidRDefault="00931738" w:rsidP="000B42C3">
            <w:pPr>
              <w:jc w:val="right"/>
              <w:rPr>
                <w:rFonts w:ascii="Aptos Narrow" w:hAnsi="Aptos Narrow"/>
                <w:color w:val="000000"/>
                <w:lang w:eastAsia="cs-CZ"/>
              </w:rPr>
            </w:pPr>
            <w:r>
              <w:rPr>
                <w:rFonts w:ascii="Aptos Narrow" w:hAnsi="Aptos Narrow"/>
                <w:color w:val="000000"/>
                <w:lang w:eastAsia="cs-CZ"/>
              </w:rPr>
              <w:t>3</w:t>
            </w:r>
          </w:p>
        </w:tc>
        <w:tc>
          <w:tcPr>
            <w:tcW w:w="875" w:type="pct"/>
            <w:noWrap/>
            <w:vAlign w:val="center"/>
          </w:tcPr>
          <w:p w14:paraId="64833584" w14:textId="268F2306" w:rsidR="000B42C3" w:rsidRPr="00FD4FD2" w:rsidRDefault="000B42C3" w:rsidP="000B42C3">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18A9014A" w14:textId="059F7D52" w:rsidR="000B42C3" w:rsidRPr="00FD4FD2" w:rsidRDefault="009B2B2B" w:rsidP="000B42C3">
            <w:pPr>
              <w:jc w:val="right"/>
              <w:rPr>
                <w:rFonts w:ascii="Aptos Narrow" w:hAnsi="Aptos Narrow"/>
                <w:color w:val="000000"/>
                <w:lang w:eastAsia="cs-CZ"/>
              </w:rPr>
            </w:pPr>
            <w:r>
              <w:rPr>
                <w:rFonts w:ascii="Aptos Narrow" w:hAnsi="Aptos Narrow"/>
                <w:color w:val="000000"/>
                <w:lang w:eastAsia="cs-CZ"/>
              </w:rPr>
              <w:t>3</w:t>
            </w:r>
          </w:p>
        </w:tc>
      </w:tr>
      <w:tr w:rsidR="000B42C3" w:rsidRPr="009F08BA" w14:paraId="364E7341" w14:textId="77777777" w:rsidTr="00A95461">
        <w:trPr>
          <w:trHeight w:val="320"/>
        </w:trPr>
        <w:tc>
          <w:tcPr>
            <w:tcW w:w="782" w:type="pct"/>
            <w:noWrap/>
            <w:vAlign w:val="center"/>
          </w:tcPr>
          <w:p w14:paraId="4D84ECCB" w14:textId="4189EA44" w:rsidR="000B42C3" w:rsidRPr="00FD4FD2" w:rsidRDefault="000B42C3" w:rsidP="000B42C3">
            <w:pPr>
              <w:rPr>
                <w:rFonts w:ascii="Aptos Narrow" w:hAnsi="Aptos Narrow"/>
                <w:color w:val="000000"/>
                <w:lang w:eastAsia="cs-CZ"/>
              </w:rPr>
            </w:pPr>
            <w:r w:rsidRPr="00FD4FD2">
              <w:rPr>
                <w:rFonts w:ascii="Aptos Narrow" w:hAnsi="Aptos Narrow"/>
                <w:color w:val="000000"/>
                <w:lang w:eastAsia="cs-CZ"/>
              </w:rPr>
              <w:t>Knihovna</w:t>
            </w:r>
          </w:p>
        </w:tc>
        <w:tc>
          <w:tcPr>
            <w:tcW w:w="814" w:type="pct"/>
            <w:noWrap/>
            <w:vAlign w:val="center"/>
          </w:tcPr>
          <w:p w14:paraId="7F7CFDFC" w14:textId="26075099" w:rsidR="000B42C3" w:rsidRDefault="000B42C3" w:rsidP="000B42C3">
            <w:pPr>
              <w:jc w:val="right"/>
              <w:rPr>
                <w:rFonts w:ascii="Aptos Narrow" w:hAnsi="Aptos Narrow" w:cs="Arial"/>
                <w:color w:val="000000"/>
              </w:rPr>
            </w:pPr>
            <w:r>
              <w:rPr>
                <w:rFonts w:ascii="Aptos Narrow" w:hAnsi="Aptos Narrow" w:cs="Arial"/>
                <w:color w:val="000000"/>
              </w:rPr>
              <w:t>21</w:t>
            </w:r>
          </w:p>
        </w:tc>
        <w:tc>
          <w:tcPr>
            <w:tcW w:w="1031" w:type="pct"/>
            <w:noWrap/>
            <w:vAlign w:val="center"/>
          </w:tcPr>
          <w:p w14:paraId="7928AF5E" w14:textId="366053D5" w:rsidR="000B42C3" w:rsidRDefault="000B42C3" w:rsidP="000B42C3">
            <w:pPr>
              <w:jc w:val="right"/>
              <w:rPr>
                <w:rFonts w:ascii="Aptos Narrow" w:hAnsi="Aptos Narrow" w:cs="Arial"/>
                <w:color w:val="000000"/>
              </w:rPr>
            </w:pPr>
            <w:r>
              <w:rPr>
                <w:rFonts w:ascii="Aptos Narrow" w:hAnsi="Aptos Narrow" w:cs="Arial"/>
                <w:color w:val="000000"/>
              </w:rPr>
              <w:t>0</w:t>
            </w:r>
          </w:p>
        </w:tc>
        <w:tc>
          <w:tcPr>
            <w:tcW w:w="874" w:type="pct"/>
            <w:noWrap/>
            <w:vAlign w:val="center"/>
          </w:tcPr>
          <w:p w14:paraId="28DCAEE6" w14:textId="535C4711" w:rsidR="000B42C3" w:rsidRDefault="00931738" w:rsidP="000B42C3">
            <w:pPr>
              <w:jc w:val="right"/>
              <w:rPr>
                <w:rFonts w:ascii="Aptos Narrow" w:hAnsi="Aptos Narrow" w:cs="Arial"/>
                <w:color w:val="000000"/>
              </w:rPr>
            </w:pPr>
            <w:r>
              <w:rPr>
                <w:rFonts w:ascii="Aptos Narrow" w:hAnsi="Aptos Narrow" w:cs="Arial"/>
                <w:color w:val="000000"/>
              </w:rPr>
              <w:t>10 596</w:t>
            </w:r>
          </w:p>
        </w:tc>
        <w:tc>
          <w:tcPr>
            <w:tcW w:w="875" w:type="pct"/>
            <w:noWrap/>
            <w:vAlign w:val="center"/>
          </w:tcPr>
          <w:p w14:paraId="352E69DF" w14:textId="5F9856BB" w:rsidR="000B42C3" w:rsidRDefault="000B42C3" w:rsidP="000B42C3">
            <w:pPr>
              <w:jc w:val="right"/>
              <w:rPr>
                <w:rFonts w:ascii="Aptos Narrow" w:hAnsi="Aptos Narrow" w:cs="Arial"/>
                <w:color w:val="000000"/>
              </w:rPr>
            </w:pPr>
            <w:r>
              <w:rPr>
                <w:rFonts w:ascii="Aptos Narrow" w:hAnsi="Aptos Narrow" w:cs="Arial"/>
                <w:color w:val="000000"/>
              </w:rPr>
              <w:t>0</w:t>
            </w:r>
          </w:p>
        </w:tc>
        <w:tc>
          <w:tcPr>
            <w:tcW w:w="624" w:type="pct"/>
            <w:noWrap/>
            <w:vAlign w:val="center"/>
          </w:tcPr>
          <w:p w14:paraId="50A07251" w14:textId="13DC6028" w:rsidR="000B42C3" w:rsidRDefault="009B2B2B" w:rsidP="000B42C3">
            <w:pPr>
              <w:jc w:val="right"/>
              <w:rPr>
                <w:rFonts w:ascii="Aptos Narrow" w:hAnsi="Aptos Narrow" w:cs="Arial"/>
                <w:color w:val="000000"/>
              </w:rPr>
            </w:pPr>
            <w:r>
              <w:rPr>
                <w:rFonts w:ascii="Aptos Narrow" w:hAnsi="Aptos Narrow" w:cs="Arial"/>
                <w:color w:val="000000"/>
              </w:rPr>
              <w:t>0</w:t>
            </w:r>
          </w:p>
        </w:tc>
      </w:tr>
      <w:tr w:rsidR="00A95461" w:rsidRPr="009F08BA" w14:paraId="1F79A637" w14:textId="77777777" w:rsidTr="00A95461">
        <w:trPr>
          <w:trHeight w:val="320"/>
        </w:trPr>
        <w:tc>
          <w:tcPr>
            <w:tcW w:w="782" w:type="pct"/>
            <w:noWrap/>
            <w:vAlign w:val="center"/>
            <w:hideMark/>
          </w:tcPr>
          <w:p w14:paraId="6045D6C2" w14:textId="77777777" w:rsidR="00A95461" w:rsidRPr="00FD4FD2" w:rsidRDefault="00A95461" w:rsidP="00A95461">
            <w:pPr>
              <w:rPr>
                <w:rFonts w:ascii="Aptos Narrow" w:hAnsi="Aptos Narrow"/>
                <w:color w:val="000000"/>
                <w:lang w:eastAsia="cs-CZ"/>
              </w:rPr>
            </w:pPr>
            <w:r w:rsidRPr="00FD4FD2">
              <w:rPr>
                <w:rFonts w:ascii="Aptos Narrow" w:hAnsi="Aptos Narrow"/>
                <w:color w:val="000000"/>
                <w:lang w:eastAsia="cs-CZ"/>
              </w:rPr>
              <w:t>Rektorát</w:t>
            </w:r>
          </w:p>
        </w:tc>
        <w:tc>
          <w:tcPr>
            <w:tcW w:w="814" w:type="pct"/>
            <w:noWrap/>
            <w:vAlign w:val="center"/>
          </w:tcPr>
          <w:p w14:paraId="724CC417" w14:textId="483C1D44" w:rsidR="00A95461" w:rsidRPr="00FD4FD2" w:rsidRDefault="007306DB" w:rsidP="00A95461">
            <w:pPr>
              <w:jc w:val="right"/>
              <w:rPr>
                <w:rFonts w:ascii="Aptos Narrow" w:hAnsi="Aptos Narrow"/>
                <w:color w:val="000000"/>
                <w:lang w:eastAsia="cs-CZ"/>
              </w:rPr>
            </w:pPr>
            <w:r>
              <w:rPr>
                <w:rFonts w:ascii="Aptos Narrow" w:hAnsi="Aptos Narrow" w:cs="Arial"/>
                <w:color w:val="000000"/>
              </w:rPr>
              <w:t>44</w:t>
            </w:r>
          </w:p>
        </w:tc>
        <w:tc>
          <w:tcPr>
            <w:tcW w:w="1031" w:type="pct"/>
            <w:noWrap/>
            <w:vAlign w:val="center"/>
          </w:tcPr>
          <w:p w14:paraId="060B8A9D" w14:textId="5F1FA390" w:rsidR="00A95461" w:rsidRPr="00FD4FD2" w:rsidRDefault="00A95461" w:rsidP="00A95461">
            <w:pPr>
              <w:jc w:val="right"/>
              <w:rPr>
                <w:rFonts w:ascii="Aptos Narrow" w:hAnsi="Aptos Narrow"/>
                <w:color w:val="000000"/>
                <w:lang w:eastAsia="cs-CZ"/>
              </w:rPr>
            </w:pPr>
            <w:r>
              <w:rPr>
                <w:rFonts w:ascii="Aptos Narrow" w:hAnsi="Aptos Narrow" w:cs="Arial"/>
                <w:color w:val="000000"/>
              </w:rPr>
              <w:t>0</w:t>
            </w:r>
          </w:p>
        </w:tc>
        <w:tc>
          <w:tcPr>
            <w:tcW w:w="874" w:type="pct"/>
            <w:noWrap/>
            <w:vAlign w:val="center"/>
          </w:tcPr>
          <w:p w14:paraId="03D15E03" w14:textId="3AE008C3" w:rsidR="00A95461" w:rsidRPr="00FD4FD2" w:rsidRDefault="00A95461" w:rsidP="00A95461">
            <w:pPr>
              <w:jc w:val="right"/>
              <w:rPr>
                <w:rFonts w:ascii="Aptos Narrow" w:hAnsi="Aptos Narrow"/>
                <w:color w:val="000000"/>
                <w:lang w:eastAsia="cs-CZ"/>
              </w:rPr>
            </w:pPr>
            <w:r>
              <w:rPr>
                <w:rFonts w:ascii="Aptos Narrow" w:hAnsi="Aptos Narrow" w:cs="Arial"/>
                <w:color w:val="000000"/>
              </w:rPr>
              <w:t>28 884</w:t>
            </w:r>
          </w:p>
        </w:tc>
        <w:tc>
          <w:tcPr>
            <w:tcW w:w="875" w:type="pct"/>
            <w:noWrap/>
            <w:vAlign w:val="center"/>
          </w:tcPr>
          <w:p w14:paraId="12105CAE" w14:textId="4EE142C8" w:rsidR="00A95461" w:rsidRPr="00FD4FD2" w:rsidRDefault="00A95461" w:rsidP="00A95461">
            <w:pPr>
              <w:jc w:val="right"/>
              <w:rPr>
                <w:rFonts w:ascii="Aptos Narrow" w:hAnsi="Aptos Narrow"/>
                <w:color w:val="000000"/>
                <w:lang w:eastAsia="cs-CZ"/>
              </w:rPr>
            </w:pPr>
            <w:r>
              <w:rPr>
                <w:rFonts w:ascii="Aptos Narrow" w:hAnsi="Aptos Narrow" w:cs="Arial"/>
                <w:color w:val="000000"/>
              </w:rPr>
              <w:t>0</w:t>
            </w:r>
          </w:p>
        </w:tc>
        <w:tc>
          <w:tcPr>
            <w:tcW w:w="624" w:type="pct"/>
            <w:noWrap/>
            <w:vAlign w:val="center"/>
          </w:tcPr>
          <w:p w14:paraId="18C02C8C" w14:textId="19ED8533" w:rsidR="00A95461" w:rsidRPr="00FD4FD2" w:rsidRDefault="009B2B2B" w:rsidP="00A95461">
            <w:pPr>
              <w:jc w:val="right"/>
              <w:rPr>
                <w:rFonts w:ascii="Aptos Narrow" w:hAnsi="Aptos Narrow"/>
                <w:color w:val="000000"/>
                <w:lang w:eastAsia="cs-CZ"/>
              </w:rPr>
            </w:pPr>
            <w:r>
              <w:rPr>
                <w:rFonts w:ascii="Aptos Narrow" w:hAnsi="Aptos Narrow" w:cs="Arial"/>
                <w:color w:val="000000"/>
              </w:rPr>
              <w:t>44</w:t>
            </w:r>
          </w:p>
        </w:tc>
      </w:tr>
      <w:tr w:rsidR="00A95461" w:rsidRPr="009F08BA" w14:paraId="4E69D9E4" w14:textId="77777777" w:rsidTr="00A95461">
        <w:trPr>
          <w:trHeight w:val="320"/>
        </w:trPr>
        <w:tc>
          <w:tcPr>
            <w:tcW w:w="782" w:type="pct"/>
            <w:noWrap/>
            <w:vAlign w:val="center"/>
            <w:hideMark/>
          </w:tcPr>
          <w:p w14:paraId="18EA5E08" w14:textId="77777777" w:rsidR="00A95461" w:rsidRPr="00FD4FD2" w:rsidRDefault="00A95461" w:rsidP="00A95461">
            <w:pPr>
              <w:rPr>
                <w:rFonts w:ascii="Aptos Narrow" w:hAnsi="Aptos Narrow"/>
                <w:color w:val="000000"/>
                <w:lang w:eastAsia="cs-CZ"/>
              </w:rPr>
            </w:pPr>
            <w:r w:rsidRPr="00FD4FD2">
              <w:rPr>
                <w:rFonts w:ascii="Aptos Narrow" w:hAnsi="Aptos Narrow"/>
                <w:color w:val="000000"/>
                <w:lang w:eastAsia="cs-CZ"/>
              </w:rPr>
              <w:t>UTB</w:t>
            </w:r>
          </w:p>
        </w:tc>
        <w:tc>
          <w:tcPr>
            <w:tcW w:w="814" w:type="pct"/>
            <w:noWrap/>
            <w:vAlign w:val="center"/>
          </w:tcPr>
          <w:p w14:paraId="72260868" w14:textId="32EBC4B3" w:rsidR="00A95461" w:rsidRPr="00FD4FD2" w:rsidRDefault="00A95461" w:rsidP="00A95461">
            <w:pPr>
              <w:jc w:val="right"/>
              <w:rPr>
                <w:rFonts w:ascii="Aptos Narrow" w:hAnsi="Aptos Narrow"/>
                <w:color w:val="000000"/>
                <w:lang w:eastAsia="cs-CZ"/>
              </w:rPr>
            </w:pPr>
            <w:r>
              <w:rPr>
                <w:rFonts w:ascii="Aptos Narrow" w:hAnsi="Aptos Narrow" w:cs="Arial"/>
                <w:color w:val="000000"/>
              </w:rPr>
              <w:t>0</w:t>
            </w:r>
          </w:p>
        </w:tc>
        <w:tc>
          <w:tcPr>
            <w:tcW w:w="1031" w:type="pct"/>
            <w:noWrap/>
            <w:vAlign w:val="center"/>
          </w:tcPr>
          <w:p w14:paraId="381D8421" w14:textId="3C185A1B" w:rsidR="00A95461" w:rsidRPr="00FD4FD2" w:rsidRDefault="007306DB" w:rsidP="00A95461">
            <w:pPr>
              <w:jc w:val="right"/>
              <w:rPr>
                <w:rFonts w:ascii="Aptos Narrow" w:hAnsi="Aptos Narrow"/>
                <w:color w:val="000000"/>
                <w:lang w:eastAsia="cs-CZ"/>
              </w:rPr>
            </w:pPr>
            <w:r>
              <w:rPr>
                <w:rFonts w:ascii="Aptos Narrow" w:hAnsi="Aptos Narrow" w:cs="Arial"/>
                <w:color w:val="000000"/>
              </w:rPr>
              <w:t>37</w:t>
            </w:r>
          </w:p>
        </w:tc>
        <w:tc>
          <w:tcPr>
            <w:tcW w:w="874" w:type="pct"/>
            <w:noWrap/>
            <w:vAlign w:val="center"/>
          </w:tcPr>
          <w:p w14:paraId="5F62B3B0" w14:textId="25388FE7" w:rsidR="00A95461" w:rsidRPr="00FD4FD2" w:rsidRDefault="00A95461" w:rsidP="00A95461">
            <w:pPr>
              <w:jc w:val="right"/>
              <w:rPr>
                <w:rFonts w:ascii="Aptos Narrow" w:hAnsi="Aptos Narrow"/>
                <w:color w:val="000000"/>
                <w:lang w:eastAsia="cs-CZ"/>
              </w:rPr>
            </w:pPr>
            <w:r>
              <w:rPr>
                <w:rFonts w:ascii="Aptos Narrow" w:hAnsi="Aptos Narrow" w:cs="Arial"/>
                <w:color w:val="000000"/>
              </w:rPr>
              <w:t>224 360</w:t>
            </w:r>
          </w:p>
        </w:tc>
        <w:tc>
          <w:tcPr>
            <w:tcW w:w="875" w:type="pct"/>
            <w:noWrap/>
            <w:vAlign w:val="center"/>
          </w:tcPr>
          <w:p w14:paraId="68944EA3" w14:textId="2E16DF50" w:rsidR="00A95461" w:rsidRPr="00FD4FD2" w:rsidRDefault="00A95461" w:rsidP="00A95461">
            <w:pPr>
              <w:jc w:val="right"/>
              <w:rPr>
                <w:rFonts w:ascii="Aptos Narrow" w:hAnsi="Aptos Narrow"/>
                <w:color w:val="000000"/>
                <w:lang w:eastAsia="cs-CZ"/>
              </w:rPr>
            </w:pPr>
            <w:r>
              <w:rPr>
                <w:rFonts w:ascii="Aptos Narrow" w:hAnsi="Aptos Narrow" w:cs="Arial"/>
                <w:color w:val="000000"/>
              </w:rPr>
              <w:t>9</w:t>
            </w:r>
          </w:p>
        </w:tc>
        <w:tc>
          <w:tcPr>
            <w:tcW w:w="624" w:type="pct"/>
            <w:noWrap/>
            <w:vAlign w:val="center"/>
          </w:tcPr>
          <w:p w14:paraId="1C99AC0B" w14:textId="4AE9F1DB" w:rsidR="00A95461" w:rsidRPr="00FD4FD2" w:rsidRDefault="009B2B2B" w:rsidP="00A95461">
            <w:pPr>
              <w:jc w:val="right"/>
              <w:rPr>
                <w:rFonts w:ascii="Aptos Narrow" w:hAnsi="Aptos Narrow"/>
                <w:color w:val="000000"/>
                <w:lang w:eastAsia="cs-CZ"/>
              </w:rPr>
            </w:pPr>
            <w:r>
              <w:rPr>
                <w:rFonts w:ascii="Aptos Narrow" w:hAnsi="Aptos Narrow" w:cs="Arial"/>
                <w:color w:val="000000"/>
              </w:rPr>
              <w:t>181</w:t>
            </w:r>
          </w:p>
        </w:tc>
      </w:tr>
      <w:tr w:rsidR="00A95461" w:rsidRPr="009F08BA" w14:paraId="7464CF8A" w14:textId="77777777" w:rsidTr="00A95461">
        <w:trPr>
          <w:trHeight w:val="320"/>
        </w:trPr>
        <w:tc>
          <w:tcPr>
            <w:tcW w:w="782" w:type="pct"/>
            <w:noWrap/>
            <w:vAlign w:val="center"/>
          </w:tcPr>
          <w:p w14:paraId="1F88BF82" w14:textId="2FD5260F" w:rsidR="00A95461" w:rsidRPr="00FD4FD2" w:rsidRDefault="00A95461" w:rsidP="00A95461">
            <w:pPr>
              <w:rPr>
                <w:rFonts w:ascii="Aptos Narrow" w:hAnsi="Aptos Narrow"/>
                <w:color w:val="000000"/>
                <w:lang w:eastAsia="cs-CZ"/>
              </w:rPr>
            </w:pPr>
            <w:r w:rsidRPr="003570F8">
              <w:rPr>
                <w:rFonts w:ascii="Aptos Narrow" w:hAnsi="Aptos Narrow"/>
                <w:b/>
                <w:bCs/>
                <w:color w:val="000000"/>
                <w:lang w:eastAsia="cs-CZ"/>
              </w:rPr>
              <w:t>Celkem</w:t>
            </w:r>
          </w:p>
        </w:tc>
        <w:tc>
          <w:tcPr>
            <w:tcW w:w="814" w:type="pct"/>
            <w:noWrap/>
            <w:vAlign w:val="center"/>
          </w:tcPr>
          <w:p w14:paraId="5C279419" w14:textId="4829A6A8" w:rsidR="00A95461" w:rsidRPr="00FD4FD2" w:rsidRDefault="00A95461" w:rsidP="00A95461">
            <w:pPr>
              <w:jc w:val="right"/>
              <w:rPr>
                <w:rFonts w:ascii="Aptos Narrow" w:hAnsi="Aptos Narrow"/>
                <w:color w:val="000000"/>
                <w:lang w:eastAsia="cs-CZ"/>
              </w:rPr>
            </w:pPr>
            <w:r>
              <w:rPr>
                <w:rFonts w:ascii="Aptos Narrow" w:hAnsi="Aptos Narrow" w:cs="Arial"/>
                <w:b/>
                <w:bCs/>
                <w:color w:val="000000"/>
              </w:rPr>
              <w:t>17</w:t>
            </w:r>
            <w:r w:rsidR="007306DB">
              <w:rPr>
                <w:rFonts w:ascii="Aptos Narrow" w:hAnsi="Aptos Narrow" w:cs="Arial"/>
                <w:b/>
                <w:bCs/>
                <w:color w:val="000000"/>
              </w:rPr>
              <w:t>6</w:t>
            </w:r>
          </w:p>
        </w:tc>
        <w:tc>
          <w:tcPr>
            <w:tcW w:w="1031" w:type="pct"/>
            <w:noWrap/>
            <w:vAlign w:val="center"/>
          </w:tcPr>
          <w:p w14:paraId="756973EC" w14:textId="0EE9BDA4" w:rsidR="00A95461" w:rsidRPr="00FD4FD2" w:rsidRDefault="00931738" w:rsidP="00A95461">
            <w:pPr>
              <w:jc w:val="right"/>
              <w:rPr>
                <w:rFonts w:ascii="Aptos Narrow" w:hAnsi="Aptos Narrow"/>
                <w:color w:val="000000"/>
                <w:lang w:eastAsia="cs-CZ"/>
              </w:rPr>
            </w:pPr>
            <w:r>
              <w:rPr>
                <w:rFonts w:ascii="Aptos Narrow" w:hAnsi="Aptos Narrow" w:cs="Arial"/>
                <w:b/>
                <w:bCs/>
                <w:color w:val="000000"/>
              </w:rPr>
              <w:t>24 169</w:t>
            </w:r>
          </w:p>
        </w:tc>
        <w:tc>
          <w:tcPr>
            <w:tcW w:w="874" w:type="pct"/>
            <w:noWrap/>
            <w:vAlign w:val="center"/>
          </w:tcPr>
          <w:p w14:paraId="699113B3" w14:textId="5287C2B3" w:rsidR="00A95461" w:rsidRPr="00FD4FD2" w:rsidRDefault="009B2B2B" w:rsidP="00A95461">
            <w:pPr>
              <w:jc w:val="right"/>
              <w:rPr>
                <w:rFonts w:ascii="Aptos Narrow" w:hAnsi="Aptos Narrow"/>
                <w:color w:val="000000"/>
                <w:lang w:eastAsia="cs-CZ"/>
              </w:rPr>
            </w:pPr>
            <w:r>
              <w:rPr>
                <w:rFonts w:ascii="Aptos Narrow" w:hAnsi="Aptos Narrow" w:cs="Arial"/>
                <w:b/>
                <w:bCs/>
                <w:color w:val="000000"/>
              </w:rPr>
              <w:t>784 052</w:t>
            </w:r>
          </w:p>
        </w:tc>
        <w:tc>
          <w:tcPr>
            <w:tcW w:w="875" w:type="pct"/>
            <w:noWrap/>
            <w:vAlign w:val="center"/>
          </w:tcPr>
          <w:p w14:paraId="7DADBAAD" w14:textId="6828049B" w:rsidR="00A95461" w:rsidRPr="00FD4FD2" w:rsidRDefault="009B2B2B" w:rsidP="00A95461">
            <w:pPr>
              <w:jc w:val="right"/>
              <w:rPr>
                <w:rFonts w:ascii="Aptos Narrow" w:hAnsi="Aptos Narrow"/>
                <w:color w:val="000000"/>
                <w:lang w:eastAsia="cs-CZ"/>
              </w:rPr>
            </w:pPr>
            <w:r>
              <w:rPr>
                <w:rFonts w:ascii="Aptos Narrow" w:hAnsi="Aptos Narrow" w:cs="Arial"/>
                <w:b/>
                <w:bCs/>
                <w:color w:val="000000"/>
              </w:rPr>
              <w:t>404</w:t>
            </w:r>
          </w:p>
        </w:tc>
        <w:tc>
          <w:tcPr>
            <w:tcW w:w="624" w:type="pct"/>
            <w:noWrap/>
            <w:vAlign w:val="center"/>
          </w:tcPr>
          <w:p w14:paraId="0CDF7A55" w14:textId="06DB6277" w:rsidR="00A95461" w:rsidRPr="00FD4FD2" w:rsidRDefault="007306DB" w:rsidP="00A95461">
            <w:pPr>
              <w:jc w:val="right"/>
              <w:rPr>
                <w:rFonts w:ascii="Aptos Narrow" w:hAnsi="Aptos Narrow"/>
                <w:color w:val="000000"/>
                <w:lang w:eastAsia="cs-CZ"/>
              </w:rPr>
            </w:pPr>
            <w:r>
              <w:rPr>
                <w:rFonts w:ascii="Aptos Narrow" w:hAnsi="Aptos Narrow" w:cs="Arial"/>
                <w:b/>
                <w:bCs/>
                <w:color w:val="000000"/>
              </w:rPr>
              <w:t>6 517</w:t>
            </w:r>
          </w:p>
        </w:tc>
      </w:tr>
    </w:tbl>
    <w:p w14:paraId="1608E56E" w14:textId="77777777" w:rsidR="009F08BA" w:rsidRDefault="009F08BA" w:rsidP="00D7187E">
      <w:pPr>
        <w:pStyle w:val="RozpocetOdstavec"/>
      </w:pPr>
    </w:p>
    <w:p w14:paraId="06326206" w14:textId="77777777" w:rsidR="007555B1" w:rsidRDefault="007555B1" w:rsidP="00D7187E">
      <w:pPr>
        <w:pStyle w:val="RozpocetOdstavec"/>
      </w:pPr>
    </w:p>
    <w:p w14:paraId="2458209E" w14:textId="77777777" w:rsidR="005F5809" w:rsidRDefault="005F5809" w:rsidP="005F5809">
      <w:pPr>
        <w:pStyle w:val="RozpocetNadpis2"/>
      </w:pPr>
      <w:bookmarkStart w:id="76" w:name="_Toc155555638"/>
      <w:bookmarkStart w:id="77" w:name="_Toc218018991"/>
      <w:bookmarkStart w:id="78" w:name="_Toc228824367"/>
      <w:r>
        <w:t>Čerpání DKRVO na organizačních jednotkách</w:t>
      </w:r>
      <w:bookmarkEnd w:id="76"/>
      <w:bookmarkEnd w:id="77"/>
      <w:bookmarkEnd w:id="78"/>
    </w:p>
    <w:p w14:paraId="63E80CDC" w14:textId="77777777" w:rsidR="005F5809" w:rsidRPr="000A20AA" w:rsidRDefault="005F5809" w:rsidP="005F5809">
      <w:pPr>
        <w:pStyle w:val="RozpocetOdstavec"/>
      </w:pPr>
      <w:r w:rsidRPr="000A20AA">
        <w:t>V souladu s doporučením MŠMT vysokým školám pro užití prostředků poskytovaných na DKRVO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DKRVO, jsou návazně na UTB preferovány oblasti témat pro distribuci prostředků DKRVO formou interních projektů týkající se zejména:</w:t>
      </w:r>
    </w:p>
    <w:p w14:paraId="58424E5B" w14:textId="77777777" w:rsidR="005F5809" w:rsidRPr="000A20AA" w:rsidRDefault="005F5809" w:rsidP="005F5809">
      <w:pPr>
        <w:pStyle w:val="Odstavecseseznamem"/>
        <w:numPr>
          <w:ilvl w:val="0"/>
          <w:numId w:val="40"/>
        </w:numPr>
      </w:pPr>
      <w:r w:rsidRPr="000A20AA">
        <w:t>systému kariérního růstu akademických a vědeckých pracovníků,</w:t>
      </w:r>
    </w:p>
    <w:p w14:paraId="02C4CB42" w14:textId="77777777" w:rsidR="005F5809" w:rsidRPr="000A20AA" w:rsidRDefault="005F5809" w:rsidP="005F5809">
      <w:pPr>
        <w:pStyle w:val="Odstavecseseznamem"/>
        <w:numPr>
          <w:ilvl w:val="0"/>
          <w:numId w:val="40"/>
        </w:numPr>
      </w:pPr>
      <w:r w:rsidRPr="000A20AA">
        <w:t>systémových opatření pro podporu kvalitního výzkumu,</w:t>
      </w:r>
    </w:p>
    <w:p w14:paraId="52B6606B" w14:textId="77777777" w:rsidR="005F5809" w:rsidRPr="000A20AA" w:rsidRDefault="005F5809" w:rsidP="005F5809">
      <w:pPr>
        <w:pStyle w:val="Odstavecseseznamem"/>
        <w:numPr>
          <w:ilvl w:val="0"/>
          <w:numId w:val="40"/>
        </w:numPr>
      </w:pPr>
      <w:r w:rsidRPr="000A20AA">
        <w:t>podpory mezinárodní spolupráce a projektů mezinárodní spolupráce,</w:t>
      </w:r>
    </w:p>
    <w:p w14:paraId="399DC09D" w14:textId="77777777" w:rsidR="005F5809" w:rsidRPr="000A20AA" w:rsidRDefault="005F5809" w:rsidP="005F5809">
      <w:pPr>
        <w:pStyle w:val="Odstavecseseznamem"/>
        <w:numPr>
          <w:ilvl w:val="0"/>
          <w:numId w:val="40"/>
        </w:numPr>
      </w:pPr>
      <w:r w:rsidRPr="000A20AA">
        <w:t>udržení a podpory excelentních výzkumníků,</w:t>
      </w:r>
    </w:p>
    <w:p w14:paraId="73F32C69" w14:textId="77777777" w:rsidR="005F5809" w:rsidRPr="000A20AA" w:rsidRDefault="005F5809" w:rsidP="005F5809">
      <w:pPr>
        <w:pStyle w:val="Odstavecseseznamem"/>
        <w:numPr>
          <w:ilvl w:val="0"/>
          <w:numId w:val="40"/>
        </w:numPr>
      </w:pPr>
      <w:r w:rsidRPr="000A20AA">
        <w:t>naplňování interních a národních strategií a oblasti lidských zdrojů,</w:t>
      </w:r>
    </w:p>
    <w:p w14:paraId="52FBAF21" w14:textId="77777777" w:rsidR="005F5809" w:rsidRPr="000A20AA" w:rsidRDefault="005F5809" w:rsidP="005F5809">
      <w:pPr>
        <w:pStyle w:val="Odstavecseseznamem"/>
        <w:numPr>
          <w:ilvl w:val="0"/>
          <w:numId w:val="40"/>
        </w:numPr>
      </w:pPr>
      <w:r w:rsidRPr="000A20AA">
        <w:t>podpory řízeného týmového výzkumu v excelentních směrech.</w:t>
      </w:r>
    </w:p>
    <w:p w14:paraId="1C7A6FEA" w14:textId="77777777" w:rsidR="005F5809" w:rsidRPr="000A20AA" w:rsidRDefault="005F5809" w:rsidP="005F5809">
      <w:pPr>
        <w:pStyle w:val="RozpocetOdstavec"/>
      </w:pPr>
    </w:p>
    <w:p w14:paraId="20241F34" w14:textId="77777777" w:rsidR="005F5809" w:rsidRPr="000A20AA" w:rsidRDefault="005F5809" w:rsidP="005F5809">
      <w:pPr>
        <w:pStyle w:val="RozpocetOdstavec"/>
      </w:pPr>
      <w:r w:rsidRPr="000A20AA">
        <w:t>Součásti budou čerpat část prostředků formou interních projektů. Interní projekty musí být        v souladu s cíli strategických materiálů UTB nebo obdobných materiálů na fakultní úrovni              a musí být vyčerpáno min. 30 % z celkových přidělených prostředků na DKRVO součásti.</w:t>
      </w:r>
    </w:p>
    <w:p w14:paraId="24CDD466" w14:textId="77777777" w:rsidR="005F5809" w:rsidRPr="000A20AA" w:rsidRDefault="005F5809" w:rsidP="005F5809">
      <w:pPr>
        <w:pStyle w:val="RozpocetOdstavec"/>
      </w:pPr>
    </w:p>
    <w:p w14:paraId="075A23FA" w14:textId="77777777" w:rsidR="005F5809" w:rsidRPr="000A20AA" w:rsidRDefault="005F5809" w:rsidP="005F5809">
      <w:pPr>
        <w:pStyle w:val="RozpocetOdstavec"/>
      </w:pPr>
      <w:r w:rsidRPr="000A20AA">
        <w:t>Interní použití prostředků se řídí následujícími pravidly:</w:t>
      </w:r>
    </w:p>
    <w:p w14:paraId="2822D5E9" w14:textId="77777777" w:rsidR="005F5809" w:rsidRPr="000A20AA" w:rsidRDefault="005F5809" w:rsidP="005F5809">
      <w:pPr>
        <w:pStyle w:val="Odstavecseseznamem"/>
        <w:numPr>
          <w:ilvl w:val="0"/>
          <w:numId w:val="41"/>
        </w:numPr>
        <w:jc w:val="both"/>
      </w:pPr>
      <w:r w:rsidRPr="000A20AA">
        <w:t>projekty schvaluje rektor,</w:t>
      </w:r>
    </w:p>
    <w:p w14:paraId="5B7505F0" w14:textId="77777777" w:rsidR="005F5809" w:rsidRPr="000A20AA" w:rsidRDefault="005F5809" w:rsidP="005F5809">
      <w:pPr>
        <w:pStyle w:val="Odstavecseseznamem"/>
        <w:numPr>
          <w:ilvl w:val="0"/>
          <w:numId w:val="41"/>
        </w:numPr>
        <w:jc w:val="both"/>
      </w:pPr>
      <w:r w:rsidRPr="000A20AA">
        <w:t>projekty budou evidovány na samostatných SPP prvcích. Čerpání na těchto SPP prvcích je možné i před schválením projektu rektorem, ale pouze za předpokladu, že v případě neschválení projektu rektorem nebudou náklady přeúčtovány, zůstanou ve zdroji DKRVO jako další fakultní podpora vědeckých projektů nad rámec povinných 30 %.</w:t>
      </w:r>
    </w:p>
    <w:p w14:paraId="3371AE2A" w14:textId="77777777" w:rsidR="005F5809" w:rsidRPr="000A20AA" w:rsidRDefault="005F5809" w:rsidP="005F5809">
      <w:pPr>
        <w:pStyle w:val="Odstavecseseznamem"/>
        <w:numPr>
          <w:ilvl w:val="0"/>
          <w:numId w:val="41"/>
        </w:numPr>
        <w:jc w:val="both"/>
      </w:pPr>
      <w:r w:rsidRPr="000A20AA">
        <w:t>projekty mohou být i víceleté, max. doba realizace do konce roku 2028,</w:t>
      </w:r>
    </w:p>
    <w:p w14:paraId="2B336344" w14:textId="77777777" w:rsidR="005F5809" w:rsidRPr="000A20AA" w:rsidRDefault="005F5809" w:rsidP="005F5809">
      <w:pPr>
        <w:pStyle w:val="Odstavecseseznamem"/>
        <w:numPr>
          <w:ilvl w:val="0"/>
          <w:numId w:val="41"/>
        </w:numPr>
        <w:jc w:val="both"/>
      </w:pPr>
      <w:r w:rsidRPr="000A20AA">
        <w:t>součást musí předložit projekty ke schválení rektorovi nejpozději do 2 měsíců od schválení Rozpisu rozpočtu UTB, nejpozději však do 31. 3. 2026. Pokud součást nepředloží projekty v požadovaném objemu do 31. 3. 2026, budou přidělené prostředky v daném objemu převedeny do interního Fondu strategického rozvoje.</w:t>
      </w:r>
    </w:p>
    <w:p w14:paraId="6D73F1A8" w14:textId="77777777" w:rsidR="005F5809" w:rsidRDefault="005F5809" w:rsidP="005F5809">
      <w:pPr>
        <w:pStyle w:val="RozpocetOdstavec"/>
      </w:pPr>
    </w:p>
    <w:p w14:paraId="140A9E97" w14:textId="77777777" w:rsidR="005F5809" w:rsidRDefault="005F5809" w:rsidP="005F5809">
      <w:pPr>
        <w:pStyle w:val="RozpocetNadpis2"/>
      </w:pPr>
      <w:bookmarkStart w:id="79" w:name="_Toc155555639"/>
      <w:bookmarkStart w:id="80" w:name="_Toc218018992"/>
      <w:bookmarkStart w:id="81" w:name="_Toc228824368"/>
      <w:r>
        <w:t xml:space="preserve">Čerpání prostředků na dlouhodobý majetek </w:t>
      </w:r>
      <w:bookmarkEnd w:id="79"/>
      <w:r>
        <w:t>součástí</w:t>
      </w:r>
      <w:bookmarkEnd w:id="80"/>
      <w:bookmarkEnd w:id="81"/>
    </w:p>
    <w:p w14:paraId="7672B156" w14:textId="77777777" w:rsidR="005F5809" w:rsidRPr="000A20AA" w:rsidRDefault="005F5809" w:rsidP="005F5809">
      <w:pPr>
        <w:pStyle w:val="RozpocetOdstavec"/>
      </w:pPr>
      <w:r w:rsidRPr="000A20AA">
        <w:t>Dlouhodobý hmotný i nehmotný majetek pořizovaný organizačními jednotkami (tzv. strojní investice) je financován přímo z disponibilních prostředků dané součásti formou výměny provozních prostředků za kapitálové. Výměny provozních prostředků za kapitálové budou             v roce 2026 realizovány na základě žádosti součásti. Výměnu realizuje kvestor na základě písemné žádosti.</w:t>
      </w:r>
    </w:p>
    <w:p w14:paraId="6EFAE486" w14:textId="1FB4C9F6" w:rsidR="003C441B" w:rsidRPr="000A20AA" w:rsidRDefault="003C441B" w:rsidP="00D7187E">
      <w:pPr>
        <w:pStyle w:val="RozpocetOdstavec"/>
      </w:pPr>
    </w:p>
    <w:p w14:paraId="01CBE784" w14:textId="77777777" w:rsidR="009F08BA" w:rsidRPr="00997289" w:rsidRDefault="009F08BA" w:rsidP="009F08BA">
      <w:pPr>
        <w:pStyle w:val="RozpocetNadpis2"/>
      </w:pPr>
      <w:bookmarkStart w:id="82" w:name="_Toc228824369"/>
      <w:r w:rsidRPr="00997289">
        <w:lastRenderedPageBreak/>
        <w:t>Investiční prostředky</w:t>
      </w:r>
      <w:bookmarkEnd w:id="82"/>
    </w:p>
    <w:p w14:paraId="067D6130" w14:textId="74986BB8" w:rsidR="009F08BA" w:rsidRPr="00997289" w:rsidRDefault="009F08BA" w:rsidP="00D7187E">
      <w:pPr>
        <w:pStyle w:val="RozpocetOdstavec"/>
      </w:pPr>
      <w:r w:rsidRPr="00997289">
        <w:t xml:space="preserve">Investiční prostředky organizačních jednotek jsou tvořeny zůstatkem fondu reprodukce investičního majetku (dále jen „FRIM“) a </w:t>
      </w:r>
      <w:r w:rsidR="00556610" w:rsidRPr="00997289">
        <w:t xml:space="preserve">možného přídělu </w:t>
      </w:r>
      <w:r w:rsidRPr="00997289">
        <w:t>hospodářského výsledku za rok 202</w:t>
      </w:r>
      <w:r w:rsidR="00997289" w:rsidRPr="00997289">
        <w:t>5</w:t>
      </w:r>
      <w:r w:rsidRPr="00997289">
        <w:t>.</w:t>
      </w:r>
    </w:p>
    <w:p w14:paraId="7AD14869" w14:textId="77777777" w:rsidR="00014AEA" w:rsidRPr="001840A4" w:rsidRDefault="00014AEA" w:rsidP="00D7187E">
      <w:pPr>
        <w:pStyle w:val="RozpocetOdstavec"/>
        <w:rPr>
          <w:highlight w:val="yellow"/>
        </w:rPr>
      </w:pPr>
    </w:p>
    <w:p w14:paraId="6D827820" w14:textId="19F3CCB9" w:rsidR="00014AEA" w:rsidRPr="004161CE" w:rsidRDefault="00014AEA" w:rsidP="00D7187E">
      <w:pPr>
        <w:pStyle w:val="RozpocetOdstavec"/>
      </w:pPr>
      <w:r w:rsidRPr="004161CE">
        <w:t>Počáteční zůstatek FRIM k 1. 1. 202</w:t>
      </w:r>
      <w:r w:rsidR="004161CE" w:rsidRPr="004161CE">
        <w:t>6</w:t>
      </w:r>
    </w:p>
    <w:p w14:paraId="130624B1" w14:textId="5FE4A1A2" w:rsidR="009F08BA" w:rsidRPr="001840A4" w:rsidRDefault="009F08BA" w:rsidP="00825E3B">
      <w:pPr>
        <w:pStyle w:val="RozpocetOdstavec"/>
        <w:jc w:val="cente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556610" w:rsidRPr="001840A4" w14:paraId="695F26C8" w14:textId="77777777" w:rsidTr="004161CE">
        <w:trPr>
          <w:trHeight w:val="340"/>
        </w:trPr>
        <w:tc>
          <w:tcPr>
            <w:tcW w:w="2500" w:type="pct"/>
            <w:shd w:val="clear" w:color="auto" w:fill="D9D9D9" w:themeFill="background1" w:themeFillShade="D9"/>
            <w:noWrap/>
            <w:vAlign w:val="center"/>
            <w:hideMark/>
          </w:tcPr>
          <w:p w14:paraId="6DBA51E3" w14:textId="14230ECA" w:rsidR="00556610" w:rsidRPr="004161CE" w:rsidRDefault="00556610" w:rsidP="004161CE">
            <w:pPr>
              <w:jc w:val="center"/>
              <w:rPr>
                <w:rFonts w:ascii="Aptos Narrow" w:hAnsi="Aptos Narrow"/>
                <w:b/>
                <w:bCs/>
                <w:color w:val="000000"/>
                <w:lang w:eastAsia="cs-CZ"/>
              </w:rPr>
            </w:pPr>
            <w:r w:rsidRPr="004161CE">
              <w:rPr>
                <w:rFonts w:ascii="Aptos Narrow" w:hAnsi="Aptos Narrow"/>
                <w:b/>
                <w:bCs/>
                <w:color w:val="000000"/>
                <w:lang w:eastAsia="cs-CZ"/>
              </w:rPr>
              <w:t>Součást</w:t>
            </w:r>
          </w:p>
        </w:tc>
        <w:tc>
          <w:tcPr>
            <w:tcW w:w="2500" w:type="pct"/>
            <w:shd w:val="clear" w:color="auto" w:fill="D9D9D9" w:themeFill="background1" w:themeFillShade="D9"/>
            <w:noWrap/>
            <w:vAlign w:val="center"/>
            <w:hideMark/>
          </w:tcPr>
          <w:p w14:paraId="1FE459E1" w14:textId="1750FA3F" w:rsidR="00556610" w:rsidRPr="004161CE" w:rsidRDefault="00556610" w:rsidP="004161CE">
            <w:pPr>
              <w:jc w:val="center"/>
              <w:rPr>
                <w:rFonts w:ascii="Aptos Narrow" w:hAnsi="Aptos Narrow"/>
                <w:b/>
                <w:bCs/>
                <w:color w:val="000000"/>
                <w:lang w:eastAsia="cs-CZ"/>
              </w:rPr>
            </w:pPr>
            <w:r w:rsidRPr="004161CE">
              <w:rPr>
                <w:rFonts w:ascii="Aptos Narrow" w:hAnsi="Aptos Narrow"/>
                <w:b/>
                <w:bCs/>
                <w:color w:val="000000"/>
                <w:lang w:eastAsia="cs-CZ"/>
              </w:rPr>
              <w:t xml:space="preserve">FRIM </w:t>
            </w:r>
            <w:r w:rsidR="00825E3B" w:rsidRPr="004161CE">
              <w:rPr>
                <w:rFonts w:ascii="Aptos Narrow" w:hAnsi="Aptos Narrow"/>
                <w:b/>
                <w:bCs/>
                <w:color w:val="000000"/>
                <w:lang w:eastAsia="cs-CZ"/>
              </w:rPr>
              <w:t>v tis. Kč</w:t>
            </w:r>
          </w:p>
        </w:tc>
      </w:tr>
      <w:tr w:rsidR="004161CE" w:rsidRPr="001840A4" w14:paraId="354AF95D" w14:textId="77777777" w:rsidTr="004161CE">
        <w:trPr>
          <w:trHeight w:val="320"/>
        </w:trPr>
        <w:tc>
          <w:tcPr>
            <w:tcW w:w="2500" w:type="pct"/>
            <w:noWrap/>
            <w:vAlign w:val="center"/>
            <w:hideMark/>
          </w:tcPr>
          <w:p w14:paraId="025FC883"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FT</w:t>
            </w:r>
          </w:p>
        </w:tc>
        <w:tc>
          <w:tcPr>
            <w:tcW w:w="2500" w:type="pct"/>
            <w:noWrap/>
            <w:vAlign w:val="center"/>
          </w:tcPr>
          <w:p w14:paraId="2F9BF4C0" w14:textId="44D63554"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13 664,30     </w:t>
            </w:r>
          </w:p>
        </w:tc>
      </w:tr>
      <w:tr w:rsidR="004161CE" w:rsidRPr="001840A4" w14:paraId="2A64840B" w14:textId="77777777" w:rsidTr="004161CE">
        <w:trPr>
          <w:trHeight w:val="320"/>
        </w:trPr>
        <w:tc>
          <w:tcPr>
            <w:tcW w:w="2500" w:type="pct"/>
            <w:noWrap/>
            <w:vAlign w:val="center"/>
            <w:hideMark/>
          </w:tcPr>
          <w:p w14:paraId="184D26BA"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FLKŘ</w:t>
            </w:r>
          </w:p>
        </w:tc>
        <w:tc>
          <w:tcPr>
            <w:tcW w:w="2500" w:type="pct"/>
            <w:noWrap/>
            <w:vAlign w:val="center"/>
          </w:tcPr>
          <w:p w14:paraId="62D35B0D" w14:textId="7CE17E6E"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843,35     </w:t>
            </w:r>
          </w:p>
        </w:tc>
      </w:tr>
      <w:tr w:rsidR="004161CE" w:rsidRPr="001840A4" w14:paraId="161415EF" w14:textId="77777777" w:rsidTr="004161CE">
        <w:trPr>
          <w:trHeight w:val="320"/>
        </w:trPr>
        <w:tc>
          <w:tcPr>
            <w:tcW w:w="2500" w:type="pct"/>
            <w:noWrap/>
            <w:vAlign w:val="center"/>
            <w:hideMark/>
          </w:tcPr>
          <w:p w14:paraId="6D2A709C"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FAI</w:t>
            </w:r>
          </w:p>
        </w:tc>
        <w:tc>
          <w:tcPr>
            <w:tcW w:w="2500" w:type="pct"/>
            <w:noWrap/>
            <w:vAlign w:val="center"/>
          </w:tcPr>
          <w:p w14:paraId="102F0FFA" w14:textId="5E20988E"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20 582,15     </w:t>
            </w:r>
          </w:p>
        </w:tc>
      </w:tr>
      <w:tr w:rsidR="004161CE" w:rsidRPr="001840A4" w14:paraId="4C878F94" w14:textId="77777777" w:rsidTr="004161CE">
        <w:trPr>
          <w:trHeight w:val="320"/>
        </w:trPr>
        <w:tc>
          <w:tcPr>
            <w:tcW w:w="2500" w:type="pct"/>
            <w:noWrap/>
            <w:vAlign w:val="center"/>
            <w:hideMark/>
          </w:tcPr>
          <w:p w14:paraId="1B9A3796"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FMK</w:t>
            </w:r>
          </w:p>
        </w:tc>
        <w:tc>
          <w:tcPr>
            <w:tcW w:w="2500" w:type="pct"/>
            <w:noWrap/>
            <w:vAlign w:val="center"/>
          </w:tcPr>
          <w:p w14:paraId="06532D18" w14:textId="08CACD97"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w:t>
            </w:r>
            <w:r w:rsidR="00587E1D">
              <w:rPr>
                <w:rFonts w:ascii="Aptos Narrow" w:hAnsi="Aptos Narrow"/>
                <w:color w:val="000000"/>
                <w:lang w:eastAsia="cs-CZ"/>
              </w:rPr>
              <w:t>4 966,01</w:t>
            </w:r>
            <w:r w:rsidRPr="004161CE">
              <w:rPr>
                <w:rFonts w:ascii="Aptos Narrow" w:hAnsi="Aptos Narrow"/>
                <w:color w:val="000000"/>
                <w:lang w:eastAsia="cs-CZ"/>
              </w:rPr>
              <w:t xml:space="preserve">     </w:t>
            </w:r>
          </w:p>
        </w:tc>
      </w:tr>
      <w:tr w:rsidR="004161CE" w:rsidRPr="001840A4" w14:paraId="3588D0F6" w14:textId="77777777" w:rsidTr="004161CE">
        <w:trPr>
          <w:trHeight w:val="320"/>
        </w:trPr>
        <w:tc>
          <w:tcPr>
            <w:tcW w:w="2500" w:type="pct"/>
            <w:noWrap/>
            <w:vAlign w:val="center"/>
            <w:hideMark/>
          </w:tcPr>
          <w:p w14:paraId="079C039A"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FaME</w:t>
            </w:r>
          </w:p>
        </w:tc>
        <w:tc>
          <w:tcPr>
            <w:tcW w:w="2500" w:type="pct"/>
            <w:noWrap/>
            <w:vAlign w:val="center"/>
          </w:tcPr>
          <w:p w14:paraId="0742CE77" w14:textId="30EA1295"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3 566,15     </w:t>
            </w:r>
          </w:p>
        </w:tc>
      </w:tr>
      <w:tr w:rsidR="004161CE" w:rsidRPr="001840A4" w14:paraId="6BEA9FE4" w14:textId="77777777" w:rsidTr="004161CE">
        <w:trPr>
          <w:trHeight w:val="320"/>
        </w:trPr>
        <w:tc>
          <w:tcPr>
            <w:tcW w:w="2500" w:type="pct"/>
            <w:noWrap/>
            <w:vAlign w:val="center"/>
            <w:hideMark/>
          </w:tcPr>
          <w:p w14:paraId="5CC53885"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FHS</w:t>
            </w:r>
          </w:p>
        </w:tc>
        <w:tc>
          <w:tcPr>
            <w:tcW w:w="2500" w:type="pct"/>
            <w:noWrap/>
            <w:vAlign w:val="center"/>
          </w:tcPr>
          <w:p w14:paraId="15162747" w14:textId="548B78D5"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15 973,72     </w:t>
            </w:r>
          </w:p>
        </w:tc>
      </w:tr>
      <w:tr w:rsidR="004161CE" w:rsidRPr="001840A4" w14:paraId="64DE64B7" w14:textId="77777777" w:rsidTr="004161CE">
        <w:trPr>
          <w:trHeight w:val="320"/>
        </w:trPr>
        <w:tc>
          <w:tcPr>
            <w:tcW w:w="2500" w:type="pct"/>
            <w:noWrap/>
            <w:vAlign w:val="center"/>
            <w:hideMark/>
          </w:tcPr>
          <w:p w14:paraId="2304DFA5"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UNI</w:t>
            </w:r>
          </w:p>
        </w:tc>
        <w:tc>
          <w:tcPr>
            <w:tcW w:w="2500" w:type="pct"/>
            <w:noWrap/>
            <w:vAlign w:val="center"/>
          </w:tcPr>
          <w:p w14:paraId="0D04937D" w14:textId="04C09034"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33 962,04     </w:t>
            </w:r>
          </w:p>
        </w:tc>
      </w:tr>
      <w:tr w:rsidR="004161CE" w:rsidRPr="001840A4" w14:paraId="62E2A743" w14:textId="77777777" w:rsidTr="004161CE">
        <w:trPr>
          <w:trHeight w:val="320"/>
        </w:trPr>
        <w:tc>
          <w:tcPr>
            <w:tcW w:w="2500" w:type="pct"/>
            <w:noWrap/>
            <w:vAlign w:val="center"/>
            <w:hideMark/>
          </w:tcPr>
          <w:p w14:paraId="10B0821D"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Knihovna</w:t>
            </w:r>
          </w:p>
        </w:tc>
        <w:tc>
          <w:tcPr>
            <w:tcW w:w="2500" w:type="pct"/>
            <w:noWrap/>
            <w:vAlign w:val="center"/>
          </w:tcPr>
          <w:p w14:paraId="5E7C4C27" w14:textId="52573718"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304,56     </w:t>
            </w:r>
          </w:p>
        </w:tc>
      </w:tr>
      <w:tr w:rsidR="004161CE" w:rsidRPr="001840A4" w14:paraId="0F0CDB35" w14:textId="77777777" w:rsidTr="004161CE">
        <w:trPr>
          <w:trHeight w:val="320"/>
        </w:trPr>
        <w:tc>
          <w:tcPr>
            <w:tcW w:w="2500" w:type="pct"/>
            <w:noWrap/>
            <w:vAlign w:val="center"/>
            <w:hideMark/>
          </w:tcPr>
          <w:p w14:paraId="2C37A24A"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KMZ</w:t>
            </w:r>
          </w:p>
        </w:tc>
        <w:tc>
          <w:tcPr>
            <w:tcW w:w="2500" w:type="pct"/>
            <w:noWrap/>
            <w:vAlign w:val="center"/>
          </w:tcPr>
          <w:p w14:paraId="6D59A867" w14:textId="766CFDFA"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6 529,11     </w:t>
            </w:r>
          </w:p>
        </w:tc>
      </w:tr>
      <w:tr w:rsidR="004161CE" w:rsidRPr="001840A4" w14:paraId="594E3D71" w14:textId="77777777" w:rsidTr="004161CE">
        <w:trPr>
          <w:trHeight w:val="320"/>
        </w:trPr>
        <w:tc>
          <w:tcPr>
            <w:tcW w:w="2500" w:type="pct"/>
            <w:noWrap/>
            <w:vAlign w:val="center"/>
            <w:hideMark/>
          </w:tcPr>
          <w:p w14:paraId="7B423C58"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Rektorát</w:t>
            </w:r>
          </w:p>
        </w:tc>
        <w:tc>
          <w:tcPr>
            <w:tcW w:w="2500" w:type="pct"/>
            <w:noWrap/>
            <w:vAlign w:val="center"/>
          </w:tcPr>
          <w:p w14:paraId="3711EFBC" w14:textId="2E99A13D" w:rsidR="004161CE" w:rsidRPr="004161CE" w:rsidRDefault="004161CE" w:rsidP="004161CE">
            <w:pPr>
              <w:jc w:val="right"/>
              <w:rPr>
                <w:rFonts w:ascii="Aptos Narrow" w:hAnsi="Aptos Narrow"/>
                <w:color w:val="000000"/>
                <w:lang w:eastAsia="cs-CZ"/>
              </w:rPr>
            </w:pPr>
            <w:r w:rsidRPr="004161CE">
              <w:rPr>
                <w:rFonts w:ascii="Aptos Narrow" w:hAnsi="Aptos Narrow"/>
                <w:color w:val="000000"/>
                <w:lang w:eastAsia="cs-CZ"/>
              </w:rPr>
              <w:t xml:space="preserve">                                        4 859,50     </w:t>
            </w:r>
          </w:p>
        </w:tc>
      </w:tr>
      <w:tr w:rsidR="004161CE" w:rsidRPr="001840A4" w14:paraId="354611CF" w14:textId="77777777" w:rsidTr="004161CE">
        <w:trPr>
          <w:trHeight w:val="320"/>
        </w:trPr>
        <w:tc>
          <w:tcPr>
            <w:tcW w:w="2500" w:type="pct"/>
            <w:noWrap/>
            <w:vAlign w:val="center"/>
            <w:hideMark/>
          </w:tcPr>
          <w:p w14:paraId="2997F0B1" w14:textId="77777777" w:rsidR="004161CE" w:rsidRPr="004161CE" w:rsidRDefault="004161CE" w:rsidP="004161CE">
            <w:pPr>
              <w:rPr>
                <w:rFonts w:ascii="Aptos Narrow" w:hAnsi="Aptos Narrow"/>
                <w:color w:val="000000"/>
                <w:lang w:eastAsia="cs-CZ"/>
              </w:rPr>
            </w:pPr>
            <w:r w:rsidRPr="004161CE">
              <w:rPr>
                <w:rFonts w:ascii="Aptos Narrow" w:hAnsi="Aptos Narrow"/>
                <w:color w:val="000000"/>
                <w:lang w:eastAsia="cs-CZ"/>
              </w:rPr>
              <w:t>UTB</w:t>
            </w:r>
          </w:p>
        </w:tc>
        <w:tc>
          <w:tcPr>
            <w:tcW w:w="2500" w:type="pct"/>
            <w:noWrap/>
            <w:vAlign w:val="center"/>
          </w:tcPr>
          <w:p w14:paraId="44F98B92" w14:textId="4F06ADE8" w:rsidR="004161CE" w:rsidRPr="004161CE" w:rsidRDefault="00587E1D" w:rsidP="004161CE">
            <w:pPr>
              <w:jc w:val="right"/>
              <w:rPr>
                <w:rFonts w:ascii="Aptos Narrow" w:hAnsi="Aptos Narrow"/>
                <w:color w:val="000000"/>
                <w:lang w:eastAsia="cs-CZ"/>
              </w:rPr>
            </w:pPr>
            <w:r>
              <w:rPr>
                <w:rFonts w:ascii="Aptos Narrow" w:hAnsi="Aptos Narrow"/>
                <w:color w:val="000000"/>
                <w:lang w:eastAsia="cs-CZ"/>
              </w:rPr>
              <w:t>164 6</w:t>
            </w:r>
            <w:r w:rsidR="00B0632C">
              <w:rPr>
                <w:rFonts w:ascii="Aptos Narrow" w:hAnsi="Aptos Narrow"/>
                <w:color w:val="000000"/>
                <w:lang w:eastAsia="cs-CZ"/>
              </w:rPr>
              <w:t>1</w:t>
            </w:r>
            <w:r>
              <w:rPr>
                <w:rFonts w:ascii="Aptos Narrow" w:hAnsi="Aptos Narrow"/>
                <w:color w:val="000000"/>
                <w:lang w:eastAsia="cs-CZ"/>
              </w:rPr>
              <w:t>1,24</w:t>
            </w:r>
            <w:r w:rsidR="004161CE" w:rsidRPr="004161CE">
              <w:rPr>
                <w:rFonts w:ascii="Aptos Narrow" w:hAnsi="Aptos Narrow"/>
                <w:color w:val="000000"/>
                <w:lang w:eastAsia="cs-CZ"/>
              </w:rPr>
              <w:t xml:space="preserve">     </w:t>
            </w:r>
          </w:p>
        </w:tc>
      </w:tr>
      <w:tr w:rsidR="004161CE" w:rsidRPr="001840A4" w14:paraId="50AC059A" w14:textId="77777777" w:rsidTr="004161CE">
        <w:trPr>
          <w:trHeight w:val="320"/>
        </w:trPr>
        <w:tc>
          <w:tcPr>
            <w:tcW w:w="2500" w:type="pct"/>
            <w:noWrap/>
            <w:vAlign w:val="center"/>
          </w:tcPr>
          <w:p w14:paraId="776324C9" w14:textId="068B42A5" w:rsidR="004161CE" w:rsidRPr="004161CE" w:rsidRDefault="004161CE" w:rsidP="004161CE">
            <w:pPr>
              <w:rPr>
                <w:rFonts w:ascii="Aptos Narrow" w:hAnsi="Aptos Narrow"/>
                <w:b/>
                <w:bCs/>
                <w:color w:val="000000"/>
                <w:lang w:eastAsia="cs-CZ"/>
              </w:rPr>
            </w:pPr>
            <w:r w:rsidRPr="004161CE">
              <w:rPr>
                <w:rFonts w:ascii="Aptos Narrow" w:hAnsi="Aptos Narrow"/>
                <w:b/>
                <w:bCs/>
                <w:color w:val="000000"/>
                <w:lang w:eastAsia="cs-CZ"/>
              </w:rPr>
              <w:t>Celkem</w:t>
            </w:r>
          </w:p>
        </w:tc>
        <w:tc>
          <w:tcPr>
            <w:tcW w:w="2500" w:type="pct"/>
            <w:noWrap/>
            <w:vAlign w:val="center"/>
          </w:tcPr>
          <w:p w14:paraId="31872EF4" w14:textId="3FA348AA" w:rsidR="004161CE" w:rsidRPr="004161CE" w:rsidRDefault="004161CE" w:rsidP="004161CE">
            <w:pPr>
              <w:jc w:val="right"/>
              <w:rPr>
                <w:rFonts w:ascii="Aptos Narrow" w:hAnsi="Aptos Narrow"/>
                <w:b/>
                <w:bCs/>
                <w:color w:val="000000"/>
                <w:lang w:eastAsia="cs-CZ"/>
              </w:rPr>
            </w:pPr>
            <w:r w:rsidRPr="004161CE">
              <w:rPr>
                <w:rFonts w:ascii="Aptos Narrow" w:hAnsi="Aptos Narrow"/>
                <w:b/>
                <w:bCs/>
                <w:color w:val="000000"/>
                <w:lang w:eastAsia="cs-CZ"/>
              </w:rPr>
              <w:t xml:space="preserve">                                  269 862,13     </w:t>
            </w:r>
          </w:p>
        </w:tc>
      </w:tr>
    </w:tbl>
    <w:p w14:paraId="5C260FEF" w14:textId="49D3D06B" w:rsidR="009F08BA" w:rsidRPr="001840A4" w:rsidRDefault="009F08BA" w:rsidP="00D7187E">
      <w:pPr>
        <w:pStyle w:val="RozpocetOdstavec"/>
        <w:rPr>
          <w:highlight w:val="yellow"/>
        </w:rPr>
      </w:pPr>
    </w:p>
    <w:p w14:paraId="0CA4844D" w14:textId="3872652A" w:rsidR="00CF1B08" w:rsidRPr="005801EC" w:rsidRDefault="00014AEA" w:rsidP="00D7187E">
      <w:pPr>
        <w:pStyle w:val="RozpocetOdstavec"/>
      </w:pPr>
      <w:r w:rsidRPr="005801EC">
        <w:t>Hospodářský výsledek součástí za rok 202</w:t>
      </w:r>
      <w:r w:rsidR="005801EC" w:rsidRPr="005801EC">
        <w:t>5</w:t>
      </w:r>
    </w:p>
    <w:p w14:paraId="2BAEEDEF" w14:textId="77777777" w:rsidR="00CF1B08" w:rsidRPr="001840A4" w:rsidRDefault="00CF1B08" w:rsidP="00D2737B">
      <w:pPr>
        <w:pStyle w:val="RozpocetOdstavec"/>
        <w:jc w:val="righ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5"/>
        <w:gridCol w:w="2040"/>
        <w:gridCol w:w="2040"/>
        <w:gridCol w:w="2891"/>
      </w:tblGrid>
      <w:tr w:rsidR="00D2737B" w:rsidRPr="001840A4" w14:paraId="39FC80B8" w14:textId="77777777" w:rsidTr="005801EC">
        <w:trPr>
          <w:trHeight w:val="320"/>
        </w:trPr>
        <w:tc>
          <w:tcPr>
            <w:tcW w:w="1155" w:type="pct"/>
            <w:shd w:val="clear" w:color="auto" w:fill="D9D9D9" w:themeFill="background1" w:themeFillShade="D9"/>
            <w:noWrap/>
            <w:vAlign w:val="center"/>
            <w:hideMark/>
          </w:tcPr>
          <w:p w14:paraId="6F272D43" w14:textId="77777777" w:rsidR="00D2737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Součást</w:t>
            </w:r>
          </w:p>
        </w:tc>
        <w:tc>
          <w:tcPr>
            <w:tcW w:w="1125" w:type="pct"/>
            <w:shd w:val="clear" w:color="auto" w:fill="D9D9D9" w:themeFill="background1" w:themeFillShade="D9"/>
            <w:vAlign w:val="center"/>
          </w:tcPr>
          <w:p w14:paraId="2C0C8405" w14:textId="77E316B9" w:rsidR="00825E3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HV z hlavní činností</w:t>
            </w:r>
          </w:p>
          <w:p w14:paraId="1D190C37" w14:textId="2F27FC73" w:rsidR="00D2737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v tis. Kč</w:t>
            </w:r>
          </w:p>
        </w:tc>
        <w:tc>
          <w:tcPr>
            <w:tcW w:w="1125" w:type="pct"/>
            <w:shd w:val="clear" w:color="auto" w:fill="D9D9D9" w:themeFill="background1" w:themeFillShade="D9"/>
            <w:vAlign w:val="center"/>
          </w:tcPr>
          <w:p w14:paraId="434DB51E" w14:textId="5DEBBCE1" w:rsidR="00825E3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HV z doplňkové činností</w:t>
            </w:r>
          </w:p>
          <w:p w14:paraId="350793A2" w14:textId="77318F27" w:rsidR="00D2737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v tis. Kč</w:t>
            </w:r>
          </w:p>
        </w:tc>
        <w:tc>
          <w:tcPr>
            <w:tcW w:w="1594" w:type="pct"/>
            <w:shd w:val="clear" w:color="auto" w:fill="D9D9D9" w:themeFill="background1" w:themeFillShade="D9"/>
            <w:noWrap/>
            <w:vAlign w:val="center"/>
            <w:hideMark/>
          </w:tcPr>
          <w:p w14:paraId="4908D76F" w14:textId="37B9DF60" w:rsidR="00D2737B" w:rsidRPr="005801EC" w:rsidRDefault="00D2737B" w:rsidP="005801EC">
            <w:pPr>
              <w:jc w:val="center"/>
              <w:rPr>
                <w:rFonts w:ascii="Aptos Narrow" w:hAnsi="Aptos Narrow"/>
                <w:b/>
                <w:bCs/>
                <w:color w:val="000000"/>
                <w:lang w:eastAsia="cs-CZ"/>
              </w:rPr>
            </w:pPr>
            <w:r w:rsidRPr="005801EC">
              <w:rPr>
                <w:rFonts w:ascii="Aptos Narrow" w:hAnsi="Aptos Narrow"/>
                <w:b/>
                <w:bCs/>
                <w:color w:val="000000"/>
                <w:lang w:eastAsia="cs-CZ"/>
              </w:rPr>
              <w:t>Hospodářský výsledek 202</w:t>
            </w:r>
            <w:r w:rsidR="005801EC">
              <w:rPr>
                <w:rFonts w:ascii="Aptos Narrow" w:hAnsi="Aptos Narrow"/>
                <w:b/>
                <w:bCs/>
                <w:color w:val="000000"/>
                <w:lang w:eastAsia="cs-CZ"/>
              </w:rPr>
              <w:t>5</w:t>
            </w:r>
          </w:p>
          <w:p w14:paraId="444443AE" w14:textId="77777777" w:rsidR="00825E3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C</w:t>
            </w:r>
            <w:r w:rsidR="00D2737B" w:rsidRPr="005801EC">
              <w:rPr>
                <w:rFonts w:ascii="Aptos Narrow" w:hAnsi="Aptos Narrow"/>
                <w:b/>
                <w:bCs/>
                <w:color w:val="000000"/>
                <w:lang w:eastAsia="cs-CZ"/>
              </w:rPr>
              <w:t>elkem</w:t>
            </w:r>
          </w:p>
          <w:p w14:paraId="213CF129" w14:textId="70BB4555" w:rsidR="00D2737B" w:rsidRPr="005801EC" w:rsidRDefault="00825E3B" w:rsidP="005801EC">
            <w:pPr>
              <w:jc w:val="center"/>
              <w:rPr>
                <w:rFonts w:ascii="Aptos Narrow" w:hAnsi="Aptos Narrow"/>
                <w:b/>
                <w:bCs/>
                <w:color w:val="000000"/>
                <w:lang w:eastAsia="cs-CZ"/>
              </w:rPr>
            </w:pPr>
            <w:r w:rsidRPr="005801EC">
              <w:rPr>
                <w:rFonts w:ascii="Aptos Narrow" w:hAnsi="Aptos Narrow"/>
                <w:b/>
                <w:bCs/>
                <w:color w:val="000000"/>
                <w:lang w:eastAsia="cs-CZ"/>
              </w:rPr>
              <w:t>v tis. Kč</w:t>
            </w:r>
          </w:p>
        </w:tc>
      </w:tr>
      <w:tr w:rsidR="005801EC" w:rsidRPr="001840A4" w14:paraId="3ADF5C04" w14:textId="77777777" w:rsidTr="005801EC">
        <w:trPr>
          <w:trHeight w:val="320"/>
        </w:trPr>
        <w:tc>
          <w:tcPr>
            <w:tcW w:w="1155" w:type="pct"/>
            <w:noWrap/>
            <w:vAlign w:val="center"/>
            <w:hideMark/>
          </w:tcPr>
          <w:p w14:paraId="26E2EFFB"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FT</w:t>
            </w:r>
          </w:p>
        </w:tc>
        <w:tc>
          <w:tcPr>
            <w:tcW w:w="1125" w:type="pct"/>
            <w:vAlign w:val="center"/>
          </w:tcPr>
          <w:p w14:paraId="0A372E35" w14:textId="27C725C2"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1 594,09</w:t>
            </w:r>
          </w:p>
        </w:tc>
        <w:tc>
          <w:tcPr>
            <w:tcW w:w="1125" w:type="pct"/>
            <w:vAlign w:val="center"/>
          </w:tcPr>
          <w:p w14:paraId="69DDB3C0" w14:textId="7CDFD61A"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1 046,63</w:t>
            </w:r>
          </w:p>
        </w:tc>
        <w:tc>
          <w:tcPr>
            <w:tcW w:w="1594" w:type="pct"/>
            <w:noWrap/>
            <w:vAlign w:val="center"/>
          </w:tcPr>
          <w:p w14:paraId="5C68C877" w14:textId="67DBD64C"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2 640,72</w:t>
            </w:r>
          </w:p>
        </w:tc>
      </w:tr>
      <w:tr w:rsidR="005801EC" w:rsidRPr="001840A4" w14:paraId="5D6A28BF" w14:textId="77777777" w:rsidTr="005801EC">
        <w:trPr>
          <w:trHeight w:val="320"/>
        </w:trPr>
        <w:tc>
          <w:tcPr>
            <w:tcW w:w="1155" w:type="pct"/>
            <w:noWrap/>
            <w:vAlign w:val="center"/>
            <w:hideMark/>
          </w:tcPr>
          <w:p w14:paraId="25D9D6AD"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FLKŘ</w:t>
            </w:r>
          </w:p>
        </w:tc>
        <w:tc>
          <w:tcPr>
            <w:tcW w:w="1125" w:type="pct"/>
            <w:vAlign w:val="center"/>
          </w:tcPr>
          <w:p w14:paraId="5396682A" w14:textId="0EE0D8F6"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135,14</w:t>
            </w:r>
          </w:p>
        </w:tc>
        <w:tc>
          <w:tcPr>
            <w:tcW w:w="1125" w:type="pct"/>
            <w:vAlign w:val="center"/>
          </w:tcPr>
          <w:p w14:paraId="52A1A062" w14:textId="2E145231"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46,45</w:t>
            </w:r>
          </w:p>
        </w:tc>
        <w:tc>
          <w:tcPr>
            <w:tcW w:w="1594" w:type="pct"/>
            <w:noWrap/>
            <w:vAlign w:val="center"/>
          </w:tcPr>
          <w:p w14:paraId="6E12AC55" w14:textId="4D849125"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181,60</w:t>
            </w:r>
          </w:p>
        </w:tc>
      </w:tr>
      <w:tr w:rsidR="005801EC" w:rsidRPr="001840A4" w14:paraId="2479459B" w14:textId="77777777" w:rsidTr="005801EC">
        <w:trPr>
          <w:trHeight w:val="320"/>
        </w:trPr>
        <w:tc>
          <w:tcPr>
            <w:tcW w:w="1155" w:type="pct"/>
            <w:noWrap/>
            <w:vAlign w:val="center"/>
            <w:hideMark/>
          </w:tcPr>
          <w:p w14:paraId="4CAA0891"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FAI</w:t>
            </w:r>
          </w:p>
        </w:tc>
        <w:tc>
          <w:tcPr>
            <w:tcW w:w="1125" w:type="pct"/>
            <w:vAlign w:val="center"/>
          </w:tcPr>
          <w:p w14:paraId="24599270" w14:textId="1942CAAC"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714,06</w:t>
            </w:r>
          </w:p>
        </w:tc>
        <w:tc>
          <w:tcPr>
            <w:tcW w:w="1125" w:type="pct"/>
            <w:vAlign w:val="center"/>
          </w:tcPr>
          <w:p w14:paraId="6E761208" w14:textId="0B2CA197"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1 525,07</w:t>
            </w:r>
          </w:p>
        </w:tc>
        <w:tc>
          <w:tcPr>
            <w:tcW w:w="1594" w:type="pct"/>
            <w:noWrap/>
            <w:vAlign w:val="center"/>
          </w:tcPr>
          <w:p w14:paraId="4D71DEB3" w14:textId="0F59A404"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2 239,13</w:t>
            </w:r>
          </w:p>
        </w:tc>
      </w:tr>
      <w:tr w:rsidR="005801EC" w:rsidRPr="001840A4" w14:paraId="3D435FB4" w14:textId="77777777" w:rsidTr="005801EC">
        <w:trPr>
          <w:trHeight w:val="320"/>
        </w:trPr>
        <w:tc>
          <w:tcPr>
            <w:tcW w:w="1155" w:type="pct"/>
            <w:noWrap/>
            <w:vAlign w:val="center"/>
            <w:hideMark/>
          </w:tcPr>
          <w:p w14:paraId="5B701736"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FMK</w:t>
            </w:r>
          </w:p>
        </w:tc>
        <w:tc>
          <w:tcPr>
            <w:tcW w:w="1125" w:type="pct"/>
            <w:vAlign w:val="center"/>
          </w:tcPr>
          <w:p w14:paraId="302A329B" w14:textId="0246BF2B"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1 770,19</w:t>
            </w:r>
          </w:p>
        </w:tc>
        <w:tc>
          <w:tcPr>
            <w:tcW w:w="1125" w:type="pct"/>
            <w:vAlign w:val="center"/>
          </w:tcPr>
          <w:p w14:paraId="707662B9" w14:textId="4DA4BDAC"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169,43</w:t>
            </w:r>
          </w:p>
        </w:tc>
        <w:tc>
          <w:tcPr>
            <w:tcW w:w="1594" w:type="pct"/>
            <w:noWrap/>
            <w:vAlign w:val="center"/>
          </w:tcPr>
          <w:p w14:paraId="427FD60C" w14:textId="4ADA1CCF"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1 939,62</w:t>
            </w:r>
          </w:p>
        </w:tc>
      </w:tr>
      <w:tr w:rsidR="005801EC" w:rsidRPr="001840A4" w14:paraId="1BD72733" w14:textId="77777777" w:rsidTr="005801EC">
        <w:trPr>
          <w:trHeight w:val="320"/>
        </w:trPr>
        <w:tc>
          <w:tcPr>
            <w:tcW w:w="1155" w:type="pct"/>
            <w:noWrap/>
            <w:vAlign w:val="center"/>
            <w:hideMark/>
          </w:tcPr>
          <w:p w14:paraId="5CBB51F5"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FaME</w:t>
            </w:r>
          </w:p>
        </w:tc>
        <w:tc>
          <w:tcPr>
            <w:tcW w:w="1125" w:type="pct"/>
            <w:vAlign w:val="center"/>
          </w:tcPr>
          <w:p w14:paraId="6E450124" w14:textId="2E743FC1"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915,48</w:t>
            </w:r>
          </w:p>
        </w:tc>
        <w:tc>
          <w:tcPr>
            <w:tcW w:w="1125" w:type="pct"/>
            <w:vAlign w:val="center"/>
          </w:tcPr>
          <w:p w14:paraId="0926A27B" w14:textId="75035CBF"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79,40</w:t>
            </w:r>
          </w:p>
        </w:tc>
        <w:tc>
          <w:tcPr>
            <w:tcW w:w="1594" w:type="pct"/>
            <w:noWrap/>
            <w:vAlign w:val="center"/>
          </w:tcPr>
          <w:p w14:paraId="62EC3C6E" w14:textId="24BEF95D"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994,88</w:t>
            </w:r>
          </w:p>
        </w:tc>
      </w:tr>
      <w:tr w:rsidR="005801EC" w:rsidRPr="001840A4" w14:paraId="1EECF4A2" w14:textId="77777777" w:rsidTr="005801EC">
        <w:trPr>
          <w:trHeight w:val="320"/>
        </w:trPr>
        <w:tc>
          <w:tcPr>
            <w:tcW w:w="1155" w:type="pct"/>
            <w:noWrap/>
            <w:vAlign w:val="center"/>
            <w:hideMark/>
          </w:tcPr>
          <w:p w14:paraId="28077DD6"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FHS</w:t>
            </w:r>
          </w:p>
        </w:tc>
        <w:tc>
          <w:tcPr>
            <w:tcW w:w="1125" w:type="pct"/>
            <w:vAlign w:val="center"/>
          </w:tcPr>
          <w:p w14:paraId="0D4F5010" w14:textId="0A460B47"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831,42</w:t>
            </w:r>
          </w:p>
        </w:tc>
        <w:tc>
          <w:tcPr>
            <w:tcW w:w="1125" w:type="pct"/>
            <w:vAlign w:val="center"/>
          </w:tcPr>
          <w:p w14:paraId="2B783210" w14:textId="6676BCC7"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14,00</w:t>
            </w:r>
          </w:p>
        </w:tc>
        <w:tc>
          <w:tcPr>
            <w:tcW w:w="1594" w:type="pct"/>
            <w:noWrap/>
            <w:vAlign w:val="center"/>
          </w:tcPr>
          <w:p w14:paraId="59369B34" w14:textId="333EF290"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845,42</w:t>
            </w:r>
          </w:p>
        </w:tc>
      </w:tr>
      <w:tr w:rsidR="005801EC" w:rsidRPr="001840A4" w14:paraId="62419FCB" w14:textId="77777777" w:rsidTr="005801EC">
        <w:trPr>
          <w:trHeight w:val="320"/>
        </w:trPr>
        <w:tc>
          <w:tcPr>
            <w:tcW w:w="1155" w:type="pct"/>
            <w:noWrap/>
            <w:vAlign w:val="center"/>
            <w:hideMark/>
          </w:tcPr>
          <w:p w14:paraId="03719D0F"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UNI</w:t>
            </w:r>
          </w:p>
        </w:tc>
        <w:tc>
          <w:tcPr>
            <w:tcW w:w="1125" w:type="pct"/>
            <w:vAlign w:val="center"/>
          </w:tcPr>
          <w:p w14:paraId="245AAFF2" w14:textId="53807E8D"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1 031,89</w:t>
            </w:r>
          </w:p>
        </w:tc>
        <w:tc>
          <w:tcPr>
            <w:tcW w:w="1125" w:type="pct"/>
            <w:vAlign w:val="center"/>
          </w:tcPr>
          <w:p w14:paraId="2CAEA501" w14:textId="6FA0DF58"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2 843,31</w:t>
            </w:r>
          </w:p>
        </w:tc>
        <w:tc>
          <w:tcPr>
            <w:tcW w:w="1594" w:type="pct"/>
            <w:noWrap/>
            <w:vAlign w:val="center"/>
          </w:tcPr>
          <w:p w14:paraId="5DECD8AF" w14:textId="21BA2FF5"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3 875,19</w:t>
            </w:r>
          </w:p>
        </w:tc>
      </w:tr>
      <w:tr w:rsidR="004B445D" w:rsidRPr="001840A4" w14:paraId="021D0572" w14:textId="77777777" w:rsidTr="005801EC">
        <w:trPr>
          <w:trHeight w:val="320"/>
        </w:trPr>
        <w:tc>
          <w:tcPr>
            <w:tcW w:w="1155" w:type="pct"/>
            <w:noWrap/>
            <w:vAlign w:val="center"/>
            <w:hideMark/>
          </w:tcPr>
          <w:p w14:paraId="537D98BF" w14:textId="77777777" w:rsidR="004B445D" w:rsidRPr="005801EC" w:rsidRDefault="004B445D" w:rsidP="004B445D">
            <w:pPr>
              <w:rPr>
                <w:rFonts w:ascii="Aptos Narrow" w:hAnsi="Aptos Narrow"/>
                <w:color w:val="000000"/>
                <w:lang w:eastAsia="cs-CZ"/>
              </w:rPr>
            </w:pPr>
            <w:r w:rsidRPr="005801EC">
              <w:rPr>
                <w:rFonts w:ascii="Aptos Narrow" w:hAnsi="Aptos Narrow"/>
                <w:color w:val="000000"/>
                <w:lang w:eastAsia="cs-CZ"/>
              </w:rPr>
              <w:t>Knihovna</w:t>
            </w:r>
          </w:p>
        </w:tc>
        <w:tc>
          <w:tcPr>
            <w:tcW w:w="1125" w:type="pct"/>
            <w:vAlign w:val="center"/>
          </w:tcPr>
          <w:p w14:paraId="0257A4DE" w14:textId="631864B8" w:rsidR="004B445D" w:rsidRPr="005801EC" w:rsidRDefault="004B445D" w:rsidP="004B445D">
            <w:pPr>
              <w:jc w:val="right"/>
              <w:rPr>
                <w:rFonts w:ascii="Aptos Narrow" w:hAnsi="Aptos Narrow"/>
                <w:color w:val="000000"/>
                <w:lang w:eastAsia="cs-CZ"/>
              </w:rPr>
            </w:pPr>
            <w:r w:rsidRPr="005801EC">
              <w:rPr>
                <w:rFonts w:ascii="Aptos Narrow" w:hAnsi="Aptos Narrow"/>
                <w:color w:val="000000"/>
                <w:lang w:eastAsia="cs-CZ"/>
              </w:rPr>
              <w:t>358,79</w:t>
            </w:r>
          </w:p>
        </w:tc>
        <w:tc>
          <w:tcPr>
            <w:tcW w:w="1125" w:type="pct"/>
            <w:vAlign w:val="center"/>
          </w:tcPr>
          <w:p w14:paraId="2641FB2F" w14:textId="6557458E" w:rsidR="004B445D" w:rsidRPr="005801EC" w:rsidRDefault="004B445D" w:rsidP="004B445D">
            <w:pPr>
              <w:jc w:val="right"/>
              <w:rPr>
                <w:rFonts w:ascii="Aptos Narrow" w:hAnsi="Aptos Narrow"/>
                <w:color w:val="000000"/>
                <w:lang w:eastAsia="cs-CZ"/>
              </w:rPr>
            </w:pPr>
            <w:r w:rsidRPr="005801EC">
              <w:rPr>
                <w:rFonts w:ascii="Aptos Narrow" w:hAnsi="Aptos Narrow"/>
                <w:color w:val="000000"/>
                <w:lang w:eastAsia="cs-CZ"/>
              </w:rPr>
              <w:t>0,92</w:t>
            </w:r>
          </w:p>
        </w:tc>
        <w:tc>
          <w:tcPr>
            <w:tcW w:w="1594" w:type="pct"/>
            <w:noWrap/>
            <w:vAlign w:val="center"/>
          </w:tcPr>
          <w:p w14:paraId="4EB49DF8" w14:textId="03607FF2" w:rsidR="004B445D" w:rsidRPr="005801EC" w:rsidRDefault="004B445D" w:rsidP="004B445D">
            <w:pPr>
              <w:jc w:val="right"/>
              <w:rPr>
                <w:rFonts w:ascii="Aptos Narrow" w:hAnsi="Aptos Narrow"/>
                <w:color w:val="000000"/>
                <w:lang w:eastAsia="cs-CZ"/>
              </w:rPr>
            </w:pPr>
            <w:r w:rsidRPr="005801EC">
              <w:rPr>
                <w:rFonts w:ascii="Aptos Narrow" w:hAnsi="Aptos Narrow"/>
                <w:color w:val="000000"/>
                <w:lang w:eastAsia="cs-CZ"/>
              </w:rPr>
              <w:t>359,72</w:t>
            </w:r>
          </w:p>
        </w:tc>
      </w:tr>
      <w:tr w:rsidR="005801EC" w:rsidRPr="001840A4" w14:paraId="743E5E37" w14:textId="77777777" w:rsidTr="005801EC">
        <w:trPr>
          <w:trHeight w:val="320"/>
        </w:trPr>
        <w:tc>
          <w:tcPr>
            <w:tcW w:w="1155" w:type="pct"/>
            <w:noWrap/>
            <w:vAlign w:val="center"/>
            <w:hideMark/>
          </w:tcPr>
          <w:p w14:paraId="2E668B6E"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KMZ</w:t>
            </w:r>
          </w:p>
        </w:tc>
        <w:tc>
          <w:tcPr>
            <w:tcW w:w="1125" w:type="pct"/>
            <w:vAlign w:val="center"/>
          </w:tcPr>
          <w:p w14:paraId="4ECA05D9" w14:textId="4E2E75D7" w:rsidR="005801EC" w:rsidRPr="005801EC" w:rsidRDefault="004B445D" w:rsidP="005801EC">
            <w:pPr>
              <w:jc w:val="right"/>
              <w:rPr>
                <w:rFonts w:ascii="Aptos Narrow" w:hAnsi="Aptos Narrow"/>
                <w:color w:val="000000"/>
                <w:lang w:eastAsia="cs-CZ"/>
              </w:rPr>
            </w:pPr>
            <w:r>
              <w:rPr>
                <w:rFonts w:ascii="Aptos Narrow" w:hAnsi="Aptos Narrow"/>
                <w:color w:val="000000"/>
                <w:lang w:eastAsia="cs-CZ"/>
              </w:rPr>
              <w:t>-318 858,72</w:t>
            </w:r>
          </w:p>
        </w:tc>
        <w:tc>
          <w:tcPr>
            <w:tcW w:w="1125" w:type="pct"/>
            <w:vAlign w:val="center"/>
          </w:tcPr>
          <w:p w14:paraId="4E6DB9A4" w14:textId="3D42BF8B" w:rsidR="005801EC" w:rsidRPr="005801EC" w:rsidRDefault="004B445D" w:rsidP="005801EC">
            <w:pPr>
              <w:jc w:val="right"/>
              <w:rPr>
                <w:rFonts w:ascii="Aptos Narrow" w:hAnsi="Aptos Narrow"/>
                <w:color w:val="000000"/>
                <w:lang w:eastAsia="cs-CZ"/>
              </w:rPr>
            </w:pPr>
            <w:r>
              <w:rPr>
                <w:rFonts w:ascii="Aptos Narrow" w:hAnsi="Aptos Narrow"/>
                <w:color w:val="000000"/>
                <w:lang w:eastAsia="cs-CZ"/>
              </w:rPr>
              <w:t>318 858,72</w:t>
            </w:r>
          </w:p>
        </w:tc>
        <w:tc>
          <w:tcPr>
            <w:tcW w:w="1594" w:type="pct"/>
            <w:noWrap/>
            <w:vAlign w:val="center"/>
          </w:tcPr>
          <w:p w14:paraId="2606F6FF" w14:textId="44BB184E" w:rsidR="005801EC" w:rsidRPr="005801EC" w:rsidRDefault="004B445D" w:rsidP="005801EC">
            <w:pPr>
              <w:jc w:val="right"/>
              <w:rPr>
                <w:rFonts w:ascii="Aptos Narrow" w:hAnsi="Aptos Narrow"/>
                <w:color w:val="000000"/>
                <w:lang w:eastAsia="cs-CZ"/>
              </w:rPr>
            </w:pPr>
            <w:r>
              <w:rPr>
                <w:rFonts w:ascii="Aptos Narrow" w:hAnsi="Aptos Narrow"/>
                <w:color w:val="000000"/>
                <w:lang w:eastAsia="cs-CZ"/>
              </w:rPr>
              <w:t>0</w:t>
            </w:r>
          </w:p>
        </w:tc>
      </w:tr>
      <w:tr w:rsidR="005801EC" w:rsidRPr="001840A4" w14:paraId="71EF711E" w14:textId="77777777" w:rsidTr="005801EC">
        <w:trPr>
          <w:trHeight w:val="320"/>
        </w:trPr>
        <w:tc>
          <w:tcPr>
            <w:tcW w:w="1155" w:type="pct"/>
            <w:noWrap/>
            <w:vAlign w:val="center"/>
            <w:hideMark/>
          </w:tcPr>
          <w:p w14:paraId="17B14C0F" w14:textId="77777777"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Rektorát</w:t>
            </w:r>
          </w:p>
        </w:tc>
        <w:tc>
          <w:tcPr>
            <w:tcW w:w="1125" w:type="pct"/>
            <w:vAlign w:val="center"/>
          </w:tcPr>
          <w:p w14:paraId="3F9EEB4A" w14:textId="073DC617"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84,16</w:t>
            </w:r>
          </w:p>
        </w:tc>
        <w:tc>
          <w:tcPr>
            <w:tcW w:w="1125" w:type="pct"/>
            <w:vAlign w:val="center"/>
          </w:tcPr>
          <w:p w14:paraId="3B52B1E7" w14:textId="5BF43001"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2,78</w:t>
            </w:r>
          </w:p>
        </w:tc>
        <w:tc>
          <w:tcPr>
            <w:tcW w:w="1594" w:type="pct"/>
            <w:noWrap/>
            <w:vAlign w:val="center"/>
          </w:tcPr>
          <w:p w14:paraId="5C9597DA" w14:textId="28E89631" w:rsidR="005801EC" w:rsidRPr="005801EC" w:rsidRDefault="005801EC" w:rsidP="005801EC">
            <w:pPr>
              <w:jc w:val="right"/>
              <w:rPr>
                <w:rFonts w:ascii="Aptos Narrow" w:hAnsi="Aptos Narrow"/>
                <w:color w:val="000000"/>
                <w:lang w:eastAsia="cs-CZ"/>
              </w:rPr>
            </w:pPr>
            <w:r w:rsidRPr="005801EC">
              <w:rPr>
                <w:rFonts w:ascii="Aptos Narrow" w:hAnsi="Aptos Narrow"/>
                <w:color w:val="000000"/>
                <w:lang w:eastAsia="cs-CZ"/>
              </w:rPr>
              <w:t>86,94</w:t>
            </w:r>
          </w:p>
        </w:tc>
      </w:tr>
      <w:tr w:rsidR="005801EC" w:rsidRPr="001840A4" w14:paraId="15D1F8F6" w14:textId="77777777" w:rsidTr="005801EC">
        <w:trPr>
          <w:trHeight w:val="320"/>
        </w:trPr>
        <w:tc>
          <w:tcPr>
            <w:tcW w:w="1155" w:type="pct"/>
            <w:noWrap/>
            <w:vAlign w:val="center"/>
            <w:hideMark/>
          </w:tcPr>
          <w:p w14:paraId="09D36D75" w14:textId="21895EAF" w:rsidR="005801EC" w:rsidRPr="005801EC" w:rsidRDefault="005801EC" w:rsidP="005801EC">
            <w:pPr>
              <w:rPr>
                <w:rFonts w:ascii="Aptos Narrow" w:hAnsi="Aptos Narrow"/>
                <w:color w:val="000000"/>
                <w:lang w:eastAsia="cs-CZ"/>
              </w:rPr>
            </w:pPr>
            <w:r w:rsidRPr="005801EC">
              <w:rPr>
                <w:rFonts w:ascii="Aptos Narrow" w:hAnsi="Aptos Narrow"/>
                <w:color w:val="000000"/>
                <w:lang w:eastAsia="cs-CZ"/>
              </w:rPr>
              <w:t>UTB</w:t>
            </w:r>
            <w:r w:rsidR="004B445D">
              <w:rPr>
                <w:rFonts w:ascii="Aptos Narrow" w:hAnsi="Aptos Narrow"/>
                <w:color w:val="000000"/>
                <w:lang w:eastAsia="cs-CZ"/>
              </w:rPr>
              <w:t xml:space="preserve"> (PU 10)</w:t>
            </w:r>
          </w:p>
        </w:tc>
        <w:tc>
          <w:tcPr>
            <w:tcW w:w="1125" w:type="pct"/>
            <w:vAlign w:val="center"/>
          </w:tcPr>
          <w:p w14:paraId="51D0C946" w14:textId="26685588" w:rsidR="005801EC" w:rsidRPr="005801EC" w:rsidRDefault="004B445D" w:rsidP="005801EC">
            <w:pPr>
              <w:jc w:val="right"/>
              <w:rPr>
                <w:rFonts w:ascii="Aptos Narrow" w:hAnsi="Aptos Narrow"/>
                <w:color w:val="000000"/>
                <w:lang w:eastAsia="cs-CZ"/>
              </w:rPr>
            </w:pPr>
            <w:r>
              <w:rPr>
                <w:rFonts w:ascii="Aptos Narrow" w:hAnsi="Aptos Narrow"/>
                <w:color w:val="000000"/>
                <w:lang w:eastAsia="cs-CZ"/>
              </w:rPr>
              <w:t>303,40</w:t>
            </w:r>
          </w:p>
        </w:tc>
        <w:tc>
          <w:tcPr>
            <w:tcW w:w="1125" w:type="pct"/>
            <w:vAlign w:val="center"/>
          </w:tcPr>
          <w:p w14:paraId="413B5627" w14:textId="070D5AFD" w:rsidR="005801EC" w:rsidRPr="005801EC" w:rsidRDefault="004B445D" w:rsidP="005801EC">
            <w:pPr>
              <w:jc w:val="right"/>
              <w:rPr>
                <w:rFonts w:ascii="Aptos Narrow" w:hAnsi="Aptos Narrow"/>
                <w:color w:val="000000"/>
                <w:lang w:eastAsia="cs-CZ"/>
              </w:rPr>
            </w:pPr>
            <w:r>
              <w:rPr>
                <w:rFonts w:ascii="Aptos Narrow" w:hAnsi="Aptos Narrow"/>
                <w:color w:val="000000"/>
                <w:lang w:eastAsia="cs-CZ"/>
              </w:rPr>
              <w:t>7 419,40</w:t>
            </w:r>
          </w:p>
        </w:tc>
        <w:tc>
          <w:tcPr>
            <w:tcW w:w="1594" w:type="pct"/>
            <w:noWrap/>
            <w:vAlign w:val="center"/>
          </w:tcPr>
          <w:p w14:paraId="164951C0" w14:textId="0BA61009" w:rsidR="005801EC" w:rsidRPr="005801EC" w:rsidRDefault="004B445D" w:rsidP="005801EC">
            <w:pPr>
              <w:jc w:val="right"/>
              <w:rPr>
                <w:rFonts w:ascii="Aptos Narrow" w:hAnsi="Aptos Narrow"/>
                <w:color w:val="000000"/>
                <w:lang w:eastAsia="cs-CZ"/>
              </w:rPr>
            </w:pPr>
            <w:r>
              <w:rPr>
                <w:rFonts w:ascii="Aptos Narrow" w:hAnsi="Aptos Narrow"/>
                <w:color w:val="000000"/>
                <w:lang w:eastAsia="cs-CZ"/>
              </w:rPr>
              <w:t>7 722,80</w:t>
            </w:r>
          </w:p>
        </w:tc>
      </w:tr>
      <w:tr w:rsidR="005801EC" w:rsidRPr="001840A4" w14:paraId="31A4EC4D" w14:textId="77777777" w:rsidTr="005801EC">
        <w:trPr>
          <w:trHeight w:val="320"/>
        </w:trPr>
        <w:tc>
          <w:tcPr>
            <w:tcW w:w="1155" w:type="pct"/>
            <w:noWrap/>
            <w:vAlign w:val="center"/>
          </w:tcPr>
          <w:p w14:paraId="3348B069" w14:textId="77777777" w:rsidR="005801EC" w:rsidRPr="005801EC" w:rsidRDefault="005801EC" w:rsidP="005801EC">
            <w:pPr>
              <w:rPr>
                <w:rFonts w:ascii="Aptos Narrow" w:hAnsi="Aptos Narrow"/>
                <w:b/>
                <w:bCs/>
                <w:color w:val="000000"/>
                <w:lang w:eastAsia="cs-CZ"/>
              </w:rPr>
            </w:pPr>
            <w:r w:rsidRPr="005801EC">
              <w:rPr>
                <w:rFonts w:ascii="Aptos Narrow" w:hAnsi="Aptos Narrow"/>
                <w:b/>
                <w:bCs/>
                <w:color w:val="000000"/>
                <w:lang w:eastAsia="cs-CZ"/>
              </w:rPr>
              <w:t>Celkem</w:t>
            </w:r>
          </w:p>
        </w:tc>
        <w:tc>
          <w:tcPr>
            <w:tcW w:w="1125" w:type="pct"/>
            <w:vAlign w:val="center"/>
          </w:tcPr>
          <w:p w14:paraId="2F61B90B" w14:textId="3C0DB45C" w:rsidR="005801EC" w:rsidRPr="004B445D" w:rsidRDefault="004B445D" w:rsidP="005801EC">
            <w:pPr>
              <w:jc w:val="right"/>
              <w:rPr>
                <w:rFonts w:ascii="Aptos Narrow" w:hAnsi="Aptos Narrow"/>
                <w:b/>
                <w:bCs/>
                <w:color w:val="000000"/>
                <w:lang w:eastAsia="cs-CZ"/>
              </w:rPr>
            </w:pPr>
            <w:r w:rsidRPr="004B445D">
              <w:rPr>
                <w:rFonts w:ascii="Aptos Narrow" w:hAnsi="Aptos Narrow"/>
                <w:b/>
                <w:bCs/>
                <w:color w:val="000000"/>
                <w:lang w:eastAsia="cs-CZ"/>
              </w:rPr>
              <w:t>7 419,74</w:t>
            </w:r>
          </w:p>
        </w:tc>
        <w:tc>
          <w:tcPr>
            <w:tcW w:w="1125" w:type="pct"/>
            <w:vAlign w:val="center"/>
          </w:tcPr>
          <w:p w14:paraId="1E9D1A76" w14:textId="08C84BB7" w:rsidR="005801EC" w:rsidRPr="004B445D" w:rsidRDefault="004B445D" w:rsidP="005801EC">
            <w:pPr>
              <w:jc w:val="right"/>
              <w:rPr>
                <w:rFonts w:ascii="Aptos Narrow" w:hAnsi="Aptos Narrow"/>
                <w:b/>
                <w:bCs/>
                <w:color w:val="000000"/>
                <w:lang w:eastAsia="cs-CZ"/>
              </w:rPr>
            </w:pPr>
            <w:r w:rsidRPr="004B445D">
              <w:rPr>
                <w:rFonts w:ascii="Aptos Narrow" w:hAnsi="Aptos Narrow"/>
                <w:b/>
                <w:bCs/>
                <w:color w:val="000000"/>
                <w:lang w:eastAsia="cs-CZ"/>
              </w:rPr>
              <w:t>13 466,25</w:t>
            </w:r>
          </w:p>
        </w:tc>
        <w:tc>
          <w:tcPr>
            <w:tcW w:w="1594" w:type="pct"/>
            <w:noWrap/>
            <w:vAlign w:val="center"/>
          </w:tcPr>
          <w:p w14:paraId="71785D6C" w14:textId="1E88A865" w:rsidR="005801EC" w:rsidRPr="004B445D" w:rsidRDefault="004B445D" w:rsidP="005801EC">
            <w:pPr>
              <w:jc w:val="right"/>
              <w:rPr>
                <w:rFonts w:ascii="Aptos Narrow" w:hAnsi="Aptos Narrow"/>
                <w:b/>
                <w:bCs/>
                <w:color w:val="000000"/>
                <w:lang w:eastAsia="cs-CZ"/>
              </w:rPr>
            </w:pPr>
            <w:r w:rsidRPr="004B445D">
              <w:rPr>
                <w:rFonts w:ascii="Aptos Narrow" w:hAnsi="Aptos Narrow"/>
                <w:b/>
                <w:bCs/>
                <w:color w:val="000000"/>
                <w:lang w:eastAsia="cs-CZ"/>
              </w:rPr>
              <w:t>20 886,00</w:t>
            </w:r>
          </w:p>
        </w:tc>
      </w:tr>
    </w:tbl>
    <w:p w14:paraId="0AF70B34" w14:textId="77777777" w:rsidR="00556610" w:rsidRPr="001840A4" w:rsidRDefault="00556610" w:rsidP="00D7187E">
      <w:pPr>
        <w:pStyle w:val="RozpocetOdstavec"/>
        <w:rPr>
          <w:highlight w:val="yellow"/>
        </w:rPr>
      </w:pPr>
    </w:p>
    <w:p w14:paraId="3B3E2695" w14:textId="77777777" w:rsidR="00D7187E" w:rsidRPr="000A20AA" w:rsidRDefault="00D7187E" w:rsidP="00D7187E">
      <w:pPr>
        <w:pStyle w:val="RozpocetNadpis2"/>
      </w:pPr>
      <w:bookmarkStart w:id="83" w:name="_Toc228824370"/>
      <w:r w:rsidRPr="000A20AA">
        <w:t>Finanční rezervy</w:t>
      </w:r>
      <w:bookmarkEnd w:id="83"/>
    </w:p>
    <w:p w14:paraId="5A5AE50A" w14:textId="77777777" w:rsidR="00D7187E" w:rsidRPr="000A20AA" w:rsidRDefault="00D7187E" w:rsidP="00D7187E">
      <w:pPr>
        <w:pStyle w:val="RozpocetOdstavec"/>
      </w:pPr>
      <w:r w:rsidRPr="000A20AA">
        <w:t>Finanční rezervy UTB jsou realizovány v rámci rezervního fondu a fondu finanční rezervy.</w:t>
      </w:r>
    </w:p>
    <w:p w14:paraId="6C119256" w14:textId="09E53405" w:rsidR="00D7187E" w:rsidRPr="001840A4" w:rsidRDefault="00D7187E" w:rsidP="00D7187E">
      <w:pPr>
        <w:pStyle w:val="RozpocetOdstavec"/>
        <w:rPr>
          <w:highlight w:val="yellow"/>
        </w:rPr>
      </w:pPr>
    </w:p>
    <w:p w14:paraId="39095412" w14:textId="77777777" w:rsidR="00825E3B" w:rsidRPr="001840A4" w:rsidRDefault="00825E3B" w:rsidP="00D7187E">
      <w:pPr>
        <w:pStyle w:val="RozpocetOdstavec"/>
        <w:rPr>
          <w:highlight w:val="yellow"/>
        </w:rPr>
      </w:pPr>
    </w:p>
    <w:p w14:paraId="7927E80C" w14:textId="77777777" w:rsidR="00D7187E" w:rsidRPr="005801EC" w:rsidRDefault="00D7187E" w:rsidP="00D7187E">
      <w:pPr>
        <w:pStyle w:val="RozpoetNadpis3"/>
      </w:pPr>
      <w:bookmarkStart w:id="84" w:name="_Toc228824371"/>
      <w:r w:rsidRPr="005801EC">
        <w:lastRenderedPageBreak/>
        <w:t>Rezervní fond</w:t>
      </w:r>
      <w:bookmarkEnd w:id="84"/>
    </w:p>
    <w:p w14:paraId="0AFE097A" w14:textId="77777777" w:rsidR="00D7187E" w:rsidRPr="005801EC" w:rsidRDefault="00D7187E" w:rsidP="00D7187E">
      <w:pPr>
        <w:pStyle w:val="RozpocetOdstavec"/>
      </w:pPr>
      <w:r w:rsidRPr="005801EC">
        <w:t>Rezervní fond je zřízen podle § 18 odst. (6) zákona o vysokých školách a slouží zejména ke krytí ztrát v následujících účetních obdobích a je vytvářen ze zisku.</w:t>
      </w:r>
    </w:p>
    <w:p w14:paraId="4EBE3D33" w14:textId="77777777" w:rsidR="00D7187E" w:rsidRPr="001840A4" w:rsidRDefault="00D7187E" w:rsidP="00D7187E">
      <w:pPr>
        <w:pStyle w:val="RozpocetOdstavec"/>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5"/>
        <w:gridCol w:w="4531"/>
      </w:tblGrid>
      <w:tr w:rsidR="00D7187E" w:rsidRPr="001840A4" w14:paraId="5C58D5ED" w14:textId="77777777" w:rsidTr="00CF1B08">
        <w:trPr>
          <w:trHeight w:val="320"/>
        </w:trPr>
        <w:tc>
          <w:tcPr>
            <w:tcW w:w="2501" w:type="pct"/>
            <w:shd w:val="clear" w:color="auto" w:fill="D9D9D9" w:themeFill="background1" w:themeFillShade="D9"/>
            <w:noWrap/>
            <w:vAlign w:val="bottom"/>
            <w:hideMark/>
          </w:tcPr>
          <w:p w14:paraId="733EA9FC" w14:textId="019A8FE0" w:rsidR="00D7187E" w:rsidRPr="00CF1B08" w:rsidRDefault="00F473FD" w:rsidP="0094784D">
            <w:pPr>
              <w:jc w:val="center"/>
              <w:rPr>
                <w:rFonts w:ascii="Aptos Narrow" w:hAnsi="Aptos Narrow"/>
                <w:b/>
                <w:bCs/>
                <w:color w:val="000000"/>
                <w:lang w:eastAsia="cs-CZ"/>
              </w:rPr>
            </w:pPr>
            <w:r w:rsidRPr="00CF1B08">
              <w:rPr>
                <w:rFonts w:ascii="Aptos Narrow" w:hAnsi="Aptos Narrow"/>
                <w:b/>
                <w:bCs/>
                <w:color w:val="000000"/>
                <w:lang w:eastAsia="cs-CZ"/>
              </w:rPr>
              <w:t>Součást</w:t>
            </w:r>
          </w:p>
        </w:tc>
        <w:tc>
          <w:tcPr>
            <w:tcW w:w="2499" w:type="pct"/>
            <w:shd w:val="clear" w:color="auto" w:fill="D9D9D9" w:themeFill="background1" w:themeFillShade="D9"/>
            <w:noWrap/>
            <w:vAlign w:val="bottom"/>
            <w:hideMark/>
          </w:tcPr>
          <w:p w14:paraId="460C2E4B" w14:textId="77777777" w:rsidR="00D7187E" w:rsidRPr="00CF1B08" w:rsidRDefault="00D7187E" w:rsidP="0094784D">
            <w:pPr>
              <w:jc w:val="center"/>
              <w:rPr>
                <w:rFonts w:ascii="Aptos Narrow" w:hAnsi="Aptos Narrow"/>
                <w:b/>
                <w:bCs/>
                <w:color w:val="000000"/>
                <w:lang w:eastAsia="cs-CZ"/>
              </w:rPr>
            </w:pPr>
            <w:r w:rsidRPr="00CF1B08">
              <w:rPr>
                <w:rFonts w:ascii="Aptos Narrow" w:hAnsi="Aptos Narrow"/>
                <w:b/>
                <w:bCs/>
                <w:color w:val="000000"/>
                <w:lang w:eastAsia="cs-CZ"/>
              </w:rPr>
              <w:t>Celkem v tis. Kč</w:t>
            </w:r>
          </w:p>
        </w:tc>
      </w:tr>
      <w:tr w:rsidR="00D7187E" w:rsidRPr="001840A4" w14:paraId="1A7164F5" w14:textId="77777777" w:rsidTr="00CF1B08">
        <w:trPr>
          <w:trHeight w:val="340"/>
        </w:trPr>
        <w:tc>
          <w:tcPr>
            <w:tcW w:w="2501" w:type="pct"/>
            <w:vAlign w:val="center"/>
            <w:hideMark/>
          </w:tcPr>
          <w:p w14:paraId="5713C767"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FT</w:t>
            </w:r>
          </w:p>
        </w:tc>
        <w:tc>
          <w:tcPr>
            <w:tcW w:w="2499" w:type="pct"/>
            <w:noWrap/>
            <w:vAlign w:val="center"/>
          </w:tcPr>
          <w:p w14:paraId="2CD5A03F" w14:textId="24E1CF56"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95</w:t>
            </w:r>
            <w:r w:rsidR="00CF1B08" w:rsidRPr="00CF1B08">
              <w:rPr>
                <w:rFonts w:ascii="Aptos Narrow" w:hAnsi="Aptos Narrow"/>
                <w:color w:val="000000"/>
                <w:lang w:eastAsia="cs-CZ"/>
              </w:rPr>
              <w:t>6,9</w:t>
            </w:r>
          </w:p>
        </w:tc>
      </w:tr>
      <w:tr w:rsidR="00D7187E" w:rsidRPr="001840A4" w14:paraId="271F819F" w14:textId="77777777" w:rsidTr="00CF1B08">
        <w:trPr>
          <w:trHeight w:val="340"/>
        </w:trPr>
        <w:tc>
          <w:tcPr>
            <w:tcW w:w="2501" w:type="pct"/>
            <w:vAlign w:val="center"/>
            <w:hideMark/>
          </w:tcPr>
          <w:p w14:paraId="0B3ADD34"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FLKŘ</w:t>
            </w:r>
          </w:p>
        </w:tc>
        <w:tc>
          <w:tcPr>
            <w:tcW w:w="2499" w:type="pct"/>
            <w:noWrap/>
            <w:vAlign w:val="center"/>
          </w:tcPr>
          <w:p w14:paraId="6C44D154" w14:textId="6DFD920E"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7B48328E" w14:textId="77777777" w:rsidTr="00CF1B08">
        <w:trPr>
          <w:trHeight w:val="340"/>
        </w:trPr>
        <w:tc>
          <w:tcPr>
            <w:tcW w:w="2501" w:type="pct"/>
            <w:vAlign w:val="center"/>
            <w:hideMark/>
          </w:tcPr>
          <w:p w14:paraId="7EBC7F35"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FAI</w:t>
            </w:r>
          </w:p>
        </w:tc>
        <w:tc>
          <w:tcPr>
            <w:tcW w:w="2499" w:type="pct"/>
            <w:noWrap/>
            <w:vAlign w:val="center"/>
          </w:tcPr>
          <w:p w14:paraId="20691B47" w14:textId="33D92131"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004403F2" w14:textId="77777777" w:rsidTr="00CF1B08">
        <w:trPr>
          <w:trHeight w:val="340"/>
        </w:trPr>
        <w:tc>
          <w:tcPr>
            <w:tcW w:w="2501" w:type="pct"/>
            <w:vAlign w:val="center"/>
            <w:hideMark/>
          </w:tcPr>
          <w:p w14:paraId="1BC86188"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FMK</w:t>
            </w:r>
          </w:p>
        </w:tc>
        <w:tc>
          <w:tcPr>
            <w:tcW w:w="2499" w:type="pct"/>
            <w:noWrap/>
            <w:vAlign w:val="center"/>
          </w:tcPr>
          <w:p w14:paraId="71526044" w14:textId="2BDB2341"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75E97F38" w14:textId="77777777" w:rsidTr="00CF1B08">
        <w:trPr>
          <w:trHeight w:val="340"/>
        </w:trPr>
        <w:tc>
          <w:tcPr>
            <w:tcW w:w="2501" w:type="pct"/>
            <w:vAlign w:val="center"/>
            <w:hideMark/>
          </w:tcPr>
          <w:p w14:paraId="4C581C7A"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FaME</w:t>
            </w:r>
          </w:p>
        </w:tc>
        <w:tc>
          <w:tcPr>
            <w:tcW w:w="2499" w:type="pct"/>
            <w:noWrap/>
            <w:vAlign w:val="center"/>
          </w:tcPr>
          <w:p w14:paraId="6B494BB0" w14:textId="5F94BC28" w:rsidR="00D7187E" w:rsidRPr="00CF1B08" w:rsidRDefault="00CF1B08" w:rsidP="00220698">
            <w:pPr>
              <w:jc w:val="right"/>
              <w:rPr>
                <w:rFonts w:ascii="Aptos Narrow" w:hAnsi="Aptos Narrow"/>
                <w:color w:val="000000"/>
                <w:lang w:eastAsia="cs-CZ"/>
              </w:rPr>
            </w:pPr>
            <w:r w:rsidRPr="00CF1B08">
              <w:rPr>
                <w:rFonts w:ascii="Aptos Narrow" w:hAnsi="Aptos Narrow"/>
                <w:color w:val="000000"/>
                <w:lang w:eastAsia="cs-CZ"/>
              </w:rPr>
              <w:t>951,2</w:t>
            </w:r>
          </w:p>
        </w:tc>
      </w:tr>
      <w:tr w:rsidR="00D7187E" w:rsidRPr="001840A4" w14:paraId="74094AAF" w14:textId="77777777" w:rsidTr="00CF1B08">
        <w:trPr>
          <w:trHeight w:val="340"/>
        </w:trPr>
        <w:tc>
          <w:tcPr>
            <w:tcW w:w="2501" w:type="pct"/>
            <w:vAlign w:val="center"/>
            <w:hideMark/>
          </w:tcPr>
          <w:p w14:paraId="19C270EC"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FHS</w:t>
            </w:r>
          </w:p>
        </w:tc>
        <w:tc>
          <w:tcPr>
            <w:tcW w:w="2499" w:type="pct"/>
            <w:noWrap/>
            <w:vAlign w:val="center"/>
          </w:tcPr>
          <w:p w14:paraId="5372BEA9" w14:textId="35097E81"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5D270B1B" w14:textId="77777777" w:rsidTr="00CF1B08">
        <w:trPr>
          <w:trHeight w:val="340"/>
        </w:trPr>
        <w:tc>
          <w:tcPr>
            <w:tcW w:w="2501" w:type="pct"/>
            <w:vAlign w:val="center"/>
            <w:hideMark/>
          </w:tcPr>
          <w:p w14:paraId="23830DFE"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UNI</w:t>
            </w:r>
          </w:p>
        </w:tc>
        <w:tc>
          <w:tcPr>
            <w:tcW w:w="2499" w:type="pct"/>
            <w:noWrap/>
            <w:vAlign w:val="center"/>
          </w:tcPr>
          <w:p w14:paraId="75BC8AD5" w14:textId="4846D90E"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5DCEBE48" w14:textId="77777777" w:rsidTr="00CF1B08">
        <w:trPr>
          <w:trHeight w:val="340"/>
        </w:trPr>
        <w:tc>
          <w:tcPr>
            <w:tcW w:w="2501" w:type="pct"/>
            <w:vAlign w:val="center"/>
            <w:hideMark/>
          </w:tcPr>
          <w:p w14:paraId="7BF97B79"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Knihovna</w:t>
            </w:r>
          </w:p>
        </w:tc>
        <w:tc>
          <w:tcPr>
            <w:tcW w:w="2499" w:type="pct"/>
            <w:noWrap/>
            <w:vAlign w:val="center"/>
          </w:tcPr>
          <w:p w14:paraId="2D02C1BA" w14:textId="0E19084C" w:rsidR="00D7187E" w:rsidRPr="00CF1B08" w:rsidRDefault="005E1C99"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4147925C" w14:textId="77777777" w:rsidTr="00CF1B08">
        <w:trPr>
          <w:trHeight w:val="320"/>
        </w:trPr>
        <w:tc>
          <w:tcPr>
            <w:tcW w:w="2501" w:type="pct"/>
            <w:noWrap/>
            <w:vAlign w:val="bottom"/>
            <w:hideMark/>
          </w:tcPr>
          <w:p w14:paraId="5F66B575"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KMZ</w:t>
            </w:r>
          </w:p>
        </w:tc>
        <w:tc>
          <w:tcPr>
            <w:tcW w:w="2499" w:type="pct"/>
            <w:noWrap/>
            <w:vAlign w:val="center"/>
          </w:tcPr>
          <w:p w14:paraId="024C3987" w14:textId="321F9EF5" w:rsidR="00D7187E" w:rsidRPr="00CF1B08" w:rsidRDefault="00CF1B08"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27210F23" w14:textId="77777777" w:rsidTr="00CF1B08">
        <w:trPr>
          <w:trHeight w:val="320"/>
        </w:trPr>
        <w:tc>
          <w:tcPr>
            <w:tcW w:w="2501" w:type="pct"/>
            <w:noWrap/>
            <w:vAlign w:val="bottom"/>
            <w:hideMark/>
          </w:tcPr>
          <w:p w14:paraId="71C6B49A" w14:textId="77777777" w:rsidR="00D7187E" w:rsidRPr="00CF1B08" w:rsidRDefault="00D7187E" w:rsidP="00D7187E">
            <w:pPr>
              <w:rPr>
                <w:rFonts w:ascii="Aptos Narrow" w:hAnsi="Aptos Narrow"/>
                <w:color w:val="000000"/>
                <w:lang w:eastAsia="cs-CZ"/>
              </w:rPr>
            </w:pPr>
            <w:r w:rsidRPr="00CF1B08">
              <w:rPr>
                <w:rFonts w:ascii="Aptos Narrow" w:hAnsi="Aptos Narrow"/>
                <w:color w:val="000000"/>
                <w:lang w:eastAsia="cs-CZ"/>
              </w:rPr>
              <w:t>Rektorát</w:t>
            </w:r>
          </w:p>
        </w:tc>
        <w:tc>
          <w:tcPr>
            <w:tcW w:w="2499" w:type="pct"/>
            <w:noWrap/>
            <w:vAlign w:val="center"/>
          </w:tcPr>
          <w:p w14:paraId="6F0B7F57" w14:textId="5BEA7E6F" w:rsidR="00D7187E" w:rsidRPr="00CF1B08" w:rsidRDefault="00CF1B08" w:rsidP="00220698">
            <w:pPr>
              <w:jc w:val="right"/>
              <w:rPr>
                <w:rFonts w:ascii="Aptos Narrow" w:hAnsi="Aptos Narrow"/>
                <w:color w:val="000000"/>
                <w:lang w:eastAsia="cs-CZ"/>
              </w:rPr>
            </w:pPr>
            <w:r w:rsidRPr="00CF1B08">
              <w:rPr>
                <w:rFonts w:ascii="Aptos Narrow" w:hAnsi="Aptos Narrow"/>
                <w:color w:val="000000"/>
                <w:lang w:eastAsia="cs-CZ"/>
              </w:rPr>
              <w:t>0</w:t>
            </w:r>
          </w:p>
        </w:tc>
      </w:tr>
      <w:tr w:rsidR="00D7187E" w:rsidRPr="001840A4" w14:paraId="7BAC2D3C" w14:textId="77777777" w:rsidTr="00CF1B08">
        <w:trPr>
          <w:trHeight w:val="320"/>
        </w:trPr>
        <w:tc>
          <w:tcPr>
            <w:tcW w:w="2501" w:type="pct"/>
            <w:noWrap/>
            <w:vAlign w:val="bottom"/>
            <w:hideMark/>
          </w:tcPr>
          <w:p w14:paraId="3A4E8629" w14:textId="77777777" w:rsidR="00D7187E" w:rsidRPr="00CF1B08" w:rsidRDefault="00D7187E" w:rsidP="00D7187E">
            <w:pPr>
              <w:rPr>
                <w:rFonts w:ascii="Aptos Narrow" w:hAnsi="Aptos Narrow"/>
                <w:b/>
                <w:bCs/>
                <w:color w:val="000000"/>
                <w:lang w:eastAsia="cs-CZ"/>
              </w:rPr>
            </w:pPr>
            <w:r w:rsidRPr="00CF1B08">
              <w:rPr>
                <w:rFonts w:ascii="Aptos Narrow" w:hAnsi="Aptos Narrow"/>
                <w:b/>
                <w:bCs/>
                <w:color w:val="000000"/>
                <w:lang w:eastAsia="cs-CZ"/>
              </w:rPr>
              <w:t>Celkem</w:t>
            </w:r>
          </w:p>
        </w:tc>
        <w:tc>
          <w:tcPr>
            <w:tcW w:w="2499" w:type="pct"/>
            <w:noWrap/>
            <w:vAlign w:val="center"/>
          </w:tcPr>
          <w:p w14:paraId="717DA191" w14:textId="4DE81AC7" w:rsidR="00D7187E" w:rsidRPr="00CF1B08" w:rsidRDefault="005E1C99" w:rsidP="00220698">
            <w:pPr>
              <w:jc w:val="right"/>
              <w:rPr>
                <w:rFonts w:ascii="Aptos Narrow" w:hAnsi="Aptos Narrow"/>
                <w:b/>
                <w:bCs/>
                <w:color w:val="000000"/>
                <w:lang w:eastAsia="cs-CZ"/>
              </w:rPr>
            </w:pPr>
            <w:r w:rsidRPr="00CF1B08">
              <w:rPr>
                <w:rFonts w:ascii="Aptos Narrow" w:hAnsi="Aptos Narrow"/>
                <w:b/>
                <w:bCs/>
                <w:color w:val="000000"/>
                <w:lang w:eastAsia="cs-CZ"/>
              </w:rPr>
              <w:t>1</w:t>
            </w:r>
            <w:r w:rsidR="00CF1B08" w:rsidRPr="00CF1B08">
              <w:rPr>
                <w:rFonts w:ascii="Aptos Narrow" w:hAnsi="Aptos Narrow"/>
                <w:b/>
                <w:bCs/>
                <w:color w:val="000000"/>
                <w:lang w:eastAsia="cs-CZ"/>
              </w:rPr>
              <w:t> </w:t>
            </w:r>
            <w:r w:rsidRPr="00CF1B08">
              <w:rPr>
                <w:rFonts w:ascii="Aptos Narrow" w:hAnsi="Aptos Narrow"/>
                <w:b/>
                <w:bCs/>
                <w:color w:val="000000"/>
                <w:lang w:eastAsia="cs-CZ"/>
              </w:rPr>
              <w:t>908</w:t>
            </w:r>
            <w:r w:rsidR="00CF1B08" w:rsidRPr="00CF1B08">
              <w:rPr>
                <w:rFonts w:ascii="Aptos Narrow" w:hAnsi="Aptos Narrow"/>
                <w:b/>
                <w:bCs/>
                <w:color w:val="000000"/>
                <w:lang w:eastAsia="cs-CZ"/>
              </w:rPr>
              <w:t>,1</w:t>
            </w:r>
          </w:p>
        </w:tc>
      </w:tr>
    </w:tbl>
    <w:p w14:paraId="175056DA" w14:textId="77777777" w:rsidR="00D7187E" w:rsidRPr="000A20AA" w:rsidRDefault="00D7187E" w:rsidP="00D7187E">
      <w:pPr>
        <w:pStyle w:val="RozpocetOdstavec"/>
      </w:pPr>
    </w:p>
    <w:p w14:paraId="0020AD02" w14:textId="77777777" w:rsidR="00D7187E" w:rsidRPr="000A20AA" w:rsidRDefault="00D7187E" w:rsidP="00D7187E">
      <w:pPr>
        <w:pStyle w:val="RozpoetNadpis3"/>
      </w:pPr>
      <w:bookmarkStart w:id="85" w:name="_Toc228824372"/>
      <w:r w:rsidRPr="000A20AA">
        <w:t>Fond finanční rezervy</w:t>
      </w:r>
      <w:bookmarkEnd w:id="85"/>
    </w:p>
    <w:p w14:paraId="0099E7F8" w14:textId="79C32528" w:rsidR="00D7187E" w:rsidRDefault="005F0023" w:rsidP="005F0023">
      <w:pPr>
        <w:pStyle w:val="RozpocetOdstavec"/>
      </w:pPr>
      <w:r w:rsidRPr="000A20AA">
        <w:t xml:space="preserve">Ve </w:t>
      </w:r>
      <w:r w:rsidR="00D7187E" w:rsidRPr="000A20AA">
        <w:t>Fond</w:t>
      </w:r>
      <w:r w:rsidRPr="000A20AA">
        <w:t>u</w:t>
      </w:r>
      <w:r w:rsidR="00D7187E" w:rsidRPr="000A20AA">
        <w:t xml:space="preserve"> finanční rezervy </w:t>
      </w:r>
      <w:r w:rsidRPr="000A20AA">
        <w:t>bylo ke dni 1. 1. 202</w:t>
      </w:r>
      <w:r w:rsidR="00067CAE">
        <w:t>6</w:t>
      </w:r>
      <w:r w:rsidRPr="000A20AA">
        <w:t xml:space="preserve"> k dispozici </w:t>
      </w:r>
      <w:r w:rsidR="00FD4FD2" w:rsidRPr="000A20AA">
        <w:rPr>
          <w:b/>
        </w:rPr>
        <w:t xml:space="preserve">1 915 </w:t>
      </w:r>
      <w:r w:rsidRPr="000A20AA">
        <w:t xml:space="preserve">tis. Kč investičních </w:t>
      </w:r>
      <w:r w:rsidR="0026194B" w:rsidRPr="000A20AA">
        <w:br/>
      </w:r>
      <w:r w:rsidRPr="000A20AA">
        <w:t xml:space="preserve">a </w:t>
      </w:r>
      <w:r w:rsidR="00FD4FD2" w:rsidRPr="000A20AA">
        <w:rPr>
          <w:b/>
        </w:rPr>
        <w:t xml:space="preserve">35 843 </w:t>
      </w:r>
      <w:r w:rsidRPr="000A20AA">
        <w:t xml:space="preserve">tis. Kč neinvestičních prostředků. Celkově tedy Fond finanční rezervy disponuje </w:t>
      </w:r>
      <w:r w:rsidR="003E46D6" w:rsidRPr="000A20AA">
        <w:br/>
      </w:r>
      <w:r w:rsidR="00FD4FD2" w:rsidRPr="000A20AA">
        <w:rPr>
          <w:b/>
          <w:bCs/>
        </w:rPr>
        <w:t>37 758</w:t>
      </w:r>
      <w:r w:rsidRPr="000A20AA">
        <w:rPr>
          <w:b/>
          <w:bCs/>
        </w:rPr>
        <w:t xml:space="preserve"> tis. Kč</w:t>
      </w:r>
      <w:r w:rsidRPr="000A20AA">
        <w:t>.</w:t>
      </w:r>
    </w:p>
    <w:p w14:paraId="2B64B817" w14:textId="77777777" w:rsidR="00D7187E" w:rsidRDefault="00D7187E" w:rsidP="00D7187E">
      <w:pPr>
        <w:pStyle w:val="RozpocetOdstavec"/>
      </w:pPr>
    </w:p>
    <w:p w14:paraId="51F70589" w14:textId="77777777" w:rsidR="00A30E4E" w:rsidRDefault="008227A6" w:rsidP="003F5910">
      <w:pPr>
        <w:pStyle w:val="RozpocetNadpis2"/>
      </w:pPr>
      <w:bookmarkStart w:id="86" w:name="_Toc228824373"/>
      <w:r>
        <w:t>Čerpání dispozičního fondu</w:t>
      </w:r>
      <w:bookmarkEnd w:id="86"/>
    </w:p>
    <w:p w14:paraId="05187452" w14:textId="77777777" w:rsidR="007555B1" w:rsidRPr="000A20AA" w:rsidRDefault="007555B1" w:rsidP="007555B1">
      <w:pPr>
        <w:pStyle w:val="RozpocetOdstavec"/>
      </w:pPr>
      <w:r w:rsidRPr="000A20AA">
        <w:t xml:space="preserve">Individuální financování některých součástí slouží k pokrytí oprávněných </w:t>
      </w:r>
      <w:r w:rsidRPr="000A20AA">
        <w:br/>
        <w:t>a zdůvodněných potřeb jednotek, které mohou být algoritmicky obtížně vyčíslitelné. Jde o tyto jednotky:</w:t>
      </w:r>
    </w:p>
    <w:p w14:paraId="16331C8C" w14:textId="77777777" w:rsidR="007555B1" w:rsidRPr="000A20AA" w:rsidRDefault="007555B1" w:rsidP="007555B1">
      <w:pPr>
        <w:pStyle w:val="Odstavecseseznamem"/>
        <w:numPr>
          <w:ilvl w:val="0"/>
          <w:numId w:val="9"/>
        </w:numPr>
      </w:pPr>
      <w:r w:rsidRPr="000A20AA">
        <w:t>Ústav tělesné výchovy (dále jen „UTV“),</w:t>
      </w:r>
    </w:p>
    <w:p w14:paraId="41DAE786" w14:textId="77777777" w:rsidR="007555B1" w:rsidRPr="000A20AA" w:rsidRDefault="007555B1" w:rsidP="007555B1">
      <w:pPr>
        <w:pStyle w:val="Odstavecseseznamem"/>
        <w:numPr>
          <w:ilvl w:val="0"/>
          <w:numId w:val="9"/>
        </w:numPr>
      </w:pPr>
      <w:r w:rsidRPr="000A20AA">
        <w:t>Univerzitní mateřská školu Qočna (dále jen „UMŠ“),</w:t>
      </w:r>
    </w:p>
    <w:p w14:paraId="05F0D028" w14:textId="77777777" w:rsidR="007555B1" w:rsidRPr="000A20AA" w:rsidRDefault="007555B1" w:rsidP="007555B1">
      <w:pPr>
        <w:pStyle w:val="Odstavecseseznamem"/>
        <w:numPr>
          <w:ilvl w:val="0"/>
          <w:numId w:val="9"/>
        </w:numPr>
      </w:pPr>
      <w:r w:rsidRPr="000A20AA">
        <w:t>Centrum transferu technologií (dále jen „CTT“),</w:t>
      </w:r>
    </w:p>
    <w:p w14:paraId="026E4528" w14:textId="77777777" w:rsidR="007555B1" w:rsidRPr="000A20AA" w:rsidRDefault="007555B1" w:rsidP="007555B1">
      <w:pPr>
        <w:pStyle w:val="Odstavecseseznamem"/>
        <w:numPr>
          <w:ilvl w:val="0"/>
          <w:numId w:val="9"/>
        </w:numPr>
      </w:pPr>
      <w:r w:rsidRPr="000A20AA">
        <w:t>Univerzitní digitální studio.</w:t>
      </w:r>
    </w:p>
    <w:p w14:paraId="5B5FD2F7" w14:textId="77777777" w:rsidR="007555B1" w:rsidRPr="000A20AA" w:rsidRDefault="007555B1" w:rsidP="007555B1">
      <w:r w:rsidRPr="000A20AA">
        <w:t xml:space="preserve">Jednotlivým jednotkám může být Rozpisem rozpočtu přidělena maximálně částka ve výši </w:t>
      </w:r>
    </w:p>
    <w:p w14:paraId="062D39DC" w14:textId="77777777" w:rsidR="007555B1" w:rsidRPr="000A20AA" w:rsidRDefault="007555B1" w:rsidP="007555B1">
      <w:pPr>
        <w:jc w:val="both"/>
      </w:pPr>
      <w:r w:rsidRPr="000A20AA">
        <w:t xml:space="preserve">105 % hodnoty předchozího roku. </w:t>
      </w:r>
    </w:p>
    <w:p w14:paraId="29CC33B2" w14:textId="77777777" w:rsidR="003F5910" w:rsidRDefault="003F5910" w:rsidP="00A30E4E">
      <w:pPr>
        <w:pStyle w:val="RozpocetOdstavec"/>
        <w:rPr>
          <w:color w:val="00B050"/>
        </w:rPr>
      </w:pPr>
    </w:p>
    <w:p w14:paraId="3C9CEC11" w14:textId="77777777" w:rsidR="00687C40" w:rsidRDefault="00687C40" w:rsidP="00687C40">
      <w:pPr>
        <w:pStyle w:val="RozpoetNadpis3"/>
      </w:pPr>
      <w:bookmarkStart w:id="87" w:name="_Toc155555641"/>
      <w:bookmarkStart w:id="88" w:name="_Toc218018994"/>
      <w:bookmarkStart w:id="89" w:name="_Toc228824374"/>
      <w:r>
        <w:t>Příspěvek na financování ÚTV</w:t>
      </w:r>
      <w:bookmarkEnd w:id="87"/>
      <w:bookmarkEnd w:id="88"/>
      <w:bookmarkEnd w:id="89"/>
    </w:p>
    <w:p w14:paraId="6B19162D" w14:textId="54F763E3" w:rsidR="00687C40" w:rsidRPr="000A20AA" w:rsidRDefault="00687C40" w:rsidP="00687C40">
      <w:pPr>
        <w:pStyle w:val="RozpocetOdstavec"/>
      </w:pPr>
      <w:r w:rsidRPr="000A20AA">
        <w:t xml:space="preserve">Pro krytí věcných a osobních nákladů spojených s výukou tělesné výchovy a sportovní činnosti studentů UTB Ústavem tělesné výchovy je zapotřebí jistého ročního objemu finančních prostředků. Zejména pro krytí materiálu, cestovného, osobních nákladů zaměstnanců, osobních nákladů externistů, nákladů na budovy UTB, nákladů na pronájem sportovišť, příspěvek na reprezentaci UTB ve sportu atd. UTV má samostatné financování, zahrnující i výuku tělesné výchovy v Uherském Hradišti. </w:t>
      </w:r>
    </w:p>
    <w:p w14:paraId="3C74998F" w14:textId="77777777" w:rsidR="00687C40" w:rsidRDefault="00687C40" w:rsidP="00687C40">
      <w:pPr>
        <w:pStyle w:val="RozpocetOdstavec"/>
      </w:pPr>
    </w:p>
    <w:p w14:paraId="6033DB4A" w14:textId="77777777" w:rsidR="00687C40" w:rsidRDefault="00687C40" w:rsidP="00687C40">
      <w:pPr>
        <w:pStyle w:val="RozpoetNadpis3"/>
      </w:pPr>
      <w:bookmarkStart w:id="90" w:name="_Toc155555642"/>
      <w:bookmarkStart w:id="91" w:name="_Toc218018995"/>
      <w:bookmarkStart w:id="92" w:name="_Toc228824375"/>
      <w:r>
        <w:lastRenderedPageBreak/>
        <w:t>Příspěvek na financování UMŠ</w:t>
      </w:r>
      <w:bookmarkEnd w:id="90"/>
      <w:bookmarkEnd w:id="91"/>
      <w:bookmarkEnd w:id="92"/>
    </w:p>
    <w:p w14:paraId="407085A4" w14:textId="77777777" w:rsidR="00687C40" w:rsidRPr="000A20AA" w:rsidRDefault="00687C40" w:rsidP="00687C40">
      <w:pPr>
        <w:pStyle w:val="RozpocetOdstavec"/>
      </w:pPr>
      <w:r w:rsidRPr="000A20AA">
        <w:t xml:space="preserve">Výše státní podpory není UMŠ poskytována v plné výši jako mateřským školám státním. Vzhledem k tomu, že provoz UMŠ je významným benefitem pro studenty i zaměstnance UTB, jsou prostředky v nezbytně potřebné výši dokryty z dispozičního fondu. </w:t>
      </w:r>
    </w:p>
    <w:p w14:paraId="37C3C3AA" w14:textId="77777777" w:rsidR="00687C40" w:rsidRDefault="00687C40" w:rsidP="00687C40">
      <w:pPr>
        <w:pStyle w:val="RozpocetOdstavec"/>
      </w:pPr>
    </w:p>
    <w:p w14:paraId="6C36177D" w14:textId="77777777" w:rsidR="00687C40" w:rsidRDefault="00687C40" w:rsidP="00687C40">
      <w:pPr>
        <w:pStyle w:val="RozpoetNadpis3"/>
      </w:pPr>
      <w:bookmarkStart w:id="93" w:name="_Toc155555643"/>
      <w:bookmarkStart w:id="94" w:name="_Toc218018996"/>
      <w:bookmarkStart w:id="95" w:name="_Toc228824376"/>
      <w:r>
        <w:t>Příspěvek na financování CTT</w:t>
      </w:r>
      <w:bookmarkEnd w:id="93"/>
      <w:bookmarkEnd w:id="94"/>
      <w:bookmarkEnd w:id="95"/>
    </w:p>
    <w:p w14:paraId="7230023B" w14:textId="77777777" w:rsidR="00687C40" w:rsidRPr="000A20AA" w:rsidRDefault="00687C40" w:rsidP="00687C40">
      <w:pPr>
        <w:pStyle w:val="RozpocetOdstavec"/>
      </w:pPr>
      <w:r w:rsidRPr="000A20AA">
        <w:t xml:space="preserve">Podpora je určena na pokrytí nezbytně nutných nákladů na činnosti, které univerzitě ukládá zákon (ochrana a správa duševního vlastnictví) a jsou CTT zajišťovány pro ostatní součásti. </w:t>
      </w:r>
    </w:p>
    <w:p w14:paraId="36D279F6" w14:textId="77777777" w:rsidR="00687C40" w:rsidRDefault="00687C40" w:rsidP="00687C40">
      <w:pPr>
        <w:pStyle w:val="RozpocetOdstavec"/>
      </w:pPr>
    </w:p>
    <w:p w14:paraId="439D94D4" w14:textId="77777777" w:rsidR="00687C40" w:rsidRDefault="00687C40" w:rsidP="00687C40">
      <w:pPr>
        <w:pStyle w:val="RozpoetNadpis3"/>
      </w:pPr>
      <w:bookmarkStart w:id="96" w:name="_Toc218018997"/>
      <w:bookmarkStart w:id="97" w:name="_Toc228824377"/>
      <w:r>
        <w:t>Příspěvek na Univerzitní digitální studio</w:t>
      </w:r>
      <w:bookmarkEnd w:id="96"/>
      <w:bookmarkEnd w:id="97"/>
    </w:p>
    <w:p w14:paraId="0F636747" w14:textId="77777777" w:rsidR="00687C40" w:rsidRPr="000A20AA" w:rsidRDefault="00687C40" w:rsidP="00687C40">
      <w:pPr>
        <w:jc w:val="both"/>
      </w:pPr>
      <w:r w:rsidRPr="000A20AA">
        <w:t>Podpora je určena na pokrytí nezbytně nutných nákladů souvisejících s provozem studia, které nelze hradit z projektů.</w:t>
      </w:r>
    </w:p>
    <w:p w14:paraId="736674D4" w14:textId="77777777" w:rsidR="00687C40" w:rsidRDefault="00687C40" w:rsidP="00A30E4E">
      <w:pPr>
        <w:pStyle w:val="RozpocetOdstavec"/>
        <w:rPr>
          <w:color w:val="00B050"/>
        </w:rPr>
      </w:pPr>
    </w:p>
    <w:tbl>
      <w:tblPr>
        <w:tblW w:w="4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381"/>
      </w:tblGrid>
      <w:tr w:rsidR="00B45103" w:rsidRPr="00B45103" w14:paraId="07978911" w14:textId="77777777" w:rsidTr="00B45103">
        <w:trPr>
          <w:trHeight w:val="320"/>
        </w:trPr>
        <w:tc>
          <w:tcPr>
            <w:tcW w:w="2381" w:type="dxa"/>
            <w:shd w:val="clear" w:color="auto" w:fill="D9D9D9" w:themeFill="background1" w:themeFillShade="D9"/>
            <w:noWrap/>
            <w:vAlign w:val="center"/>
            <w:hideMark/>
          </w:tcPr>
          <w:p w14:paraId="787D78E7" w14:textId="77777777" w:rsidR="00B45103" w:rsidRPr="00B45103" w:rsidRDefault="00B45103" w:rsidP="00B45103">
            <w:pPr>
              <w:jc w:val="center"/>
              <w:rPr>
                <w:rFonts w:ascii="Aptos Narrow" w:hAnsi="Aptos Narrow"/>
                <w:b/>
                <w:bCs/>
                <w:color w:val="000000"/>
              </w:rPr>
            </w:pPr>
            <w:r w:rsidRPr="00B45103">
              <w:rPr>
                <w:rFonts w:ascii="Aptos Narrow" w:hAnsi="Aptos Narrow"/>
                <w:b/>
                <w:bCs/>
                <w:color w:val="000000"/>
              </w:rPr>
              <w:t>Středisko</w:t>
            </w:r>
          </w:p>
        </w:tc>
        <w:tc>
          <w:tcPr>
            <w:tcW w:w="2381" w:type="dxa"/>
            <w:shd w:val="clear" w:color="auto" w:fill="D9D9D9" w:themeFill="background1" w:themeFillShade="D9"/>
            <w:noWrap/>
            <w:vAlign w:val="center"/>
            <w:hideMark/>
          </w:tcPr>
          <w:p w14:paraId="00941CE0" w14:textId="39F0193F" w:rsidR="00B45103" w:rsidRPr="00B45103" w:rsidRDefault="00B45103" w:rsidP="00B45103">
            <w:pPr>
              <w:jc w:val="center"/>
              <w:rPr>
                <w:rFonts w:ascii="Aptos Narrow" w:hAnsi="Aptos Narrow"/>
                <w:b/>
                <w:bCs/>
                <w:color w:val="000000"/>
              </w:rPr>
            </w:pPr>
            <w:r w:rsidRPr="00F221A9">
              <w:rPr>
                <w:rFonts w:ascii="Aptos Narrow" w:hAnsi="Aptos Narrow"/>
                <w:b/>
                <w:bCs/>
                <w:color w:val="000000"/>
                <w:lang w:eastAsia="cs-CZ"/>
              </w:rPr>
              <w:t>Celkem v tis. Kč</w:t>
            </w:r>
          </w:p>
        </w:tc>
      </w:tr>
      <w:tr w:rsidR="00B45103" w:rsidRPr="00B45103" w14:paraId="6AAB7C3E" w14:textId="77777777" w:rsidTr="00B45103">
        <w:trPr>
          <w:trHeight w:val="320"/>
        </w:trPr>
        <w:tc>
          <w:tcPr>
            <w:tcW w:w="2381" w:type="dxa"/>
            <w:noWrap/>
            <w:vAlign w:val="center"/>
            <w:hideMark/>
          </w:tcPr>
          <w:p w14:paraId="5B71F956" w14:textId="77777777" w:rsidR="00B45103" w:rsidRPr="00B45103" w:rsidRDefault="00B45103" w:rsidP="00B45103">
            <w:pPr>
              <w:rPr>
                <w:rFonts w:ascii="Aptos Narrow" w:hAnsi="Aptos Narrow"/>
                <w:color w:val="000000"/>
              </w:rPr>
            </w:pPr>
            <w:r w:rsidRPr="00B45103">
              <w:rPr>
                <w:rFonts w:ascii="Aptos Narrow" w:hAnsi="Aptos Narrow"/>
                <w:color w:val="000000"/>
              </w:rPr>
              <w:t>UTV</w:t>
            </w:r>
          </w:p>
        </w:tc>
        <w:tc>
          <w:tcPr>
            <w:tcW w:w="2381" w:type="dxa"/>
            <w:noWrap/>
            <w:vAlign w:val="center"/>
            <w:hideMark/>
          </w:tcPr>
          <w:p w14:paraId="3E773FDE" w14:textId="77777777" w:rsidR="00B45103" w:rsidRPr="00B45103" w:rsidRDefault="00B45103" w:rsidP="00B45103">
            <w:pPr>
              <w:jc w:val="right"/>
              <w:rPr>
                <w:rFonts w:ascii="Aptos Narrow" w:hAnsi="Aptos Narrow"/>
                <w:color w:val="000000"/>
              </w:rPr>
            </w:pPr>
            <w:r w:rsidRPr="00B45103">
              <w:rPr>
                <w:rFonts w:ascii="Aptos Narrow" w:hAnsi="Aptos Narrow"/>
                <w:color w:val="000000"/>
              </w:rPr>
              <w:t>5 670</w:t>
            </w:r>
          </w:p>
        </w:tc>
      </w:tr>
      <w:tr w:rsidR="00B45103" w:rsidRPr="00B45103" w14:paraId="594768EB" w14:textId="77777777" w:rsidTr="00B45103">
        <w:trPr>
          <w:trHeight w:val="320"/>
        </w:trPr>
        <w:tc>
          <w:tcPr>
            <w:tcW w:w="2381" w:type="dxa"/>
            <w:noWrap/>
            <w:vAlign w:val="center"/>
            <w:hideMark/>
          </w:tcPr>
          <w:p w14:paraId="4FCA4365" w14:textId="77777777" w:rsidR="00B45103" w:rsidRPr="00B45103" w:rsidRDefault="00B45103" w:rsidP="00B45103">
            <w:pPr>
              <w:rPr>
                <w:rFonts w:ascii="Aptos Narrow" w:hAnsi="Aptos Narrow"/>
                <w:color w:val="000000"/>
              </w:rPr>
            </w:pPr>
            <w:r w:rsidRPr="00B45103">
              <w:rPr>
                <w:rFonts w:ascii="Aptos Narrow" w:hAnsi="Aptos Narrow"/>
                <w:color w:val="000000"/>
              </w:rPr>
              <w:t>UMŠ</w:t>
            </w:r>
          </w:p>
        </w:tc>
        <w:tc>
          <w:tcPr>
            <w:tcW w:w="2381" w:type="dxa"/>
            <w:noWrap/>
            <w:vAlign w:val="center"/>
            <w:hideMark/>
          </w:tcPr>
          <w:p w14:paraId="1D88509C" w14:textId="25272797" w:rsidR="00B45103" w:rsidRPr="00B45103" w:rsidRDefault="00B45103" w:rsidP="00B45103">
            <w:pPr>
              <w:jc w:val="right"/>
              <w:rPr>
                <w:rFonts w:ascii="Aptos Narrow" w:hAnsi="Aptos Narrow"/>
                <w:color w:val="000000"/>
              </w:rPr>
            </w:pPr>
            <w:r w:rsidRPr="00B45103">
              <w:rPr>
                <w:rFonts w:ascii="Aptos Narrow" w:hAnsi="Aptos Narrow"/>
                <w:color w:val="000000"/>
              </w:rPr>
              <w:t>1</w:t>
            </w:r>
            <w:r w:rsidR="0079221F">
              <w:rPr>
                <w:rFonts w:ascii="Aptos Narrow" w:hAnsi="Aptos Narrow"/>
                <w:color w:val="000000"/>
              </w:rPr>
              <w:t> </w:t>
            </w:r>
            <w:r w:rsidRPr="00B45103">
              <w:rPr>
                <w:rFonts w:ascii="Aptos Narrow" w:hAnsi="Aptos Narrow"/>
                <w:color w:val="000000"/>
              </w:rPr>
              <w:t>100</w:t>
            </w:r>
            <w:r w:rsidR="0079221F">
              <w:rPr>
                <w:rFonts w:ascii="Aptos Narrow" w:hAnsi="Aptos Narrow"/>
                <w:color w:val="000000"/>
              </w:rPr>
              <w:t>*</w:t>
            </w:r>
          </w:p>
        </w:tc>
      </w:tr>
      <w:tr w:rsidR="00B45103" w:rsidRPr="00B45103" w14:paraId="57806A80" w14:textId="77777777" w:rsidTr="00B45103">
        <w:trPr>
          <w:trHeight w:val="320"/>
        </w:trPr>
        <w:tc>
          <w:tcPr>
            <w:tcW w:w="2381" w:type="dxa"/>
            <w:noWrap/>
            <w:vAlign w:val="center"/>
            <w:hideMark/>
          </w:tcPr>
          <w:p w14:paraId="2390E55A" w14:textId="77777777" w:rsidR="00B45103" w:rsidRPr="00B45103" w:rsidRDefault="00B45103" w:rsidP="00B45103">
            <w:pPr>
              <w:rPr>
                <w:rFonts w:ascii="Aptos Narrow" w:hAnsi="Aptos Narrow"/>
                <w:color w:val="000000"/>
              </w:rPr>
            </w:pPr>
            <w:r w:rsidRPr="00B45103">
              <w:rPr>
                <w:rFonts w:ascii="Aptos Narrow" w:hAnsi="Aptos Narrow"/>
                <w:color w:val="000000"/>
              </w:rPr>
              <w:t>CTT</w:t>
            </w:r>
          </w:p>
        </w:tc>
        <w:tc>
          <w:tcPr>
            <w:tcW w:w="2381" w:type="dxa"/>
            <w:noWrap/>
            <w:vAlign w:val="center"/>
            <w:hideMark/>
          </w:tcPr>
          <w:p w14:paraId="08BB6958" w14:textId="77777777" w:rsidR="00B45103" w:rsidRPr="00B45103" w:rsidRDefault="00B45103" w:rsidP="00B45103">
            <w:pPr>
              <w:jc w:val="right"/>
              <w:rPr>
                <w:rFonts w:ascii="Aptos Narrow" w:hAnsi="Aptos Narrow"/>
              </w:rPr>
            </w:pPr>
            <w:r w:rsidRPr="00B45103">
              <w:rPr>
                <w:rFonts w:ascii="Aptos Narrow" w:hAnsi="Aptos Narrow"/>
              </w:rPr>
              <w:t>2 757</w:t>
            </w:r>
          </w:p>
        </w:tc>
      </w:tr>
      <w:tr w:rsidR="00B45103" w:rsidRPr="00B45103" w14:paraId="38C51661" w14:textId="77777777" w:rsidTr="00B45103">
        <w:trPr>
          <w:trHeight w:val="320"/>
        </w:trPr>
        <w:tc>
          <w:tcPr>
            <w:tcW w:w="2381" w:type="dxa"/>
            <w:noWrap/>
            <w:vAlign w:val="center"/>
            <w:hideMark/>
          </w:tcPr>
          <w:p w14:paraId="7482A78F" w14:textId="77777777" w:rsidR="00B45103" w:rsidRPr="00B45103" w:rsidRDefault="00B45103" w:rsidP="00B45103">
            <w:pPr>
              <w:rPr>
                <w:rFonts w:ascii="Aptos Narrow" w:hAnsi="Aptos Narrow"/>
                <w:color w:val="000000"/>
              </w:rPr>
            </w:pPr>
            <w:r w:rsidRPr="00B45103">
              <w:rPr>
                <w:rFonts w:ascii="Aptos Narrow" w:hAnsi="Aptos Narrow"/>
                <w:color w:val="000000"/>
              </w:rPr>
              <w:t>Fenix</w:t>
            </w:r>
          </w:p>
        </w:tc>
        <w:tc>
          <w:tcPr>
            <w:tcW w:w="2381" w:type="dxa"/>
            <w:noWrap/>
            <w:vAlign w:val="center"/>
            <w:hideMark/>
          </w:tcPr>
          <w:p w14:paraId="53630AD7" w14:textId="77777777" w:rsidR="00B45103" w:rsidRPr="00B45103" w:rsidRDefault="00B45103" w:rsidP="00B45103">
            <w:pPr>
              <w:jc w:val="right"/>
              <w:rPr>
                <w:rFonts w:ascii="Aptos Narrow" w:hAnsi="Aptos Narrow"/>
                <w:color w:val="000000"/>
              </w:rPr>
            </w:pPr>
            <w:r w:rsidRPr="00B45103">
              <w:rPr>
                <w:rFonts w:ascii="Aptos Narrow" w:hAnsi="Aptos Narrow"/>
                <w:color w:val="000000"/>
              </w:rPr>
              <w:t>0</w:t>
            </w:r>
          </w:p>
        </w:tc>
      </w:tr>
      <w:tr w:rsidR="00B45103" w:rsidRPr="00B45103" w14:paraId="25B7CF8F" w14:textId="77777777" w:rsidTr="00B45103">
        <w:trPr>
          <w:trHeight w:val="320"/>
        </w:trPr>
        <w:tc>
          <w:tcPr>
            <w:tcW w:w="2381" w:type="dxa"/>
            <w:noWrap/>
            <w:vAlign w:val="center"/>
            <w:hideMark/>
          </w:tcPr>
          <w:p w14:paraId="7BF85AA1" w14:textId="77777777" w:rsidR="00B45103" w:rsidRPr="00B45103" w:rsidRDefault="00B45103" w:rsidP="00B45103">
            <w:pPr>
              <w:rPr>
                <w:rFonts w:ascii="Aptos Narrow" w:hAnsi="Aptos Narrow"/>
                <w:b/>
                <w:bCs/>
                <w:color w:val="000000"/>
              </w:rPr>
            </w:pPr>
            <w:r w:rsidRPr="00B45103">
              <w:rPr>
                <w:rFonts w:ascii="Aptos Narrow" w:hAnsi="Aptos Narrow"/>
                <w:b/>
                <w:bCs/>
                <w:color w:val="000000"/>
              </w:rPr>
              <w:t>Celkem</w:t>
            </w:r>
          </w:p>
        </w:tc>
        <w:tc>
          <w:tcPr>
            <w:tcW w:w="2381" w:type="dxa"/>
            <w:noWrap/>
            <w:vAlign w:val="center"/>
            <w:hideMark/>
          </w:tcPr>
          <w:p w14:paraId="01B9D910" w14:textId="77777777" w:rsidR="00B45103" w:rsidRPr="00B45103" w:rsidRDefault="00B45103" w:rsidP="00B45103">
            <w:pPr>
              <w:jc w:val="right"/>
              <w:rPr>
                <w:rFonts w:ascii="Aptos Narrow" w:hAnsi="Aptos Narrow"/>
                <w:b/>
                <w:bCs/>
                <w:color w:val="000000"/>
              </w:rPr>
            </w:pPr>
            <w:r w:rsidRPr="00B45103">
              <w:rPr>
                <w:rFonts w:ascii="Aptos Narrow" w:hAnsi="Aptos Narrow"/>
                <w:b/>
                <w:bCs/>
                <w:color w:val="000000"/>
              </w:rPr>
              <w:t>9 527</w:t>
            </w:r>
          </w:p>
        </w:tc>
      </w:tr>
    </w:tbl>
    <w:p w14:paraId="547C1848" w14:textId="77777777" w:rsidR="008227A6" w:rsidRDefault="008227A6" w:rsidP="00A30E4E">
      <w:pPr>
        <w:pStyle w:val="RozpocetOdstavec"/>
      </w:pPr>
    </w:p>
    <w:p w14:paraId="7F58A422" w14:textId="28A62C6D" w:rsidR="0079221F" w:rsidRPr="0079221F" w:rsidRDefault="0079221F" w:rsidP="0079221F">
      <w:pPr>
        <w:pStyle w:val="RozpocetOdstavec"/>
      </w:pPr>
      <w:r>
        <w:t xml:space="preserve">* </w:t>
      </w:r>
      <w:r w:rsidRPr="0079221F">
        <w:t xml:space="preserve">Legislativně </w:t>
      </w:r>
      <w:r>
        <w:t>musí Správní rada UTB</w:t>
      </w:r>
      <w:r w:rsidRPr="0079221F">
        <w:t xml:space="preserve"> vyjádřit písemný souhlas dle § 15 odst. 1 písm. d) zákon</w:t>
      </w:r>
      <w:r>
        <w:t>a</w:t>
      </w:r>
      <w:r w:rsidRPr="0079221F">
        <w:t xml:space="preserve"> č. 111/1998 Sb., o vysokých školách a o změně a doplnění dalších zákonů (zákon o vysokých školách), neboť se jedná o </w:t>
      </w:r>
      <w:r>
        <w:t xml:space="preserve">peněžitý </w:t>
      </w:r>
      <w:r w:rsidRPr="0079221F">
        <w:t xml:space="preserve">vklad do této </w:t>
      </w:r>
      <w:r>
        <w:t>právnické osoby</w:t>
      </w:r>
      <w:r w:rsidRPr="0079221F">
        <w:t>.</w:t>
      </w:r>
    </w:p>
    <w:p w14:paraId="6498F2E6" w14:textId="069DA3DE" w:rsidR="0079221F" w:rsidRDefault="0079221F" w:rsidP="00A30E4E">
      <w:pPr>
        <w:pStyle w:val="RozpocetOdstavec"/>
      </w:pPr>
    </w:p>
    <w:p w14:paraId="054D3211" w14:textId="77777777" w:rsidR="00D06143" w:rsidRDefault="00D06143" w:rsidP="00D06143">
      <w:pPr>
        <w:pStyle w:val="RozpocetNadpis2"/>
      </w:pPr>
      <w:bookmarkStart w:id="98" w:name="_Toc155555644"/>
      <w:bookmarkStart w:id="99" w:name="_Toc218018998"/>
      <w:bookmarkStart w:id="100" w:name="_Toc228824378"/>
      <w:r>
        <w:t>Čerpání fondu strategického rozvoje</w:t>
      </w:r>
      <w:bookmarkEnd w:id="98"/>
      <w:bookmarkEnd w:id="99"/>
      <w:bookmarkEnd w:id="100"/>
    </w:p>
    <w:p w14:paraId="2A9B25CE" w14:textId="3F0165F4" w:rsidR="00D06143" w:rsidRPr="000A20AA" w:rsidRDefault="00D06143" w:rsidP="00D06143">
      <w:pPr>
        <w:pStyle w:val="RozpocetOdstavec"/>
      </w:pPr>
      <w:r w:rsidRPr="000A20AA">
        <w:t>Fond strategického rozvoje je svou finanční podporou cílen do strategických oblastí, které budou v souladu se strategickými cíli UTB ve Zlíně.</w:t>
      </w:r>
      <w:r w:rsidR="006847DD">
        <w:t xml:space="preserve"> </w:t>
      </w:r>
      <w:r w:rsidRPr="000A20AA">
        <w:t>Rozpočet na jednotlivé strategie definuje Rozpis rozpočtu 2026.</w:t>
      </w:r>
    </w:p>
    <w:p w14:paraId="1D061419" w14:textId="77777777" w:rsidR="00D06143" w:rsidRDefault="00D06143" w:rsidP="00D06143">
      <w:pPr>
        <w:pStyle w:val="RozpocetOdstavec"/>
      </w:pPr>
    </w:p>
    <w:p w14:paraId="0D3DC8C5" w14:textId="77777777" w:rsidR="00D06143" w:rsidRDefault="00D06143" w:rsidP="00D06143">
      <w:pPr>
        <w:pStyle w:val="RozpocetNadpis2"/>
      </w:pPr>
      <w:bookmarkStart w:id="101" w:name="_Toc155555645"/>
      <w:bookmarkStart w:id="102" w:name="_Toc218018999"/>
      <w:bookmarkStart w:id="103" w:name="_Toc228824379"/>
      <w:r>
        <w:t>Čerpání zdrojů</w:t>
      </w:r>
      <w:bookmarkEnd w:id="101"/>
      <w:r>
        <w:t xml:space="preserve"> pro Stavební komisi, celouniverzitní SZNN</w:t>
      </w:r>
      <w:r w:rsidDel="00A8301C">
        <w:t xml:space="preserve"> </w:t>
      </w:r>
      <w:r>
        <w:t>a celouniverzitní projekty</w:t>
      </w:r>
      <w:bookmarkEnd w:id="102"/>
      <w:bookmarkEnd w:id="103"/>
    </w:p>
    <w:p w14:paraId="164BDE33" w14:textId="77777777" w:rsidR="00D06143" w:rsidRDefault="00D06143" w:rsidP="00D06143">
      <w:pPr>
        <w:pStyle w:val="RozpoetNadpis3"/>
      </w:pPr>
      <w:bookmarkStart w:id="104" w:name="_Toc155555646"/>
      <w:bookmarkStart w:id="105" w:name="_Toc218019000"/>
      <w:bookmarkStart w:id="106" w:name="_Toc228824380"/>
      <w:r>
        <w:t xml:space="preserve">Financování akcí </w:t>
      </w:r>
      <w:bookmarkEnd w:id="104"/>
      <w:r>
        <w:t>Stavební komise</w:t>
      </w:r>
      <w:bookmarkEnd w:id="105"/>
      <w:bookmarkEnd w:id="106"/>
    </w:p>
    <w:p w14:paraId="7797F994" w14:textId="77777777" w:rsidR="00D06143" w:rsidRPr="006847DD" w:rsidRDefault="00D06143" w:rsidP="00D06143">
      <w:pPr>
        <w:pStyle w:val="RozpocetOdstavec"/>
      </w:pPr>
      <w:r w:rsidRPr="006847DD">
        <w:t>Pro financování akcí Stavební komise budou k dispozici:</w:t>
      </w:r>
    </w:p>
    <w:p w14:paraId="1C4EA5AB" w14:textId="77777777" w:rsidR="00D06143" w:rsidRPr="006847DD" w:rsidRDefault="00D06143" w:rsidP="00D06143">
      <w:pPr>
        <w:pStyle w:val="Odstavecseseznamem"/>
        <w:numPr>
          <w:ilvl w:val="0"/>
          <w:numId w:val="36"/>
        </w:numPr>
        <w:jc w:val="both"/>
      </w:pPr>
      <w:r w:rsidRPr="006847DD">
        <w:t>disponibilní zůstatek investičních prostředků přidělených k tomuto účelu v předchozích obdobích (zůstatek FRIM pro celoškolská střediska) nebo kapitálových prostředků po započtení hospodářského výsledku za rok 2025,</w:t>
      </w:r>
    </w:p>
    <w:p w14:paraId="10365130" w14:textId="77777777" w:rsidR="00D06143" w:rsidRPr="006847DD" w:rsidRDefault="00D06143" w:rsidP="00D06143">
      <w:pPr>
        <w:pStyle w:val="Odstavecseseznamem"/>
        <w:numPr>
          <w:ilvl w:val="0"/>
          <w:numId w:val="36"/>
        </w:numPr>
        <w:jc w:val="both"/>
      </w:pPr>
      <w:r w:rsidRPr="006847DD">
        <w:t>část prostředků alokovaných k datu účetní závěrky za rok 2025 ve fondu provozních prostředků (účetně evidovaném na úseku 10). Jedná se zejména o disponibilní zůstatek neinvestičních prostředků Stavební komise,</w:t>
      </w:r>
    </w:p>
    <w:p w14:paraId="0ED55D88" w14:textId="77777777" w:rsidR="00D06143" w:rsidRPr="006847DD" w:rsidRDefault="00D06143" w:rsidP="00D06143">
      <w:pPr>
        <w:pStyle w:val="Odstavecseseznamem"/>
        <w:numPr>
          <w:ilvl w:val="0"/>
          <w:numId w:val="36"/>
        </w:numPr>
        <w:jc w:val="both"/>
      </w:pPr>
      <w:r w:rsidRPr="006847DD">
        <w:t>prostředky přidělené do interního fondu Stavební komise na rok 2026 (neinvestiční prostředky),</w:t>
      </w:r>
    </w:p>
    <w:p w14:paraId="2A71DBA3" w14:textId="77777777" w:rsidR="00D06143" w:rsidRPr="006847DD" w:rsidRDefault="00D06143" w:rsidP="00D06143">
      <w:pPr>
        <w:pStyle w:val="Odstavecseseznamem"/>
        <w:numPr>
          <w:ilvl w:val="0"/>
          <w:numId w:val="36"/>
        </w:numPr>
        <w:jc w:val="both"/>
      </w:pPr>
      <w:r w:rsidRPr="006847DD">
        <w:t>prostředky přidělené na zdroje Stavební komise, celouniverzitní SZNN</w:t>
      </w:r>
      <w:r w:rsidRPr="006847DD" w:rsidDel="00A8301C">
        <w:t xml:space="preserve"> </w:t>
      </w:r>
      <w:r w:rsidRPr="006847DD">
        <w:t>a celouniverzitní projekty</w:t>
      </w:r>
      <w:r w:rsidRPr="006847DD" w:rsidDel="00A8301C">
        <w:t xml:space="preserve"> </w:t>
      </w:r>
      <w:r w:rsidRPr="006847DD">
        <w:t>v roce 2026 pro účely Stavební komise,</w:t>
      </w:r>
    </w:p>
    <w:p w14:paraId="6D03BCA7" w14:textId="77777777" w:rsidR="00D06143" w:rsidRPr="006847DD" w:rsidRDefault="00D06143" w:rsidP="00D06143">
      <w:pPr>
        <w:pStyle w:val="Odstavecseseznamem"/>
        <w:numPr>
          <w:ilvl w:val="0"/>
          <w:numId w:val="36"/>
        </w:numPr>
        <w:jc w:val="both"/>
      </w:pPr>
      <w:r w:rsidRPr="006847DD">
        <w:lastRenderedPageBreak/>
        <w:t>prostředky státního rozpočtu z programu MŠMT „Rozvoj a obnova materiálně technické základny VVŠ“, 133 220, subtitul 133D 22R „UTB – Novostavba objektu U1“ výzva č. 8.</w:t>
      </w:r>
    </w:p>
    <w:p w14:paraId="43693499" w14:textId="77777777" w:rsidR="00D06143" w:rsidRPr="006847DD" w:rsidRDefault="00D06143" w:rsidP="00D06143">
      <w:pPr>
        <w:pStyle w:val="Odstavecseseznamem"/>
        <w:jc w:val="both"/>
      </w:pPr>
    </w:p>
    <w:p w14:paraId="3613BB02" w14:textId="209FB9BB" w:rsidR="00D06143" w:rsidRPr="006847DD" w:rsidRDefault="00D06143" w:rsidP="00D06143">
      <w:pPr>
        <w:ind w:left="360"/>
        <w:jc w:val="both"/>
      </w:pPr>
      <w:r w:rsidRPr="006847DD">
        <w:t xml:space="preserve">Stavební komisi bude </w:t>
      </w:r>
      <w:r w:rsidR="0079221F">
        <w:t xml:space="preserve">pro rok 2026 </w:t>
      </w:r>
      <w:r w:rsidRPr="006847DD">
        <w:t>přidělena maximálně částka ve výši 60 mil.  Kč.</w:t>
      </w:r>
    </w:p>
    <w:p w14:paraId="2DFA0502" w14:textId="77777777" w:rsidR="00D06143" w:rsidRPr="006847DD" w:rsidRDefault="00D06143" w:rsidP="00D06143">
      <w:pPr>
        <w:pStyle w:val="RozpocetOdstavec"/>
      </w:pPr>
    </w:p>
    <w:p w14:paraId="6B9EE9ED" w14:textId="77777777" w:rsidR="00D06143" w:rsidRPr="001612DE" w:rsidRDefault="00D06143" w:rsidP="00D06143">
      <w:pPr>
        <w:pStyle w:val="RozpocetOdstavec"/>
      </w:pPr>
      <w:r w:rsidRPr="001612DE">
        <w:t>Strategické cíle UTB v oblasti infrastruktury zejména:</w:t>
      </w:r>
    </w:p>
    <w:p w14:paraId="4A811EE2" w14:textId="77777777" w:rsidR="00D06143" w:rsidRPr="001612DE" w:rsidRDefault="00D06143" w:rsidP="00D06143">
      <w:pPr>
        <w:pStyle w:val="RozpocetOdstavec"/>
        <w:numPr>
          <w:ilvl w:val="0"/>
          <w:numId w:val="32"/>
        </w:numPr>
      </w:pPr>
      <w:r w:rsidRPr="001612DE">
        <w:t>Novostavba objektu U1.</w:t>
      </w:r>
    </w:p>
    <w:p w14:paraId="568AB29F" w14:textId="77777777" w:rsidR="00D06143" w:rsidRPr="001612DE" w:rsidRDefault="00D06143" w:rsidP="00D06143">
      <w:pPr>
        <w:pStyle w:val="RozpocetOdstavec"/>
      </w:pPr>
      <w:r w:rsidRPr="001612DE">
        <w:t>Prioritní cíle UTB v oblasti infrastruktury zejména:</w:t>
      </w:r>
    </w:p>
    <w:p w14:paraId="21F35488" w14:textId="77777777" w:rsidR="00D06143" w:rsidRPr="001612DE" w:rsidRDefault="00D06143" w:rsidP="00D06143">
      <w:pPr>
        <w:pStyle w:val="Odstavecseseznamem"/>
        <w:numPr>
          <w:ilvl w:val="0"/>
          <w:numId w:val="33"/>
        </w:numPr>
        <w:jc w:val="both"/>
      </w:pPr>
      <w:r w:rsidRPr="001612DE">
        <w:t>Rekonstrukce a modernizace objektu U2</w:t>
      </w:r>
      <w:r w:rsidRPr="001612DE" w:rsidDel="00DD3BB9">
        <w:t xml:space="preserve"> </w:t>
      </w:r>
      <w:r w:rsidRPr="001612DE">
        <w:t>(projektová dokumentace),</w:t>
      </w:r>
    </w:p>
    <w:p w14:paraId="0EFEA5EC" w14:textId="77777777" w:rsidR="00D06143" w:rsidRPr="001612DE" w:rsidRDefault="00D06143" w:rsidP="00D06143">
      <w:pPr>
        <w:pStyle w:val="Odstavecseseznamem"/>
        <w:numPr>
          <w:ilvl w:val="0"/>
          <w:numId w:val="33"/>
        </w:numPr>
        <w:jc w:val="both"/>
      </w:pPr>
      <w:r w:rsidRPr="001612DE">
        <w:t>Multifunkční sportovní hala,</w:t>
      </w:r>
    </w:p>
    <w:p w14:paraId="5A301145" w14:textId="77777777" w:rsidR="00D06143" w:rsidRPr="001612DE" w:rsidRDefault="00D06143" w:rsidP="00D06143">
      <w:pPr>
        <w:pStyle w:val="Odstavecseseznamem"/>
        <w:numPr>
          <w:ilvl w:val="0"/>
          <w:numId w:val="33"/>
        </w:numPr>
        <w:jc w:val="both"/>
      </w:pPr>
      <w:r w:rsidRPr="001612DE">
        <w:t>Vysokoškolská kolej U3 Růmy (dokumentace pro povolení záměru a pravomocné stavební povolení).</w:t>
      </w:r>
    </w:p>
    <w:p w14:paraId="0113694C" w14:textId="77777777" w:rsidR="00D06143" w:rsidRPr="001612DE" w:rsidRDefault="00D06143" w:rsidP="00D06143">
      <w:pPr>
        <w:pStyle w:val="RozpocetOdstavec"/>
      </w:pPr>
      <w:r w:rsidRPr="001612DE">
        <w:t>Pro rok 2026 budou z prostředků Stavební komise financovány výhradně:</w:t>
      </w:r>
    </w:p>
    <w:p w14:paraId="60BB4B4B" w14:textId="77777777" w:rsidR="00D06143" w:rsidRPr="001612DE" w:rsidRDefault="00D06143" w:rsidP="00D06143">
      <w:pPr>
        <w:pStyle w:val="Odstavecseseznamem"/>
        <w:numPr>
          <w:ilvl w:val="0"/>
          <w:numId w:val="34"/>
        </w:numPr>
      </w:pPr>
      <w:r w:rsidRPr="001612DE">
        <w:t>strategické a prioritní akce,</w:t>
      </w:r>
    </w:p>
    <w:p w14:paraId="0C446F6A" w14:textId="77777777" w:rsidR="00D06143" w:rsidRPr="001612DE" w:rsidRDefault="00D06143" w:rsidP="00D06143">
      <w:pPr>
        <w:pStyle w:val="Odstavecseseznamem"/>
        <w:numPr>
          <w:ilvl w:val="0"/>
          <w:numId w:val="34"/>
        </w:numPr>
      </w:pPr>
      <w:r w:rsidRPr="001612DE">
        <w:t>akce odstraňující havarijní stavy v objektech UTB.</w:t>
      </w:r>
    </w:p>
    <w:p w14:paraId="3872FB6B" w14:textId="77777777" w:rsidR="00D06143" w:rsidRPr="001612DE" w:rsidRDefault="00D06143" w:rsidP="00D06143">
      <w:pPr>
        <w:pStyle w:val="RozpocetOdstavec"/>
      </w:pPr>
    </w:p>
    <w:p w14:paraId="2E23FD68" w14:textId="77777777" w:rsidR="00D06143" w:rsidRPr="001612DE" w:rsidRDefault="00D06143" w:rsidP="00D06143">
      <w:pPr>
        <w:pStyle w:val="RozpocetOdstavec"/>
      </w:pPr>
      <w:r w:rsidRPr="001612DE">
        <w:t>U všech dalších akcí pro rok 2026 z plánu Stavební komise pod souhrnnými položkami:</w:t>
      </w:r>
    </w:p>
    <w:p w14:paraId="35BD47D6" w14:textId="77777777" w:rsidR="00D06143" w:rsidRPr="001612DE" w:rsidRDefault="00D06143" w:rsidP="00D06143">
      <w:pPr>
        <w:pStyle w:val="Odstavecseseznamem"/>
        <w:numPr>
          <w:ilvl w:val="0"/>
          <w:numId w:val="35"/>
        </w:numPr>
      </w:pPr>
      <w:r w:rsidRPr="001612DE">
        <w:t>optimalizace požárně-bezpečnostního řešení objektů,</w:t>
      </w:r>
    </w:p>
    <w:p w14:paraId="3979BA67" w14:textId="77777777" w:rsidR="00D06143" w:rsidRPr="001612DE" w:rsidRDefault="00D06143" w:rsidP="00D06143">
      <w:pPr>
        <w:pStyle w:val="Odstavecseseznamem"/>
        <w:numPr>
          <w:ilvl w:val="0"/>
          <w:numId w:val="35"/>
        </w:numPr>
      </w:pPr>
      <w:r w:rsidRPr="001612DE">
        <w:t>obnova stavebních částí budov starších 15 let,</w:t>
      </w:r>
    </w:p>
    <w:p w14:paraId="0DF0DD35" w14:textId="77777777" w:rsidR="00D06143" w:rsidRPr="001612DE" w:rsidRDefault="00D06143" w:rsidP="00D06143">
      <w:pPr>
        <w:pStyle w:val="Odstavecseseznamem"/>
        <w:numPr>
          <w:ilvl w:val="0"/>
          <w:numId w:val="35"/>
        </w:numPr>
      </w:pPr>
      <w:r w:rsidRPr="001612DE">
        <w:t>obnova technologických zařízení budov starších 15 let,</w:t>
      </w:r>
    </w:p>
    <w:p w14:paraId="6C630149" w14:textId="77777777" w:rsidR="00D06143" w:rsidRPr="001612DE" w:rsidRDefault="00D06143" w:rsidP="00D06143">
      <w:pPr>
        <w:pStyle w:val="Odstavecseseznamem"/>
        <w:numPr>
          <w:ilvl w:val="0"/>
          <w:numId w:val="35"/>
        </w:numPr>
      </w:pPr>
      <w:r w:rsidRPr="001612DE">
        <w:t>ekologické aktivity atd.</w:t>
      </w:r>
    </w:p>
    <w:p w14:paraId="2D352EDA" w14:textId="77777777" w:rsidR="00D06143" w:rsidRPr="001612DE" w:rsidRDefault="00D06143" w:rsidP="00D06143">
      <w:pPr>
        <w:pStyle w:val="RozpocetOdstavec"/>
      </w:pPr>
      <w:r w:rsidRPr="001612DE">
        <w:t>ve znění dílčího seznamu akcí, bude na základě závěrů Stavební komise uvedeno, z jakých prostředků budou konkrétní akce financovány.</w:t>
      </w:r>
    </w:p>
    <w:p w14:paraId="6C53393C" w14:textId="77777777" w:rsidR="00D06143" w:rsidRDefault="00D06143" w:rsidP="00D06143">
      <w:pPr>
        <w:pStyle w:val="RozpocetOdstavec"/>
      </w:pPr>
    </w:p>
    <w:p w14:paraId="4FC79D0B" w14:textId="77777777" w:rsidR="00D06143" w:rsidRDefault="00D06143" w:rsidP="00D06143">
      <w:pPr>
        <w:pStyle w:val="RozpoetNadpis3"/>
      </w:pPr>
      <w:bookmarkStart w:id="107" w:name="_Toc155555647"/>
      <w:bookmarkStart w:id="108" w:name="_Toc218019001"/>
      <w:bookmarkStart w:id="109" w:name="_Hlk187039244"/>
      <w:bookmarkStart w:id="110" w:name="_Toc228824381"/>
      <w:r>
        <w:t>Novostavba objektu U1</w:t>
      </w:r>
      <w:bookmarkEnd w:id="107"/>
      <w:bookmarkEnd w:id="108"/>
      <w:bookmarkEnd w:id="110"/>
      <w:r>
        <w:t xml:space="preserve"> </w:t>
      </w:r>
    </w:p>
    <w:p w14:paraId="37E09EB7" w14:textId="77777777" w:rsidR="00D06143" w:rsidRPr="006847DD" w:rsidRDefault="00D06143" w:rsidP="00D06143">
      <w:pPr>
        <w:pStyle w:val="RozpocetOdstavec"/>
      </w:pPr>
      <w:r w:rsidRPr="006847DD">
        <w:t>Investiční záměr akce „UTB – Novostavba objektu U1“, byl schválen MŠMT dne 13. 9. 2023           a stanovuje technickoekonomické, časové a finanční parametry stavby. Akceptuje tyto základní parametry stavby:</w:t>
      </w:r>
    </w:p>
    <w:p w14:paraId="3F35A5A7" w14:textId="77777777" w:rsidR="00D06143" w:rsidRPr="006847DD" w:rsidRDefault="00D06143" w:rsidP="00D06143">
      <w:pPr>
        <w:pStyle w:val="Odstavecseseznamem"/>
        <w:numPr>
          <w:ilvl w:val="0"/>
          <w:numId w:val="30"/>
        </w:numPr>
        <w:contextualSpacing w:val="0"/>
      </w:pPr>
      <w:r w:rsidRPr="006847DD">
        <w:t>6 nadzemních podlaží (včetně jednoho částečného mezipatra),</w:t>
      </w:r>
    </w:p>
    <w:p w14:paraId="0820C2FA" w14:textId="77777777" w:rsidR="00D06143" w:rsidRPr="006847DD" w:rsidRDefault="00D06143" w:rsidP="00D06143">
      <w:pPr>
        <w:pStyle w:val="Odstavecseseznamem"/>
        <w:numPr>
          <w:ilvl w:val="0"/>
          <w:numId w:val="30"/>
        </w:numPr>
      </w:pPr>
      <w:r w:rsidRPr="006847DD">
        <w:t>hrubá podlažní plocha 8 330 m</w:t>
      </w:r>
      <w:r w:rsidRPr="006847DD">
        <w:rPr>
          <w:vertAlign w:val="superscript"/>
        </w:rPr>
        <w:t>2</w:t>
      </w:r>
      <w:r w:rsidRPr="006847DD">
        <w:t>,</w:t>
      </w:r>
    </w:p>
    <w:p w14:paraId="6BE492FC" w14:textId="77777777" w:rsidR="00D06143" w:rsidRPr="006847DD" w:rsidRDefault="00D06143" w:rsidP="00D06143">
      <w:pPr>
        <w:pStyle w:val="Odstavecseseznamem"/>
        <w:numPr>
          <w:ilvl w:val="0"/>
          <w:numId w:val="30"/>
        </w:numPr>
      </w:pPr>
      <w:r w:rsidRPr="006847DD">
        <w:t>obestavěný prostor 38 572 m</w:t>
      </w:r>
      <w:r w:rsidRPr="006847DD">
        <w:rPr>
          <w:vertAlign w:val="superscript"/>
        </w:rPr>
        <w:t>3</w:t>
      </w:r>
      <w:r w:rsidRPr="006847DD">
        <w:t>,</w:t>
      </w:r>
    </w:p>
    <w:bookmarkEnd w:id="109"/>
    <w:p w14:paraId="3AE7C728" w14:textId="77777777" w:rsidR="00D06143" w:rsidRPr="006847DD" w:rsidRDefault="00D06143" w:rsidP="00D06143">
      <w:pPr>
        <w:pStyle w:val="RozpocetOdstavec"/>
      </w:pPr>
      <w:r w:rsidRPr="006847DD">
        <w:t>a operuje s následujícími budoucími náklady na realizaci včetně interiérů (ceny zahrnují i DPH podle aktuálního koeficientu):</w:t>
      </w:r>
    </w:p>
    <w:p w14:paraId="68D01BE0" w14:textId="77777777" w:rsidR="00D06143" w:rsidRPr="006847DD" w:rsidRDefault="00D06143" w:rsidP="00D06143">
      <w:pPr>
        <w:pStyle w:val="Odstavecseseznamem"/>
        <w:numPr>
          <w:ilvl w:val="0"/>
          <w:numId w:val="31"/>
        </w:numPr>
      </w:pPr>
      <w:r w:rsidRPr="006847DD">
        <w:t>stavební práce: 607 mil. Kč,</w:t>
      </w:r>
    </w:p>
    <w:p w14:paraId="12CA521F" w14:textId="77777777" w:rsidR="00D06143" w:rsidRPr="006847DD" w:rsidRDefault="00D06143" w:rsidP="00D06143">
      <w:pPr>
        <w:pStyle w:val="Odstavecseseznamem"/>
        <w:numPr>
          <w:ilvl w:val="0"/>
          <w:numId w:val="31"/>
        </w:numPr>
      </w:pPr>
      <w:r w:rsidRPr="006847DD">
        <w:t>interiér: 26 mil. Kč,</w:t>
      </w:r>
    </w:p>
    <w:p w14:paraId="4F5DD02E" w14:textId="75CA8109" w:rsidR="00D06143" w:rsidRPr="006847DD" w:rsidRDefault="00D06143" w:rsidP="00D06143">
      <w:pPr>
        <w:pStyle w:val="Odstavecseseznamem"/>
        <w:numPr>
          <w:ilvl w:val="0"/>
          <w:numId w:val="31"/>
        </w:numPr>
      </w:pPr>
      <w:r w:rsidRPr="006847DD">
        <w:t>činnosti TKI, BOZP, dozor projektanta, organizace veřejné zakázky: 7 mil. Kč.</w:t>
      </w:r>
    </w:p>
    <w:p w14:paraId="73B9D25D" w14:textId="77777777" w:rsidR="00AA1272" w:rsidRPr="006847DD" w:rsidRDefault="00AA1272" w:rsidP="00D06143">
      <w:pPr>
        <w:pStyle w:val="Odstavecseseznamem"/>
        <w:numPr>
          <w:ilvl w:val="0"/>
          <w:numId w:val="31"/>
        </w:numPr>
      </w:pPr>
    </w:p>
    <w:p w14:paraId="5D08475B" w14:textId="77777777" w:rsidR="00D06143" w:rsidRPr="006847DD" w:rsidRDefault="00D06143" w:rsidP="00D06143">
      <w:pPr>
        <w:pStyle w:val="RozpocetOdstavec"/>
      </w:pPr>
      <w:r w:rsidRPr="006847DD">
        <w:t>V registrovaném investičním záměru pro subtitul 133D 22R „Rozvoj a obnova materiálně technické základny UTB ve Zlíně“ akce „UTB – Novostavba objektu U1“ je bilance investiční ze státního rozpočtu 201 584 232,19 Kč. Dotace musí být vyčerpána do června 2027. Pro financování akce Novostavba objektu U1 bylo v letech 2020 až 2022 shromážděno od součástí celkem 125 000 tis. Kč.</w:t>
      </w:r>
    </w:p>
    <w:p w14:paraId="21A65550" w14:textId="77777777" w:rsidR="00D06143" w:rsidRPr="006847DD" w:rsidRDefault="00D06143" w:rsidP="00D06143">
      <w:pPr>
        <w:pStyle w:val="RozpocetOdstavec"/>
      </w:pPr>
      <w:r w:rsidRPr="006847DD">
        <w:t>Další finanční dotaci ve výši 200 000 000 Kč obdržela UTB ve Zlíně od poskytovatele Zlínský kraj ve prospěch Novostavby objektu U1.</w:t>
      </w:r>
    </w:p>
    <w:p w14:paraId="05239D15" w14:textId="77777777" w:rsidR="00D06143" w:rsidRPr="006847DD" w:rsidRDefault="00D06143" w:rsidP="00D06143">
      <w:pPr>
        <w:pStyle w:val="RozpocetOdstavec"/>
      </w:pPr>
      <w:r w:rsidRPr="006847DD">
        <w:t xml:space="preserve">Pomocí projektu OP JAK, ERDF Kvalita bude možné proúčtovat výdaje ve výši 59 718 634 Kč. </w:t>
      </w:r>
    </w:p>
    <w:p w14:paraId="424DD8E3" w14:textId="77777777" w:rsidR="00D06143" w:rsidRPr="006847DD" w:rsidRDefault="00D06143" w:rsidP="00D06143">
      <w:pPr>
        <w:pStyle w:val="RozpocetOdstavec"/>
      </w:pPr>
    </w:p>
    <w:p w14:paraId="3F866763" w14:textId="77777777" w:rsidR="00D06143" w:rsidRPr="006847DD" w:rsidRDefault="00D06143" w:rsidP="00D06143">
      <w:pPr>
        <w:pStyle w:val="RozpocetOdstavec"/>
      </w:pPr>
      <w:r w:rsidRPr="006847DD">
        <w:lastRenderedPageBreak/>
        <w:t>V předchozích Pravidlech rozpočtu UTB byly stanoveny závazné podmínky pro financování stavební akce:</w:t>
      </w:r>
    </w:p>
    <w:p w14:paraId="22392286" w14:textId="77777777" w:rsidR="00D06143" w:rsidRPr="006847DD" w:rsidRDefault="00D06143" w:rsidP="00D06143">
      <w:pPr>
        <w:pStyle w:val="Odstavecseseznamem"/>
        <w:numPr>
          <w:ilvl w:val="0"/>
          <w:numId w:val="37"/>
        </w:numPr>
        <w:jc w:val="both"/>
      </w:pPr>
      <w:r w:rsidRPr="006847DD">
        <w:t>veškeré interiérové (mobilní i zabudované) a přístrojové vybavení související s akcí hradí FT z vlastních zdrojů,</w:t>
      </w:r>
    </w:p>
    <w:p w14:paraId="04EE3531" w14:textId="77777777" w:rsidR="00D06143" w:rsidRPr="006847DD" w:rsidRDefault="00D06143" w:rsidP="00D06143">
      <w:pPr>
        <w:pStyle w:val="Odstavecseseznamem"/>
        <w:numPr>
          <w:ilvl w:val="0"/>
          <w:numId w:val="37"/>
        </w:numPr>
        <w:jc w:val="both"/>
      </w:pPr>
      <w:r w:rsidRPr="006847DD">
        <w:t xml:space="preserve">pokud dojde k navýšení smluvně podchycené ceny stavebního díla vlivem změn řešení, vyvolaných požadavky budoucích uživatelů, budou tyto vícepráce hrazeny výhradně </w:t>
      </w:r>
      <w:r w:rsidRPr="006847DD">
        <w:br/>
        <w:t>z prostředků FT,</w:t>
      </w:r>
    </w:p>
    <w:p w14:paraId="417B495B" w14:textId="77777777" w:rsidR="00D06143" w:rsidRPr="006847DD" w:rsidRDefault="00D06143" w:rsidP="00D06143">
      <w:pPr>
        <w:pStyle w:val="Odstavecseseznamem"/>
        <w:numPr>
          <w:ilvl w:val="0"/>
          <w:numId w:val="37"/>
        </w:numPr>
        <w:jc w:val="both"/>
      </w:pPr>
      <w:r w:rsidRPr="006847DD">
        <w:t>v případě nevyčerpání všech prostředků získaných mimořádnými příspěvky bude zůstatek vrácen součástem v poměru výše jejich mimořádných příspěvků,</w:t>
      </w:r>
    </w:p>
    <w:p w14:paraId="31B9F682" w14:textId="77777777" w:rsidR="00D06143" w:rsidRPr="006847DD" w:rsidRDefault="00D06143" w:rsidP="00D06143">
      <w:pPr>
        <w:pStyle w:val="Odstavecseseznamem"/>
        <w:numPr>
          <w:ilvl w:val="0"/>
          <w:numId w:val="37"/>
        </w:numPr>
        <w:jc w:val="both"/>
      </w:pPr>
      <w:r w:rsidRPr="006847DD">
        <w:t>pokud v době realizace výstavby U1 obdrží UTB další mimořádné prostředky z veřejných zdrojů a budou náklady akce dostatečně kryty, bude o tyto prostředky mimořádný příspěvek snížen.</w:t>
      </w:r>
    </w:p>
    <w:p w14:paraId="4632B9E2" w14:textId="77777777" w:rsidR="00D06143" w:rsidRPr="006847DD" w:rsidRDefault="00D06143" w:rsidP="00D06143">
      <w:pPr>
        <w:pStyle w:val="RozpocetOdstavec"/>
      </w:pPr>
    </w:p>
    <w:p w14:paraId="2311F915" w14:textId="77777777" w:rsidR="00D06143" w:rsidRPr="006847DD" w:rsidRDefault="00D06143" w:rsidP="00D06143">
      <w:pPr>
        <w:pStyle w:val="RozpocetOdstavec"/>
      </w:pPr>
      <w:r w:rsidRPr="006847DD">
        <w:t xml:space="preserve">Tato Pravidla rozpočtu UTB umožňují financování výše uvedené stavební akce i z dotačních prostředků FT. </w:t>
      </w:r>
    </w:p>
    <w:p w14:paraId="038D5647" w14:textId="77777777" w:rsidR="00D06143" w:rsidRPr="006847DD" w:rsidRDefault="00D06143" w:rsidP="00D06143">
      <w:pPr>
        <w:pStyle w:val="RozpocetOdstavec"/>
      </w:pPr>
    </w:p>
    <w:p w14:paraId="60338562" w14:textId="77777777" w:rsidR="00D06143" w:rsidRPr="006847DD" w:rsidRDefault="00D06143" w:rsidP="00D06143">
      <w:pPr>
        <w:spacing w:after="160" w:line="259" w:lineRule="auto"/>
        <w:jc w:val="both"/>
        <w:rPr>
          <w:b/>
          <w:i/>
          <w:szCs w:val="22"/>
        </w:rPr>
      </w:pPr>
      <w:r w:rsidRPr="006847DD">
        <w:rPr>
          <w:b/>
          <w:i/>
          <w:szCs w:val="22"/>
        </w:rPr>
        <w:t>Závazný postup financování v případě navýšení ceny stavební akce z objektivních příčin (změna nároku odpočtu DPH z důvodu snížení koeficientu DPH z legislativních příčin, snížení koeficientu DPH v rámci UTB změnou poměru zdaňovaných a osvobozených činností) je dán kroky v této posloupnosti:</w:t>
      </w:r>
    </w:p>
    <w:p w14:paraId="3390E528" w14:textId="77777777" w:rsidR="00D06143" w:rsidRPr="006847DD" w:rsidRDefault="00D06143" w:rsidP="00D06143">
      <w:pPr>
        <w:numPr>
          <w:ilvl w:val="0"/>
          <w:numId w:val="38"/>
        </w:numPr>
        <w:autoSpaceDE w:val="0"/>
        <w:autoSpaceDN w:val="0"/>
        <w:spacing w:after="160" w:line="259" w:lineRule="auto"/>
        <w:contextualSpacing/>
        <w:jc w:val="both"/>
        <w:rPr>
          <w:i/>
          <w:szCs w:val="22"/>
        </w:rPr>
      </w:pPr>
      <w:r w:rsidRPr="006847DD">
        <w:rPr>
          <w:i/>
          <w:szCs w:val="22"/>
        </w:rPr>
        <w:t xml:space="preserve">Případný rozdíl mezi navýšenou hodnotou a původně plánovanou cenou stavební akce (nebo jeho část) bude uhrazen z disponibilního zůstatku finančních prostředků ve Fondu pro financování projektů OP VVV nejdříve ke dni 31. 3. 2026 (nejvýše ovšem do částky 10 000 tis. Kč). </w:t>
      </w:r>
    </w:p>
    <w:p w14:paraId="58B4003A" w14:textId="77777777" w:rsidR="00D06143" w:rsidRPr="006847DD" w:rsidRDefault="00D06143" w:rsidP="00D06143">
      <w:pPr>
        <w:numPr>
          <w:ilvl w:val="0"/>
          <w:numId w:val="38"/>
        </w:numPr>
        <w:autoSpaceDE w:val="0"/>
        <w:autoSpaceDN w:val="0"/>
        <w:spacing w:after="160" w:line="259" w:lineRule="auto"/>
        <w:contextualSpacing/>
        <w:jc w:val="both"/>
        <w:rPr>
          <w:i/>
          <w:szCs w:val="22"/>
        </w:rPr>
      </w:pPr>
      <w:r w:rsidRPr="006847DD">
        <w:rPr>
          <w:i/>
          <w:szCs w:val="22"/>
        </w:rPr>
        <w:t>Případný rozdíl mezi navýšenou hodnotou a původně plánovanou cenou stavební akce (nebo jeho část) bude uhrazen z Fondu finanční rezervy (nejvýše ovšem do částky 10 000 tis. Kč).</w:t>
      </w:r>
    </w:p>
    <w:p w14:paraId="0C79A2F7" w14:textId="77777777" w:rsidR="00D06143" w:rsidRPr="006847DD" w:rsidRDefault="00D06143" w:rsidP="00D06143">
      <w:pPr>
        <w:numPr>
          <w:ilvl w:val="0"/>
          <w:numId w:val="38"/>
        </w:numPr>
        <w:autoSpaceDE w:val="0"/>
        <w:autoSpaceDN w:val="0"/>
        <w:spacing w:after="160" w:line="259" w:lineRule="auto"/>
        <w:contextualSpacing/>
        <w:jc w:val="both"/>
        <w:rPr>
          <w:i/>
          <w:szCs w:val="22"/>
        </w:rPr>
      </w:pPr>
      <w:r w:rsidRPr="006847DD">
        <w:rPr>
          <w:i/>
          <w:szCs w:val="22"/>
        </w:rPr>
        <w:t xml:space="preserve">Případný rozdíl mezi navýšenou hodnotou a původně plánovanou cenou stavební akce uhradí FT z vlastních prostředků. Pokud nebude mít Fakulta technologická dostatek finančních prostředků, bude řešeno formou bezúplatných půjček ze součástí, případně úvěrem pro FT od bankovní instituce.  </w:t>
      </w:r>
    </w:p>
    <w:p w14:paraId="316D94CE" w14:textId="77777777" w:rsidR="00D06143" w:rsidRPr="006847DD" w:rsidRDefault="00D06143" w:rsidP="00D06143">
      <w:pPr>
        <w:ind w:left="360"/>
        <w:jc w:val="both"/>
        <w:rPr>
          <w:i/>
          <w:iCs/>
        </w:rPr>
      </w:pPr>
      <w:r w:rsidRPr="006847DD">
        <w:rPr>
          <w:i/>
          <w:iCs/>
        </w:rPr>
        <w:t xml:space="preserve">Uvedené financování formou bezúplatných půjček ze součástí musí být dle zákona č. 111/1998 Sb., o vysokých školách a o změně a doplnění dalších zákonů (zákon o vysokých školách), v platném znění schváleno, v případě potřeby takovéto půjčky v daném aktuálním roce potřeby půjčky, i osobami oprávněnými jednat za součást a akademickým senátem dané součásti, která má půjčku poskytnout. </w:t>
      </w:r>
    </w:p>
    <w:p w14:paraId="0D42DC67" w14:textId="77777777" w:rsidR="00D5029A" w:rsidRDefault="00D5029A" w:rsidP="00D5029A">
      <w:pPr>
        <w:pStyle w:val="RozpocetNadpis1"/>
        <w:ind w:left="431" w:hanging="431"/>
      </w:pPr>
      <w:bookmarkStart w:id="111" w:name="_Toc218019002"/>
      <w:bookmarkStart w:id="112" w:name="_Toc228824382"/>
      <w:r>
        <w:lastRenderedPageBreak/>
        <w:t>Další mzda</w:t>
      </w:r>
      <w:bookmarkEnd w:id="111"/>
      <w:bookmarkEnd w:id="112"/>
    </w:p>
    <w:p w14:paraId="590E1C14" w14:textId="77777777" w:rsidR="00D5029A" w:rsidRPr="006847DD" w:rsidRDefault="00D5029A" w:rsidP="00D5029A">
      <w:pPr>
        <w:jc w:val="both"/>
      </w:pPr>
      <w:r w:rsidRPr="006847DD">
        <w:t>V kalendářním roce 2026 bude vyplacena další mzda, a to z finančních prostředků jednotlivých součástí UTB ve Zlíně. Další mzda bude vyplacena ze samostatného prvku SPP dané součásti a bude splatná spolu se mzdou za měsíc březen. Další mzda bude stanovena na základě částek, které jsou uvedeny v Tabulce 1 pro jednotlivé mzdové třídy akademických a vědeckých pracovníků a v Tabulce 2 pro jednotlivé třídy a stupně ostatních pracovníků.</w:t>
      </w:r>
    </w:p>
    <w:p w14:paraId="0D58221B" w14:textId="77777777" w:rsidR="00D5029A" w:rsidRPr="00BF1114" w:rsidRDefault="00D5029A" w:rsidP="00D5029A">
      <w:pPr>
        <w:spacing w:before="240"/>
        <w:ind w:firstLine="709"/>
        <w:jc w:val="both"/>
        <w:rPr>
          <w:b/>
        </w:rPr>
      </w:pPr>
      <w:r w:rsidRPr="00BF1114">
        <w:rPr>
          <w:b/>
        </w:rPr>
        <w:t>Tabulka 1</w:t>
      </w:r>
      <w:r w:rsidRPr="00BF1114">
        <w:rPr>
          <w:b/>
        </w:rPr>
        <w:tab/>
        <w:t>Akademičtí a vědečtí pracovníci</w:t>
      </w:r>
    </w:p>
    <w:tbl>
      <w:tblPr>
        <w:tblStyle w:val="Mkatabulky"/>
        <w:tblW w:w="0" w:type="auto"/>
        <w:tblLook w:val="04A0" w:firstRow="1" w:lastRow="0" w:firstColumn="1" w:lastColumn="0" w:noHBand="0" w:noVBand="1"/>
      </w:tblPr>
      <w:tblGrid>
        <w:gridCol w:w="1300"/>
        <w:gridCol w:w="1301"/>
        <w:gridCol w:w="1308"/>
        <w:gridCol w:w="1310"/>
        <w:gridCol w:w="1302"/>
        <w:gridCol w:w="1302"/>
      </w:tblGrid>
      <w:tr w:rsidR="00D5029A" w:rsidRPr="00BF1114" w14:paraId="74EE56DC" w14:textId="77777777" w:rsidTr="00783B7D">
        <w:tc>
          <w:tcPr>
            <w:tcW w:w="1300" w:type="dxa"/>
          </w:tcPr>
          <w:p w14:paraId="09211C6F" w14:textId="77777777" w:rsidR="00D5029A" w:rsidRPr="00BF1114" w:rsidRDefault="00D5029A" w:rsidP="00783B7D">
            <w:pPr>
              <w:jc w:val="center"/>
              <w:rPr>
                <w:sz w:val="20"/>
                <w:szCs w:val="20"/>
              </w:rPr>
            </w:pPr>
            <w:r w:rsidRPr="00BF1114">
              <w:rPr>
                <w:sz w:val="20"/>
                <w:szCs w:val="20"/>
              </w:rPr>
              <w:t>B1 až B4</w:t>
            </w:r>
          </w:p>
        </w:tc>
        <w:tc>
          <w:tcPr>
            <w:tcW w:w="1301" w:type="dxa"/>
          </w:tcPr>
          <w:p w14:paraId="564C91C2" w14:textId="77777777" w:rsidR="00D5029A" w:rsidRPr="00BF1114" w:rsidRDefault="00D5029A" w:rsidP="00783B7D">
            <w:pPr>
              <w:jc w:val="center"/>
              <w:rPr>
                <w:sz w:val="20"/>
                <w:szCs w:val="20"/>
              </w:rPr>
            </w:pPr>
            <w:r w:rsidRPr="00BF1114">
              <w:rPr>
                <w:sz w:val="20"/>
                <w:szCs w:val="20"/>
              </w:rPr>
              <w:t>A1</w:t>
            </w:r>
          </w:p>
        </w:tc>
        <w:tc>
          <w:tcPr>
            <w:tcW w:w="1308" w:type="dxa"/>
          </w:tcPr>
          <w:p w14:paraId="5280AB99" w14:textId="77777777" w:rsidR="00D5029A" w:rsidRPr="00BF1114" w:rsidRDefault="00D5029A" w:rsidP="00783B7D">
            <w:pPr>
              <w:jc w:val="center"/>
              <w:rPr>
                <w:sz w:val="20"/>
                <w:szCs w:val="20"/>
              </w:rPr>
            </w:pPr>
            <w:r w:rsidRPr="00BF1114">
              <w:rPr>
                <w:sz w:val="20"/>
                <w:szCs w:val="20"/>
              </w:rPr>
              <w:t>A2a</w:t>
            </w:r>
          </w:p>
        </w:tc>
        <w:tc>
          <w:tcPr>
            <w:tcW w:w="1310" w:type="dxa"/>
          </w:tcPr>
          <w:p w14:paraId="2D43EA8B" w14:textId="77777777" w:rsidR="00D5029A" w:rsidRPr="00BF1114" w:rsidRDefault="00D5029A" w:rsidP="00783B7D">
            <w:pPr>
              <w:jc w:val="center"/>
              <w:rPr>
                <w:sz w:val="20"/>
                <w:szCs w:val="20"/>
              </w:rPr>
            </w:pPr>
            <w:r w:rsidRPr="00BF1114">
              <w:rPr>
                <w:sz w:val="20"/>
                <w:szCs w:val="20"/>
              </w:rPr>
              <w:t>A2b</w:t>
            </w:r>
          </w:p>
        </w:tc>
        <w:tc>
          <w:tcPr>
            <w:tcW w:w="1302" w:type="dxa"/>
          </w:tcPr>
          <w:p w14:paraId="2189A7CC" w14:textId="77777777" w:rsidR="00D5029A" w:rsidRPr="00BF1114" w:rsidRDefault="00D5029A" w:rsidP="00783B7D">
            <w:pPr>
              <w:jc w:val="center"/>
              <w:rPr>
                <w:sz w:val="20"/>
                <w:szCs w:val="20"/>
              </w:rPr>
            </w:pPr>
            <w:r w:rsidRPr="00BF1114">
              <w:rPr>
                <w:sz w:val="20"/>
                <w:szCs w:val="20"/>
              </w:rPr>
              <w:t>A3</w:t>
            </w:r>
          </w:p>
        </w:tc>
        <w:tc>
          <w:tcPr>
            <w:tcW w:w="1302" w:type="dxa"/>
          </w:tcPr>
          <w:p w14:paraId="38F6F3A8" w14:textId="77777777" w:rsidR="00D5029A" w:rsidRPr="00BF1114" w:rsidRDefault="00D5029A" w:rsidP="00783B7D">
            <w:pPr>
              <w:jc w:val="center"/>
              <w:rPr>
                <w:sz w:val="20"/>
                <w:szCs w:val="20"/>
              </w:rPr>
            </w:pPr>
            <w:r w:rsidRPr="00BF1114">
              <w:rPr>
                <w:sz w:val="20"/>
                <w:szCs w:val="20"/>
              </w:rPr>
              <w:t>A4</w:t>
            </w:r>
          </w:p>
        </w:tc>
      </w:tr>
      <w:tr w:rsidR="00D5029A" w:rsidRPr="00BF1114" w14:paraId="4557A16F" w14:textId="77777777" w:rsidTr="00783B7D">
        <w:tc>
          <w:tcPr>
            <w:tcW w:w="1300" w:type="dxa"/>
          </w:tcPr>
          <w:p w14:paraId="76872629" w14:textId="77777777" w:rsidR="00D5029A" w:rsidRPr="00BF1114" w:rsidRDefault="00D5029A" w:rsidP="00783B7D">
            <w:pPr>
              <w:jc w:val="center"/>
              <w:rPr>
                <w:sz w:val="20"/>
                <w:szCs w:val="20"/>
              </w:rPr>
            </w:pPr>
            <w:r w:rsidRPr="00BF1114">
              <w:rPr>
                <w:sz w:val="20"/>
                <w:szCs w:val="20"/>
              </w:rPr>
              <w:t>2 800 Kč</w:t>
            </w:r>
          </w:p>
        </w:tc>
        <w:tc>
          <w:tcPr>
            <w:tcW w:w="1301" w:type="dxa"/>
          </w:tcPr>
          <w:p w14:paraId="39CFF6FE" w14:textId="77777777" w:rsidR="00D5029A" w:rsidRPr="00BF1114" w:rsidRDefault="00D5029A" w:rsidP="00783B7D">
            <w:pPr>
              <w:jc w:val="center"/>
              <w:rPr>
                <w:sz w:val="20"/>
                <w:szCs w:val="20"/>
              </w:rPr>
            </w:pPr>
            <w:r w:rsidRPr="00BF1114">
              <w:rPr>
                <w:sz w:val="20"/>
                <w:szCs w:val="20"/>
              </w:rPr>
              <w:t>2 800 Kč</w:t>
            </w:r>
          </w:p>
        </w:tc>
        <w:tc>
          <w:tcPr>
            <w:tcW w:w="1308" w:type="dxa"/>
          </w:tcPr>
          <w:p w14:paraId="7A43511A" w14:textId="77777777" w:rsidR="00D5029A" w:rsidRPr="00BF1114" w:rsidRDefault="00D5029A" w:rsidP="00783B7D">
            <w:pPr>
              <w:jc w:val="center"/>
              <w:rPr>
                <w:sz w:val="20"/>
                <w:szCs w:val="20"/>
              </w:rPr>
            </w:pPr>
            <w:r w:rsidRPr="00BF1114">
              <w:rPr>
                <w:sz w:val="20"/>
                <w:szCs w:val="20"/>
              </w:rPr>
              <w:t>3 700 Kč</w:t>
            </w:r>
          </w:p>
        </w:tc>
        <w:tc>
          <w:tcPr>
            <w:tcW w:w="1310" w:type="dxa"/>
          </w:tcPr>
          <w:p w14:paraId="038B42B1" w14:textId="77777777" w:rsidR="00D5029A" w:rsidRPr="00BF1114" w:rsidRDefault="00D5029A" w:rsidP="00783B7D">
            <w:pPr>
              <w:jc w:val="center"/>
              <w:rPr>
                <w:sz w:val="20"/>
                <w:szCs w:val="20"/>
              </w:rPr>
            </w:pPr>
            <w:r w:rsidRPr="00BF1114">
              <w:rPr>
                <w:sz w:val="20"/>
                <w:szCs w:val="20"/>
              </w:rPr>
              <w:t>4 800 Kč</w:t>
            </w:r>
          </w:p>
        </w:tc>
        <w:tc>
          <w:tcPr>
            <w:tcW w:w="1302" w:type="dxa"/>
          </w:tcPr>
          <w:p w14:paraId="108A37AD" w14:textId="77777777" w:rsidR="00D5029A" w:rsidRPr="00BF1114" w:rsidRDefault="00D5029A" w:rsidP="00783B7D">
            <w:pPr>
              <w:jc w:val="center"/>
              <w:rPr>
                <w:sz w:val="20"/>
                <w:szCs w:val="20"/>
              </w:rPr>
            </w:pPr>
            <w:r w:rsidRPr="00BF1114">
              <w:rPr>
                <w:sz w:val="20"/>
                <w:szCs w:val="20"/>
              </w:rPr>
              <w:t>4 200 Kč</w:t>
            </w:r>
          </w:p>
        </w:tc>
        <w:tc>
          <w:tcPr>
            <w:tcW w:w="1302" w:type="dxa"/>
          </w:tcPr>
          <w:p w14:paraId="2186A43E" w14:textId="77777777" w:rsidR="00D5029A" w:rsidRPr="00BF1114" w:rsidRDefault="00D5029A" w:rsidP="00783B7D">
            <w:pPr>
              <w:jc w:val="center"/>
              <w:rPr>
                <w:sz w:val="20"/>
                <w:szCs w:val="20"/>
              </w:rPr>
            </w:pPr>
            <w:r w:rsidRPr="00BF1114">
              <w:rPr>
                <w:sz w:val="20"/>
                <w:szCs w:val="20"/>
              </w:rPr>
              <w:t>4 000 Kč</w:t>
            </w:r>
          </w:p>
        </w:tc>
      </w:tr>
    </w:tbl>
    <w:p w14:paraId="4DD90108" w14:textId="77777777" w:rsidR="00D5029A" w:rsidRPr="00BF1114" w:rsidRDefault="00D5029A" w:rsidP="00D5029A">
      <w:pPr>
        <w:spacing w:before="240"/>
        <w:ind w:firstLine="709"/>
        <w:jc w:val="both"/>
      </w:pPr>
      <w:r w:rsidRPr="00BF1114">
        <w:rPr>
          <w:b/>
        </w:rPr>
        <w:t>Tabulka 2</w:t>
      </w:r>
      <w:r w:rsidRPr="00BF1114">
        <w:rPr>
          <w:b/>
        </w:rPr>
        <w:tab/>
        <w:t>Ostatní pracovníci</w:t>
      </w:r>
    </w:p>
    <w:tbl>
      <w:tblPr>
        <w:tblStyle w:val="Mkatabulky"/>
        <w:tblW w:w="0" w:type="auto"/>
        <w:tblInd w:w="5" w:type="dxa"/>
        <w:tblLook w:val="04A0" w:firstRow="1" w:lastRow="0" w:firstColumn="1" w:lastColumn="0" w:noHBand="0" w:noVBand="1"/>
      </w:tblPr>
      <w:tblGrid>
        <w:gridCol w:w="884"/>
        <w:gridCol w:w="817"/>
        <w:gridCol w:w="817"/>
        <w:gridCol w:w="817"/>
        <w:gridCol w:w="818"/>
        <w:gridCol w:w="817"/>
        <w:gridCol w:w="817"/>
        <w:gridCol w:w="818"/>
        <w:gridCol w:w="817"/>
        <w:gridCol w:w="817"/>
        <w:gridCol w:w="818"/>
      </w:tblGrid>
      <w:tr w:rsidR="00D5029A" w:rsidRPr="00BF1114" w14:paraId="0DFDCEB7" w14:textId="77777777" w:rsidTr="00783B7D">
        <w:tc>
          <w:tcPr>
            <w:tcW w:w="854" w:type="dxa"/>
            <w:tcBorders>
              <w:top w:val="single" w:sz="4" w:space="0" w:color="auto"/>
              <w:left w:val="single" w:sz="4" w:space="0" w:color="auto"/>
            </w:tcBorders>
          </w:tcPr>
          <w:p w14:paraId="1909645A" w14:textId="77777777" w:rsidR="00D5029A" w:rsidRPr="00BF1114" w:rsidRDefault="00D5029A" w:rsidP="00783B7D">
            <w:pPr>
              <w:jc w:val="center"/>
            </w:pPr>
          </w:p>
        </w:tc>
        <w:tc>
          <w:tcPr>
            <w:tcW w:w="8203" w:type="dxa"/>
            <w:gridSpan w:val="10"/>
          </w:tcPr>
          <w:p w14:paraId="185B9F5F" w14:textId="77777777" w:rsidR="00D5029A" w:rsidRPr="00BF1114" w:rsidRDefault="00D5029A" w:rsidP="00783B7D">
            <w:pPr>
              <w:jc w:val="center"/>
            </w:pPr>
            <w:r w:rsidRPr="00BF1114">
              <w:t>Mzdová třída</w:t>
            </w:r>
          </w:p>
        </w:tc>
      </w:tr>
      <w:tr w:rsidR="00D5029A" w:rsidRPr="00BF1114" w14:paraId="33DC6D5F" w14:textId="77777777" w:rsidTr="00783B7D">
        <w:tc>
          <w:tcPr>
            <w:tcW w:w="854" w:type="dxa"/>
          </w:tcPr>
          <w:p w14:paraId="5CEFF5BB" w14:textId="77777777" w:rsidR="00D5029A" w:rsidRPr="00BF1114" w:rsidRDefault="00D5029A" w:rsidP="00783B7D">
            <w:pPr>
              <w:jc w:val="center"/>
              <w:rPr>
                <w:sz w:val="20"/>
                <w:szCs w:val="20"/>
              </w:rPr>
            </w:pPr>
            <w:r w:rsidRPr="00BF1114">
              <w:rPr>
                <w:sz w:val="20"/>
                <w:szCs w:val="20"/>
              </w:rPr>
              <w:t>Mzdový stupeň</w:t>
            </w:r>
          </w:p>
        </w:tc>
        <w:tc>
          <w:tcPr>
            <w:tcW w:w="820" w:type="dxa"/>
          </w:tcPr>
          <w:p w14:paraId="7CB2EA0F" w14:textId="77777777" w:rsidR="00D5029A" w:rsidRPr="00BF1114" w:rsidRDefault="00D5029A" w:rsidP="00783B7D">
            <w:pPr>
              <w:jc w:val="center"/>
              <w:rPr>
                <w:sz w:val="20"/>
                <w:szCs w:val="20"/>
              </w:rPr>
            </w:pPr>
            <w:r w:rsidRPr="00BF1114">
              <w:rPr>
                <w:sz w:val="20"/>
                <w:szCs w:val="20"/>
              </w:rPr>
              <w:t>03</w:t>
            </w:r>
          </w:p>
        </w:tc>
        <w:tc>
          <w:tcPr>
            <w:tcW w:w="820" w:type="dxa"/>
          </w:tcPr>
          <w:p w14:paraId="76CA4D90" w14:textId="77777777" w:rsidR="00D5029A" w:rsidRPr="00BF1114" w:rsidRDefault="00D5029A" w:rsidP="00783B7D">
            <w:pPr>
              <w:jc w:val="center"/>
              <w:rPr>
                <w:sz w:val="20"/>
                <w:szCs w:val="20"/>
              </w:rPr>
            </w:pPr>
            <w:r w:rsidRPr="00BF1114">
              <w:rPr>
                <w:sz w:val="20"/>
                <w:szCs w:val="20"/>
              </w:rPr>
              <w:t>04</w:t>
            </w:r>
          </w:p>
        </w:tc>
        <w:tc>
          <w:tcPr>
            <w:tcW w:w="820" w:type="dxa"/>
          </w:tcPr>
          <w:p w14:paraId="4A0E80ED" w14:textId="77777777" w:rsidR="00D5029A" w:rsidRPr="00BF1114" w:rsidRDefault="00D5029A" w:rsidP="00783B7D">
            <w:pPr>
              <w:jc w:val="center"/>
              <w:rPr>
                <w:sz w:val="20"/>
                <w:szCs w:val="20"/>
              </w:rPr>
            </w:pPr>
            <w:r w:rsidRPr="00BF1114">
              <w:rPr>
                <w:sz w:val="20"/>
                <w:szCs w:val="20"/>
              </w:rPr>
              <w:t>05</w:t>
            </w:r>
          </w:p>
        </w:tc>
        <w:tc>
          <w:tcPr>
            <w:tcW w:w="821" w:type="dxa"/>
          </w:tcPr>
          <w:p w14:paraId="2974E86E" w14:textId="77777777" w:rsidR="00D5029A" w:rsidRPr="00BF1114" w:rsidRDefault="00D5029A" w:rsidP="00783B7D">
            <w:pPr>
              <w:jc w:val="center"/>
              <w:rPr>
                <w:sz w:val="20"/>
                <w:szCs w:val="20"/>
              </w:rPr>
            </w:pPr>
            <w:r w:rsidRPr="00BF1114">
              <w:rPr>
                <w:sz w:val="20"/>
                <w:szCs w:val="20"/>
              </w:rPr>
              <w:t>06</w:t>
            </w:r>
          </w:p>
        </w:tc>
        <w:tc>
          <w:tcPr>
            <w:tcW w:w="820" w:type="dxa"/>
          </w:tcPr>
          <w:p w14:paraId="05057FC2" w14:textId="77777777" w:rsidR="00D5029A" w:rsidRPr="00BF1114" w:rsidRDefault="00D5029A" w:rsidP="00783B7D">
            <w:pPr>
              <w:jc w:val="center"/>
              <w:rPr>
                <w:sz w:val="20"/>
                <w:szCs w:val="20"/>
              </w:rPr>
            </w:pPr>
            <w:r w:rsidRPr="00BF1114">
              <w:rPr>
                <w:sz w:val="20"/>
                <w:szCs w:val="20"/>
              </w:rPr>
              <w:t>07</w:t>
            </w:r>
          </w:p>
        </w:tc>
        <w:tc>
          <w:tcPr>
            <w:tcW w:w="820" w:type="dxa"/>
          </w:tcPr>
          <w:p w14:paraId="3F02E701" w14:textId="77777777" w:rsidR="00D5029A" w:rsidRPr="00BF1114" w:rsidRDefault="00D5029A" w:rsidP="00783B7D">
            <w:pPr>
              <w:jc w:val="center"/>
              <w:rPr>
                <w:sz w:val="20"/>
                <w:szCs w:val="20"/>
              </w:rPr>
            </w:pPr>
            <w:r w:rsidRPr="00BF1114">
              <w:rPr>
                <w:sz w:val="20"/>
                <w:szCs w:val="20"/>
              </w:rPr>
              <w:t>08</w:t>
            </w:r>
          </w:p>
        </w:tc>
        <w:tc>
          <w:tcPr>
            <w:tcW w:w="821" w:type="dxa"/>
          </w:tcPr>
          <w:p w14:paraId="6D64EDAC" w14:textId="77777777" w:rsidR="00D5029A" w:rsidRPr="00BF1114" w:rsidRDefault="00D5029A" w:rsidP="00783B7D">
            <w:pPr>
              <w:jc w:val="center"/>
              <w:rPr>
                <w:sz w:val="20"/>
                <w:szCs w:val="20"/>
              </w:rPr>
            </w:pPr>
            <w:r w:rsidRPr="00BF1114">
              <w:rPr>
                <w:sz w:val="20"/>
                <w:szCs w:val="20"/>
              </w:rPr>
              <w:t>09</w:t>
            </w:r>
          </w:p>
        </w:tc>
        <w:tc>
          <w:tcPr>
            <w:tcW w:w="820" w:type="dxa"/>
          </w:tcPr>
          <w:p w14:paraId="53FED74B" w14:textId="77777777" w:rsidR="00D5029A" w:rsidRPr="00BF1114" w:rsidRDefault="00D5029A" w:rsidP="00783B7D">
            <w:pPr>
              <w:jc w:val="center"/>
              <w:rPr>
                <w:sz w:val="20"/>
                <w:szCs w:val="20"/>
              </w:rPr>
            </w:pPr>
            <w:r w:rsidRPr="00BF1114">
              <w:rPr>
                <w:sz w:val="20"/>
                <w:szCs w:val="20"/>
              </w:rPr>
              <w:t>10</w:t>
            </w:r>
          </w:p>
        </w:tc>
        <w:tc>
          <w:tcPr>
            <w:tcW w:w="820" w:type="dxa"/>
          </w:tcPr>
          <w:p w14:paraId="7296432A" w14:textId="77777777" w:rsidR="00D5029A" w:rsidRPr="00BF1114" w:rsidRDefault="00D5029A" w:rsidP="00783B7D">
            <w:pPr>
              <w:jc w:val="center"/>
              <w:rPr>
                <w:sz w:val="20"/>
                <w:szCs w:val="20"/>
              </w:rPr>
            </w:pPr>
            <w:r w:rsidRPr="00BF1114">
              <w:rPr>
                <w:sz w:val="20"/>
                <w:szCs w:val="20"/>
              </w:rPr>
              <w:t>11</w:t>
            </w:r>
          </w:p>
        </w:tc>
        <w:tc>
          <w:tcPr>
            <w:tcW w:w="821" w:type="dxa"/>
          </w:tcPr>
          <w:p w14:paraId="099BAA2E" w14:textId="77777777" w:rsidR="00D5029A" w:rsidRPr="00BF1114" w:rsidRDefault="00D5029A" w:rsidP="00783B7D">
            <w:pPr>
              <w:jc w:val="center"/>
              <w:rPr>
                <w:sz w:val="20"/>
                <w:szCs w:val="20"/>
              </w:rPr>
            </w:pPr>
            <w:r w:rsidRPr="00BF1114">
              <w:rPr>
                <w:sz w:val="20"/>
                <w:szCs w:val="20"/>
              </w:rPr>
              <w:t>12</w:t>
            </w:r>
          </w:p>
        </w:tc>
      </w:tr>
      <w:tr w:rsidR="00D5029A" w:rsidRPr="00BF1114" w14:paraId="072CC2A7" w14:textId="77777777" w:rsidTr="00783B7D">
        <w:tc>
          <w:tcPr>
            <w:tcW w:w="854" w:type="dxa"/>
          </w:tcPr>
          <w:p w14:paraId="2A5C9401" w14:textId="77777777" w:rsidR="00D5029A" w:rsidRPr="00BF1114" w:rsidRDefault="00D5029A" w:rsidP="00783B7D">
            <w:pPr>
              <w:jc w:val="center"/>
              <w:rPr>
                <w:sz w:val="20"/>
                <w:szCs w:val="20"/>
              </w:rPr>
            </w:pPr>
            <w:r w:rsidRPr="00BF1114">
              <w:rPr>
                <w:sz w:val="20"/>
                <w:szCs w:val="20"/>
              </w:rPr>
              <w:t>01</w:t>
            </w:r>
          </w:p>
        </w:tc>
        <w:tc>
          <w:tcPr>
            <w:tcW w:w="820" w:type="dxa"/>
          </w:tcPr>
          <w:p w14:paraId="3CA6B092" w14:textId="77777777" w:rsidR="00D5029A" w:rsidRPr="00BF1114" w:rsidRDefault="00D5029A" w:rsidP="00783B7D">
            <w:pPr>
              <w:jc w:val="center"/>
              <w:rPr>
                <w:sz w:val="20"/>
                <w:szCs w:val="20"/>
              </w:rPr>
            </w:pPr>
            <w:r w:rsidRPr="00BF1114">
              <w:rPr>
                <w:sz w:val="20"/>
                <w:szCs w:val="20"/>
              </w:rPr>
              <w:t>1 500 Kč</w:t>
            </w:r>
          </w:p>
        </w:tc>
        <w:tc>
          <w:tcPr>
            <w:tcW w:w="820" w:type="dxa"/>
          </w:tcPr>
          <w:p w14:paraId="61D0B272" w14:textId="77777777" w:rsidR="00D5029A" w:rsidRPr="00BF1114" w:rsidRDefault="00D5029A" w:rsidP="00783B7D">
            <w:pPr>
              <w:jc w:val="center"/>
              <w:rPr>
                <w:sz w:val="20"/>
                <w:szCs w:val="20"/>
              </w:rPr>
            </w:pPr>
            <w:r w:rsidRPr="00BF1114">
              <w:rPr>
                <w:sz w:val="20"/>
                <w:szCs w:val="20"/>
              </w:rPr>
              <w:t>1 500 Kč</w:t>
            </w:r>
          </w:p>
        </w:tc>
        <w:tc>
          <w:tcPr>
            <w:tcW w:w="820" w:type="dxa"/>
          </w:tcPr>
          <w:p w14:paraId="1E5A9E5A" w14:textId="77777777" w:rsidR="00D5029A" w:rsidRPr="00BF1114" w:rsidRDefault="00D5029A" w:rsidP="00783B7D">
            <w:pPr>
              <w:jc w:val="center"/>
              <w:rPr>
                <w:sz w:val="20"/>
                <w:szCs w:val="20"/>
              </w:rPr>
            </w:pPr>
            <w:r w:rsidRPr="00BF1114">
              <w:rPr>
                <w:sz w:val="20"/>
                <w:szCs w:val="20"/>
              </w:rPr>
              <w:t xml:space="preserve">1 500 </w:t>
            </w:r>
            <w:r w:rsidRPr="00A64F04">
              <w:rPr>
                <w:sz w:val="20"/>
                <w:szCs w:val="20"/>
              </w:rPr>
              <w:t>Kč</w:t>
            </w:r>
          </w:p>
        </w:tc>
        <w:tc>
          <w:tcPr>
            <w:tcW w:w="821" w:type="dxa"/>
          </w:tcPr>
          <w:p w14:paraId="15799B7E" w14:textId="77777777" w:rsidR="00D5029A" w:rsidRPr="00BF1114" w:rsidRDefault="00D5029A" w:rsidP="00783B7D">
            <w:pPr>
              <w:jc w:val="center"/>
              <w:rPr>
                <w:sz w:val="20"/>
                <w:szCs w:val="20"/>
              </w:rPr>
            </w:pPr>
            <w:r w:rsidRPr="00BF1114">
              <w:rPr>
                <w:sz w:val="20"/>
                <w:szCs w:val="20"/>
              </w:rPr>
              <w:t>1 500 Kč</w:t>
            </w:r>
          </w:p>
        </w:tc>
        <w:tc>
          <w:tcPr>
            <w:tcW w:w="820" w:type="dxa"/>
          </w:tcPr>
          <w:p w14:paraId="754EFE79" w14:textId="77777777" w:rsidR="00D5029A" w:rsidRPr="00BF1114" w:rsidRDefault="00D5029A" w:rsidP="00783B7D">
            <w:pPr>
              <w:jc w:val="center"/>
              <w:rPr>
                <w:sz w:val="20"/>
                <w:szCs w:val="20"/>
              </w:rPr>
            </w:pPr>
            <w:r w:rsidRPr="00BF1114">
              <w:rPr>
                <w:sz w:val="20"/>
                <w:szCs w:val="20"/>
              </w:rPr>
              <w:t>2 600 Kč</w:t>
            </w:r>
          </w:p>
        </w:tc>
        <w:tc>
          <w:tcPr>
            <w:tcW w:w="820" w:type="dxa"/>
          </w:tcPr>
          <w:p w14:paraId="72854FA8" w14:textId="77777777" w:rsidR="00D5029A" w:rsidRPr="00BF1114" w:rsidRDefault="00D5029A" w:rsidP="00783B7D">
            <w:pPr>
              <w:jc w:val="center"/>
              <w:rPr>
                <w:sz w:val="20"/>
                <w:szCs w:val="20"/>
              </w:rPr>
            </w:pPr>
            <w:r w:rsidRPr="00BF1114">
              <w:rPr>
                <w:sz w:val="20"/>
                <w:szCs w:val="20"/>
              </w:rPr>
              <w:t>2 900 Kč</w:t>
            </w:r>
          </w:p>
        </w:tc>
        <w:tc>
          <w:tcPr>
            <w:tcW w:w="821" w:type="dxa"/>
          </w:tcPr>
          <w:p w14:paraId="7F4DC8DA" w14:textId="77777777" w:rsidR="00D5029A" w:rsidRPr="00BF1114" w:rsidRDefault="00D5029A" w:rsidP="00783B7D">
            <w:pPr>
              <w:jc w:val="center"/>
              <w:rPr>
                <w:sz w:val="20"/>
                <w:szCs w:val="20"/>
              </w:rPr>
            </w:pPr>
            <w:r w:rsidRPr="00BF1114">
              <w:rPr>
                <w:sz w:val="20"/>
                <w:szCs w:val="20"/>
              </w:rPr>
              <w:t>3 000 Kč</w:t>
            </w:r>
          </w:p>
        </w:tc>
        <w:tc>
          <w:tcPr>
            <w:tcW w:w="820" w:type="dxa"/>
          </w:tcPr>
          <w:p w14:paraId="661F57E4" w14:textId="77777777" w:rsidR="00D5029A" w:rsidRPr="00BF1114" w:rsidRDefault="00D5029A" w:rsidP="00783B7D">
            <w:pPr>
              <w:jc w:val="center"/>
              <w:rPr>
                <w:sz w:val="20"/>
                <w:szCs w:val="20"/>
              </w:rPr>
            </w:pPr>
            <w:r w:rsidRPr="00BF1114">
              <w:rPr>
                <w:sz w:val="20"/>
                <w:szCs w:val="20"/>
              </w:rPr>
              <w:t>3 100 Kč</w:t>
            </w:r>
          </w:p>
        </w:tc>
        <w:tc>
          <w:tcPr>
            <w:tcW w:w="820" w:type="dxa"/>
          </w:tcPr>
          <w:p w14:paraId="5B7BBA0A" w14:textId="77777777" w:rsidR="00D5029A" w:rsidRPr="00BF1114" w:rsidRDefault="00D5029A" w:rsidP="00783B7D">
            <w:pPr>
              <w:jc w:val="center"/>
              <w:rPr>
                <w:sz w:val="20"/>
                <w:szCs w:val="20"/>
              </w:rPr>
            </w:pPr>
            <w:r w:rsidRPr="00BF1114">
              <w:rPr>
                <w:sz w:val="20"/>
                <w:szCs w:val="20"/>
              </w:rPr>
              <w:t>3 200 Kč</w:t>
            </w:r>
          </w:p>
        </w:tc>
        <w:tc>
          <w:tcPr>
            <w:tcW w:w="821" w:type="dxa"/>
          </w:tcPr>
          <w:p w14:paraId="349D0745" w14:textId="77777777" w:rsidR="00D5029A" w:rsidRPr="00BF1114" w:rsidRDefault="00D5029A" w:rsidP="00783B7D">
            <w:pPr>
              <w:jc w:val="center"/>
              <w:rPr>
                <w:sz w:val="20"/>
                <w:szCs w:val="20"/>
              </w:rPr>
            </w:pPr>
            <w:r w:rsidRPr="00BF1114">
              <w:rPr>
                <w:sz w:val="20"/>
                <w:szCs w:val="20"/>
              </w:rPr>
              <w:t>3 300 Kč</w:t>
            </w:r>
          </w:p>
        </w:tc>
      </w:tr>
      <w:tr w:rsidR="00D5029A" w:rsidRPr="00BF1114" w14:paraId="58B944C2" w14:textId="77777777" w:rsidTr="00783B7D">
        <w:tc>
          <w:tcPr>
            <w:tcW w:w="854" w:type="dxa"/>
          </w:tcPr>
          <w:p w14:paraId="5B343950" w14:textId="77777777" w:rsidR="00D5029A" w:rsidRPr="00BF1114" w:rsidRDefault="00D5029A" w:rsidP="00783B7D">
            <w:pPr>
              <w:jc w:val="center"/>
              <w:rPr>
                <w:sz w:val="20"/>
                <w:szCs w:val="20"/>
              </w:rPr>
            </w:pPr>
            <w:r w:rsidRPr="00BF1114">
              <w:rPr>
                <w:sz w:val="20"/>
                <w:szCs w:val="20"/>
              </w:rPr>
              <w:t>02</w:t>
            </w:r>
          </w:p>
        </w:tc>
        <w:tc>
          <w:tcPr>
            <w:tcW w:w="820" w:type="dxa"/>
          </w:tcPr>
          <w:p w14:paraId="7D879830" w14:textId="77777777" w:rsidR="00D5029A" w:rsidRPr="00BF1114" w:rsidRDefault="00D5029A" w:rsidP="00783B7D">
            <w:pPr>
              <w:jc w:val="center"/>
              <w:rPr>
                <w:sz w:val="20"/>
                <w:szCs w:val="20"/>
              </w:rPr>
            </w:pPr>
            <w:r w:rsidRPr="00BF1114">
              <w:rPr>
                <w:sz w:val="20"/>
                <w:szCs w:val="20"/>
              </w:rPr>
              <w:t>1 500 Kč</w:t>
            </w:r>
          </w:p>
        </w:tc>
        <w:tc>
          <w:tcPr>
            <w:tcW w:w="820" w:type="dxa"/>
          </w:tcPr>
          <w:p w14:paraId="55E65961" w14:textId="77777777" w:rsidR="00D5029A" w:rsidRPr="00BF1114" w:rsidRDefault="00D5029A" w:rsidP="00783B7D">
            <w:pPr>
              <w:jc w:val="center"/>
              <w:rPr>
                <w:sz w:val="20"/>
                <w:szCs w:val="20"/>
              </w:rPr>
            </w:pPr>
            <w:r w:rsidRPr="00BF1114">
              <w:rPr>
                <w:sz w:val="20"/>
                <w:szCs w:val="20"/>
              </w:rPr>
              <w:t>1 500 Kč</w:t>
            </w:r>
          </w:p>
        </w:tc>
        <w:tc>
          <w:tcPr>
            <w:tcW w:w="820" w:type="dxa"/>
          </w:tcPr>
          <w:p w14:paraId="00FFC678" w14:textId="77777777" w:rsidR="00D5029A" w:rsidRPr="00BF1114" w:rsidRDefault="00D5029A" w:rsidP="00783B7D">
            <w:pPr>
              <w:jc w:val="center"/>
              <w:rPr>
                <w:sz w:val="20"/>
                <w:szCs w:val="20"/>
              </w:rPr>
            </w:pPr>
            <w:r w:rsidRPr="00BF1114">
              <w:rPr>
                <w:sz w:val="20"/>
                <w:szCs w:val="20"/>
              </w:rPr>
              <w:t>1 500 Kč</w:t>
            </w:r>
          </w:p>
        </w:tc>
        <w:tc>
          <w:tcPr>
            <w:tcW w:w="821" w:type="dxa"/>
          </w:tcPr>
          <w:p w14:paraId="6F6D901B" w14:textId="77777777" w:rsidR="00D5029A" w:rsidRPr="00BF1114" w:rsidRDefault="00D5029A" w:rsidP="00783B7D">
            <w:pPr>
              <w:jc w:val="center"/>
              <w:rPr>
                <w:sz w:val="20"/>
                <w:szCs w:val="20"/>
              </w:rPr>
            </w:pPr>
            <w:r w:rsidRPr="00BF1114">
              <w:rPr>
                <w:sz w:val="20"/>
                <w:szCs w:val="20"/>
              </w:rPr>
              <w:t>1 500 Kč</w:t>
            </w:r>
          </w:p>
        </w:tc>
        <w:tc>
          <w:tcPr>
            <w:tcW w:w="820" w:type="dxa"/>
          </w:tcPr>
          <w:p w14:paraId="593E4396" w14:textId="77777777" w:rsidR="00D5029A" w:rsidRPr="00BF1114" w:rsidRDefault="00D5029A" w:rsidP="00783B7D">
            <w:pPr>
              <w:jc w:val="center"/>
              <w:rPr>
                <w:sz w:val="20"/>
                <w:szCs w:val="20"/>
              </w:rPr>
            </w:pPr>
            <w:r w:rsidRPr="00BF1114">
              <w:rPr>
                <w:sz w:val="20"/>
                <w:szCs w:val="20"/>
              </w:rPr>
              <w:t>2 700 Kč</w:t>
            </w:r>
          </w:p>
        </w:tc>
        <w:tc>
          <w:tcPr>
            <w:tcW w:w="820" w:type="dxa"/>
          </w:tcPr>
          <w:p w14:paraId="44B3A689" w14:textId="77777777" w:rsidR="00D5029A" w:rsidRPr="00BF1114" w:rsidRDefault="00D5029A" w:rsidP="00783B7D">
            <w:pPr>
              <w:jc w:val="center"/>
              <w:rPr>
                <w:sz w:val="20"/>
                <w:szCs w:val="20"/>
              </w:rPr>
            </w:pPr>
            <w:r w:rsidRPr="00BF1114">
              <w:rPr>
                <w:sz w:val="20"/>
                <w:szCs w:val="20"/>
              </w:rPr>
              <w:t>3 000 Kč</w:t>
            </w:r>
          </w:p>
        </w:tc>
        <w:tc>
          <w:tcPr>
            <w:tcW w:w="821" w:type="dxa"/>
          </w:tcPr>
          <w:p w14:paraId="3B08B5D4" w14:textId="77777777" w:rsidR="00D5029A" w:rsidRPr="00BF1114" w:rsidRDefault="00D5029A" w:rsidP="00783B7D">
            <w:pPr>
              <w:jc w:val="center"/>
              <w:rPr>
                <w:sz w:val="20"/>
                <w:szCs w:val="20"/>
              </w:rPr>
            </w:pPr>
            <w:r w:rsidRPr="00BF1114">
              <w:rPr>
                <w:sz w:val="20"/>
                <w:szCs w:val="20"/>
              </w:rPr>
              <w:t>3 100 Kč</w:t>
            </w:r>
          </w:p>
        </w:tc>
        <w:tc>
          <w:tcPr>
            <w:tcW w:w="820" w:type="dxa"/>
          </w:tcPr>
          <w:p w14:paraId="58345A9C" w14:textId="77777777" w:rsidR="00D5029A" w:rsidRPr="00BF1114" w:rsidRDefault="00D5029A" w:rsidP="00783B7D">
            <w:pPr>
              <w:jc w:val="center"/>
              <w:rPr>
                <w:sz w:val="20"/>
                <w:szCs w:val="20"/>
              </w:rPr>
            </w:pPr>
            <w:r w:rsidRPr="00BF1114">
              <w:rPr>
                <w:sz w:val="20"/>
                <w:szCs w:val="20"/>
              </w:rPr>
              <w:t>3 200 Kč</w:t>
            </w:r>
          </w:p>
        </w:tc>
        <w:tc>
          <w:tcPr>
            <w:tcW w:w="820" w:type="dxa"/>
          </w:tcPr>
          <w:p w14:paraId="6B84EF48" w14:textId="77777777" w:rsidR="00D5029A" w:rsidRPr="00BF1114" w:rsidRDefault="00D5029A" w:rsidP="00783B7D">
            <w:pPr>
              <w:jc w:val="center"/>
              <w:rPr>
                <w:sz w:val="20"/>
                <w:szCs w:val="20"/>
              </w:rPr>
            </w:pPr>
            <w:r w:rsidRPr="00BF1114">
              <w:rPr>
                <w:sz w:val="20"/>
                <w:szCs w:val="20"/>
              </w:rPr>
              <w:t>3 300 Kč</w:t>
            </w:r>
          </w:p>
        </w:tc>
        <w:tc>
          <w:tcPr>
            <w:tcW w:w="821" w:type="dxa"/>
          </w:tcPr>
          <w:p w14:paraId="65DC8A7A" w14:textId="77777777" w:rsidR="00D5029A" w:rsidRPr="00BF1114" w:rsidRDefault="00D5029A" w:rsidP="00783B7D">
            <w:pPr>
              <w:jc w:val="center"/>
              <w:rPr>
                <w:sz w:val="20"/>
                <w:szCs w:val="20"/>
              </w:rPr>
            </w:pPr>
            <w:r w:rsidRPr="00BF1114">
              <w:rPr>
                <w:sz w:val="20"/>
                <w:szCs w:val="20"/>
              </w:rPr>
              <w:t>3 400 Kč</w:t>
            </w:r>
          </w:p>
        </w:tc>
      </w:tr>
      <w:tr w:rsidR="00D5029A" w:rsidRPr="00BF1114" w14:paraId="27C73380" w14:textId="77777777" w:rsidTr="00783B7D">
        <w:tc>
          <w:tcPr>
            <w:tcW w:w="854" w:type="dxa"/>
          </w:tcPr>
          <w:p w14:paraId="568FA988" w14:textId="77777777" w:rsidR="00D5029A" w:rsidRPr="00BF1114" w:rsidRDefault="00D5029A" w:rsidP="00783B7D">
            <w:pPr>
              <w:jc w:val="center"/>
              <w:rPr>
                <w:sz w:val="20"/>
                <w:szCs w:val="20"/>
              </w:rPr>
            </w:pPr>
            <w:r w:rsidRPr="00BF1114">
              <w:rPr>
                <w:sz w:val="20"/>
                <w:szCs w:val="20"/>
              </w:rPr>
              <w:t>03</w:t>
            </w:r>
          </w:p>
        </w:tc>
        <w:tc>
          <w:tcPr>
            <w:tcW w:w="820" w:type="dxa"/>
          </w:tcPr>
          <w:p w14:paraId="6067A530" w14:textId="77777777" w:rsidR="00D5029A" w:rsidRPr="00BF1114" w:rsidRDefault="00D5029A" w:rsidP="00783B7D">
            <w:pPr>
              <w:jc w:val="center"/>
              <w:rPr>
                <w:sz w:val="20"/>
                <w:szCs w:val="20"/>
              </w:rPr>
            </w:pPr>
            <w:r w:rsidRPr="00BF1114">
              <w:rPr>
                <w:sz w:val="20"/>
                <w:szCs w:val="20"/>
              </w:rPr>
              <w:t>1 500 Kč</w:t>
            </w:r>
          </w:p>
        </w:tc>
        <w:tc>
          <w:tcPr>
            <w:tcW w:w="820" w:type="dxa"/>
          </w:tcPr>
          <w:p w14:paraId="03391A07" w14:textId="77777777" w:rsidR="00D5029A" w:rsidRPr="00BF1114" w:rsidRDefault="00D5029A" w:rsidP="00783B7D">
            <w:pPr>
              <w:jc w:val="center"/>
              <w:rPr>
                <w:sz w:val="20"/>
                <w:szCs w:val="20"/>
              </w:rPr>
            </w:pPr>
            <w:r w:rsidRPr="00BF1114">
              <w:rPr>
                <w:sz w:val="20"/>
                <w:szCs w:val="20"/>
              </w:rPr>
              <w:t>1 500 Kč</w:t>
            </w:r>
          </w:p>
        </w:tc>
        <w:tc>
          <w:tcPr>
            <w:tcW w:w="820" w:type="dxa"/>
          </w:tcPr>
          <w:p w14:paraId="40A82E1F" w14:textId="77777777" w:rsidR="00D5029A" w:rsidRPr="00BF1114" w:rsidRDefault="00D5029A" w:rsidP="00783B7D">
            <w:pPr>
              <w:jc w:val="center"/>
              <w:rPr>
                <w:sz w:val="20"/>
                <w:szCs w:val="20"/>
              </w:rPr>
            </w:pPr>
            <w:r w:rsidRPr="00BF1114">
              <w:rPr>
                <w:sz w:val="20"/>
                <w:szCs w:val="20"/>
              </w:rPr>
              <w:t>1 500 Kč</w:t>
            </w:r>
          </w:p>
        </w:tc>
        <w:tc>
          <w:tcPr>
            <w:tcW w:w="821" w:type="dxa"/>
          </w:tcPr>
          <w:p w14:paraId="0EFE4238" w14:textId="77777777" w:rsidR="00D5029A" w:rsidRPr="00BF1114" w:rsidRDefault="00D5029A" w:rsidP="00783B7D">
            <w:pPr>
              <w:jc w:val="center"/>
              <w:rPr>
                <w:sz w:val="20"/>
                <w:szCs w:val="20"/>
              </w:rPr>
            </w:pPr>
            <w:r w:rsidRPr="00BF1114">
              <w:rPr>
                <w:sz w:val="20"/>
                <w:szCs w:val="20"/>
              </w:rPr>
              <w:t>1 500 Kč</w:t>
            </w:r>
          </w:p>
        </w:tc>
        <w:tc>
          <w:tcPr>
            <w:tcW w:w="820" w:type="dxa"/>
          </w:tcPr>
          <w:p w14:paraId="4B3F187D" w14:textId="77777777" w:rsidR="00D5029A" w:rsidRPr="00BF1114" w:rsidRDefault="00D5029A" w:rsidP="00783B7D">
            <w:pPr>
              <w:jc w:val="center"/>
              <w:rPr>
                <w:sz w:val="20"/>
                <w:szCs w:val="20"/>
              </w:rPr>
            </w:pPr>
            <w:r w:rsidRPr="00BF1114">
              <w:rPr>
                <w:sz w:val="20"/>
                <w:szCs w:val="20"/>
              </w:rPr>
              <w:t>2 800 Kč</w:t>
            </w:r>
          </w:p>
        </w:tc>
        <w:tc>
          <w:tcPr>
            <w:tcW w:w="820" w:type="dxa"/>
          </w:tcPr>
          <w:p w14:paraId="4E9B4B73" w14:textId="77777777" w:rsidR="00D5029A" w:rsidRPr="00BF1114" w:rsidRDefault="00D5029A" w:rsidP="00783B7D">
            <w:pPr>
              <w:jc w:val="center"/>
              <w:rPr>
                <w:sz w:val="20"/>
                <w:szCs w:val="20"/>
              </w:rPr>
            </w:pPr>
            <w:r w:rsidRPr="00BF1114">
              <w:rPr>
                <w:sz w:val="20"/>
                <w:szCs w:val="20"/>
              </w:rPr>
              <w:t>3 100 Kč</w:t>
            </w:r>
          </w:p>
        </w:tc>
        <w:tc>
          <w:tcPr>
            <w:tcW w:w="821" w:type="dxa"/>
          </w:tcPr>
          <w:p w14:paraId="36AA6507" w14:textId="77777777" w:rsidR="00D5029A" w:rsidRPr="00BF1114" w:rsidRDefault="00D5029A" w:rsidP="00783B7D">
            <w:pPr>
              <w:jc w:val="center"/>
              <w:rPr>
                <w:sz w:val="20"/>
                <w:szCs w:val="20"/>
              </w:rPr>
            </w:pPr>
            <w:r w:rsidRPr="00BF1114">
              <w:rPr>
                <w:sz w:val="20"/>
                <w:szCs w:val="20"/>
              </w:rPr>
              <w:t>3 200 Kč</w:t>
            </w:r>
          </w:p>
        </w:tc>
        <w:tc>
          <w:tcPr>
            <w:tcW w:w="820" w:type="dxa"/>
          </w:tcPr>
          <w:p w14:paraId="41F286C0" w14:textId="77777777" w:rsidR="00D5029A" w:rsidRPr="00BF1114" w:rsidRDefault="00D5029A" w:rsidP="00783B7D">
            <w:pPr>
              <w:jc w:val="center"/>
              <w:rPr>
                <w:sz w:val="20"/>
                <w:szCs w:val="20"/>
              </w:rPr>
            </w:pPr>
            <w:r w:rsidRPr="00BF1114">
              <w:rPr>
                <w:sz w:val="20"/>
                <w:szCs w:val="20"/>
              </w:rPr>
              <w:t>3 300 Kč</w:t>
            </w:r>
          </w:p>
        </w:tc>
        <w:tc>
          <w:tcPr>
            <w:tcW w:w="820" w:type="dxa"/>
          </w:tcPr>
          <w:p w14:paraId="102838FD" w14:textId="77777777" w:rsidR="00D5029A" w:rsidRPr="00BF1114" w:rsidRDefault="00D5029A" w:rsidP="00783B7D">
            <w:pPr>
              <w:jc w:val="center"/>
              <w:rPr>
                <w:sz w:val="20"/>
                <w:szCs w:val="20"/>
              </w:rPr>
            </w:pPr>
            <w:r w:rsidRPr="00BF1114">
              <w:rPr>
                <w:sz w:val="20"/>
                <w:szCs w:val="20"/>
              </w:rPr>
              <w:t>3 400 Kč</w:t>
            </w:r>
          </w:p>
        </w:tc>
        <w:tc>
          <w:tcPr>
            <w:tcW w:w="821" w:type="dxa"/>
          </w:tcPr>
          <w:p w14:paraId="721EEF17" w14:textId="77777777" w:rsidR="00D5029A" w:rsidRPr="00BF1114" w:rsidRDefault="00D5029A" w:rsidP="00783B7D">
            <w:pPr>
              <w:jc w:val="center"/>
              <w:rPr>
                <w:sz w:val="20"/>
                <w:szCs w:val="20"/>
              </w:rPr>
            </w:pPr>
            <w:r w:rsidRPr="00BF1114">
              <w:rPr>
                <w:sz w:val="20"/>
                <w:szCs w:val="20"/>
              </w:rPr>
              <w:t>3 500 Kč</w:t>
            </w:r>
          </w:p>
        </w:tc>
      </w:tr>
    </w:tbl>
    <w:p w14:paraId="200F8FF1" w14:textId="77777777" w:rsidR="00D5029A" w:rsidRPr="006847DD" w:rsidRDefault="00D5029A" w:rsidP="00D5029A">
      <w:pPr>
        <w:spacing w:before="240"/>
        <w:jc w:val="both"/>
      </w:pPr>
      <w:r w:rsidRPr="006847DD">
        <w:t>Další mzda bude vyplacena za dodržení následujících pravidel:</w:t>
      </w:r>
    </w:p>
    <w:p w14:paraId="1011CD3F" w14:textId="77777777" w:rsidR="00D5029A" w:rsidRPr="006847DD" w:rsidRDefault="00D5029A" w:rsidP="00D5029A">
      <w:pPr>
        <w:pStyle w:val="Odstavecseseznamem"/>
        <w:numPr>
          <w:ilvl w:val="0"/>
          <w:numId w:val="39"/>
        </w:numPr>
        <w:spacing w:after="160" w:line="259" w:lineRule="auto"/>
        <w:jc w:val="both"/>
      </w:pPr>
      <w:r w:rsidRPr="006847DD">
        <w:t>rozhodné období je stanoveno od 2. 1. 2026 do 31. 3. 2026,</w:t>
      </w:r>
    </w:p>
    <w:p w14:paraId="15FBA250" w14:textId="77777777" w:rsidR="00D5029A" w:rsidRPr="006847DD" w:rsidRDefault="00D5029A" w:rsidP="00D5029A">
      <w:pPr>
        <w:pStyle w:val="Odstavecseseznamem"/>
        <w:numPr>
          <w:ilvl w:val="0"/>
          <w:numId w:val="39"/>
        </w:numPr>
        <w:spacing w:after="160" w:line="259" w:lineRule="auto"/>
        <w:jc w:val="both"/>
      </w:pPr>
      <w:r w:rsidRPr="006847DD">
        <w:t xml:space="preserve">rozhodující je tarifní třída, stupeň a výše úvazku ke dni 31. 3. 2026, </w:t>
      </w:r>
    </w:p>
    <w:p w14:paraId="718E81EB" w14:textId="77777777" w:rsidR="00D5029A" w:rsidRPr="006847DD" w:rsidRDefault="00D5029A" w:rsidP="00D5029A">
      <w:pPr>
        <w:pStyle w:val="Odstavecseseznamem"/>
        <w:numPr>
          <w:ilvl w:val="0"/>
          <w:numId w:val="39"/>
        </w:numPr>
        <w:spacing w:after="160" w:line="259" w:lineRule="auto"/>
        <w:jc w:val="both"/>
      </w:pPr>
      <w:r w:rsidRPr="006847DD">
        <w:t>další mzda náleží zaměstnancům za všechny pracovní poměry (i násobné),</w:t>
      </w:r>
    </w:p>
    <w:p w14:paraId="031B10AE" w14:textId="77777777" w:rsidR="00D5029A" w:rsidRPr="006847DD" w:rsidRDefault="00D5029A" w:rsidP="00D5029A">
      <w:pPr>
        <w:pStyle w:val="Odstavecseseznamem"/>
        <w:numPr>
          <w:ilvl w:val="0"/>
          <w:numId w:val="39"/>
        </w:numPr>
        <w:spacing w:after="160" w:line="259" w:lineRule="auto"/>
        <w:jc w:val="both"/>
      </w:pPr>
      <w:r w:rsidRPr="006847DD">
        <w:t>další mzda náleží všem zaměstnancům bez ohledu na zdroj financování mzdy zaměstnance,</w:t>
      </w:r>
    </w:p>
    <w:p w14:paraId="405BA3E0" w14:textId="77777777" w:rsidR="00D5029A" w:rsidRPr="006847DD" w:rsidRDefault="00D5029A" w:rsidP="00D5029A">
      <w:pPr>
        <w:pStyle w:val="Odstavecseseznamem"/>
        <w:numPr>
          <w:ilvl w:val="0"/>
          <w:numId w:val="39"/>
        </w:numPr>
        <w:spacing w:after="160" w:line="259" w:lineRule="auto"/>
        <w:jc w:val="both"/>
      </w:pPr>
      <w:r w:rsidRPr="006847DD">
        <w:t>další mzdu vyplatí ta součást, ke které je kmenově zaměstnanec přiřazen. Při vyplacení další mzdy se nepřihlíží k dělení úvazků zaměstnance mezi součásti,</w:t>
      </w:r>
    </w:p>
    <w:p w14:paraId="16AA98DA" w14:textId="77777777" w:rsidR="00D5029A" w:rsidRPr="006847DD" w:rsidRDefault="00D5029A" w:rsidP="00D5029A">
      <w:pPr>
        <w:pStyle w:val="Odstavecseseznamem"/>
        <w:numPr>
          <w:ilvl w:val="0"/>
          <w:numId w:val="39"/>
        </w:numPr>
        <w:spacing w:after="160" w:line="259" w:lineRule="auto"/>
        <w:jc w:val="both"/>
      </w:pPr>
      <w:r w:rsidRPr="006847DD">
        <w:t>zaměstnanec musí být v pracovním poměru k datu 31. 3. 2026 při splnění podmínky odpracování alespoň části měsíce březen 2026,</w:t>
      </w:r>
    </w:p>
    <w:p w14:paraId="29B6B0D3" w14:textId="77777777" w:rsidR="00D5029A" w:rsidRPr="006847DD" w:rsidRDefault="00D5029A" w:rsidP="00D5029A">
      <w:pPr>
        <w:pStyle w:val="Odstavecseseznamem"/>
        <w:numPr>
          <w:ilvl w:val="0"/>
          <w:numId w:val="39"/>
        </w:numPr>
        <w:spacing w:after="160" w:line="259" w:lineRule="auto"/>
        <w:jc w:val="both"/>
      </w:pPr>
      <w:r w:rsidRPr="006847DD">
        <w:t xml:space="preserve">částky budou fixní a budou vycházet z Tabulky 1 pro akademické a vědecké pracovníky  </w:t>
      </w:r>
      <w:r w:rsidRPr="006847DD">
        <w:br/>
        <w:t>z Tabulky 2 pro ostatní pracovníky,</w:t>
      </w:r>
    </w:p>
    <w:p w14:paraId="60AA4905" w14:textId="77777777" w:rsidR="00D5029A" w:rsidRPr="006847DD" w:rsidRDefault="00D5029A" w:rsidP="00D5029A">
      <w:pPr>
        <w:pStyle w:val="Odstavecseseznamem"/>
        <w:numPr>
          <w:ilvl w:val="0"/>
          <w:numId w:val="39"/>
        </w:numPr>
        <w:spacing w:after="160" w:line="259" w:lineRule="auto"/>
        <w:jc w:val="both"/>
      </w:pPr>
      <w:r w:rsidRPr="006847DD">
        <w:t>výše další mzdy představuje součin počtu (i částečně) odpracovaných měsíců v rozhodném období, úvazku a finanční hodnoty z Tabulek 1 a 2 pro jednotlivé kategorie pracovníků,</w:t>
      </w:r>
    </w:p>
    <w:p w14:paraId="7FC031C2" w14:textId="77777777" w:rsidR="00D5029A" w:rsidRPr="006847DD" w:rsidRDefault="00D5029A" w:rsidP="00D5029A">
      <w:pPr>
        <w:pStyle w:val="Odstavecseseznamem"/>
        <w:numPr>
          <w:ilvl w:val="0"/>
          <w:numId w:val="39"/>
        </w:numPr>
        <w:spacing w:after="160" w:line="259" w:lineRule="auto"/>
        <w:jc w:val="both"/>
      </w:pPr>
      <w:r w:rsidRPr="006847DD">
        <w:t>vylučují se celé neodpracované měsíce (z důvodu pracovní neschopnosti, mateřské dovolené, rodičovské dovolené, neplaceného volna, ošetřovného apod., včetně jejich případných kombinací),</w:t>
      </w:r>
    </w:p>
    <w:p w14:paraId="0B41E3BB" w14:textId="77777777" w:rsidR="00D5029A" w:rsidRPr="006847DD" w:rsidRDefault="00D5029A" w:rsidP="00D5029A">
      <w:pPr>
        <w:pStyle w:val="Odstavecseseznamem"/>
        <w:numPr>
          <w:ilvl w:val="0"/>
          <w:numId w:val="39"/>
        </w:numPr>
        <w:spacing w:after="160" w:line="259" w:lineRule="auto"/>
        <w:jc w:val="both"/>
      </w:pPr>
      <w:r w:rsidRPr="006847DD">
        <w:t>uplatní se článek 20 odst. 4 aktuálně platného Mzdového předpisu UTB ve Zlíně, kdy rozhodné období pro bod a) je 2. 1. 2026 do 31. 3. 2026 a rozhodné období pro bod b) je 1.2.2026 – 31.3.2026.</w:t>
      </w:r>
    </w:p>
    <w:p w14:paraId="41EF6448" w14:textId="77777777" w:rsidR="00AA1272" w:rsidRPr="006847DD" w:rsidRDefault="00D5029A" w:rsidP="00D5029A">
      <w:pPr>
        <w:pStyle w:val="Odstavecseseznamem"/>
        <w:numPr>
          <w:ilvl w:val="0"/>
          <w:numId w:val="39"/>
        </w:numPr>
        <w:spacing w:after="160" w:line="259" w:lineRule="auto"/>
        <w:jc w:val="both"/>
      </w:pPr>
      <w:r w:rsidRPr="006847DD">
        <w:t>Má-li zaměstnanec v rozhodném období, za které je vyplácena další mzda, rozdělen úvazek mezi více součástí, jsou tyto součásti povinny provést vzájemné finanční vyrovnání odpovídající podílu úvazků, a to nejpozději do 31. května 2026.</w:t>
      </w:r>
    </w:p>
    <w:p w14:paraId="5A5FD875" w14:textId="5A7126EE" w:rsidR="00D5029A" w:rsidRPr="006847DD" w:rsidRDefault="00D5029A" w:rsidP="00AA1272">
      <w:pPr>
        <w:spacing w:after="160" w:line="259" w:lineRule="auto"/>
        <w:jc w:val="both"/>
      </w:pPr>
      <w:r w:rsidRPr="006847DD">
        <w:t>Období pro rozpad náhrad je určeno na 2 následující čtvrtletí, tedy 2. a 3. čtvrtletí roku 2026.</w:t>
      </w:r>
    </w:p>
    <w:p w14:paraId="0EF14906" w14:textId="77777777" w:rsidR="005E10BC" w:rsidRDefault="005E10BC" w:rsidP="00D5029A">
      <w:pPr>
        <w:rPr>
          <w:color w:val="00B050"/>
        </w:rPr>
      </w:pPr>
    </w:p>
    <w:p w14:paraId="78473F66" w14:textId="77777777" w:rsidR="00C060C5" w:rsidRDefault="00C060C5" w:rsidP="00C060C5">
      <w:pPr>
        <w:pStyle w:val="RozpocetNadpis1"/>
      </w:pPr>
      <w:bookmarkStart w:id="113" w:name="_Toc183188327"/>
      <w:bookmarkStart w:id="114" w:name="_Toc155555648"/>
      <w:bookmarkStart w:id="115" w:name="_Toc218019003"/>
      <w:bookmarkStart w:id="116" w:name="_Toc228824383"/>
      <w:bookmarkEnd w:id="113"/>
      <w:r>
        <w:lastRenderedPageBreak/>
        <w:t>Regulační opatření</w:t>
      </w:r>
      <w:bookmarkEnd w:id="114"/>
      <w:bookmarkEnd w:id="115"/>
      <w:bookmarkEnd w:id="116"/>
    </w:p>
    <w:p w14:paraId="605822E4" w14:textId="77777777" w:rsidR="00C060C5" w:rsidRPr="006847DD" w:rsidRDefault="00C060C5" w:rsidP="00C060C5">
      <w:pPr>
        <w:pStyle w:val="RozpocetOdstavec"/>
      </w:pPr>
      <w:r w:rsidRPr="006847DD">
        <w:t>V případě, že by mělo dojít u organizační jednotky k meziročnímu poklesu celkových disponibilních prostředků (tzn. po odvodech) ze zdrojů A, K, F, P, FUČ, DKRVO a SVV o více než    10 %, bude pokles přes tuto hranici kompenzován přepočtem v rámci Rozpisu rozpočtu UTB pro rok 2026.</w:t>
      </w:r>
    </w:p>
    <w:p w14:paraId="303F61F7" w14:textId="77777777" w:rsidR="00C060C5" w:rsidRPr="006847DD" w:rsidRDefault="00C060C5" w:rsidP="00C060C5">
      <w:pPr>
        <w:pStyle w:val="RozpocetOdstavec"/>
      </w:pPr>
    </w:p>
    <w:p w14:paraId="0A9E121B" w14:textId="77777777" w:rsidR="00C060C5" w:rsidRPr="006847DD" w:rsidRDefault="00C060C5" w:rsidP="00C060C5">
      <w:pPr>
        <w:jc w:val="both"/>
      </w:pPr>
      <w:bookmarkStart w:id="117" w:name="_Hlk155646607"/>
      <w:r w:rsidRPr="006847DD">
        <w:t>Pokud dojde k významným personálním přesunům či změnám ve vyčlenění pracovních úvazků mezi organizačními jednotkami, bude stanoveno odpovídající vyrovnání disponibilních prostředků mezi organizačními jednotkami v rámci Rozpisu rozpočtu UTB pro rok 2026 nebo jeho dodatku.</w:t>
      </w:r>
    </w:p>
    <w:p w14:paraId="6D295353" w14:textId="77777777" w:rsidR="00C060C5" w:rsidRPr="006847DD" w:rsidRDefault="00C060C5" w:rsidP="00C060C5">
      <w:pPr>
        <w:jc w:val="both"/>
      </w:pPr>
    </w:p>
    <w:bookmarkEnd w:id="117"/>
    <w:p w14:paraId="656E75DC" w14:textId="77777777" w:rsidR="00C060C5" w:rsidRPr="006847DD" w:rsidRDefault="00C060C5" w:rsidP="00C060C5">
      <w:pPr>
        <w:pStyle w:val="RozpocetOdstavec"/>
      </w:pPr>
      <w:r w:rsidRPr="006847DD">
        <w:t>Celková výše odvodů součástí UTB na financování celouniverzitních aktivit bude odvozena od procentuální změny výše příspěvku a dotací poskytnutých UTB ze strany MŠMT. To znamená, že pokud dojde k navýšení příspěvku a dotací MŠMT pro UTB, může být navýšen i celkový objem odvodů, avšak nejvýše do výše odpovídající procentuálnímu nárůstu těchto prostředků. Tím je zajištěno, že odvodová povinnost součástí UTB nemůže růst rychleji, než roste celkový objem prostředků přidělených UTB ze strany MŠMT, a je zachována proporcionalita mezi finanční situací UTB jako celku a zatížením jednotlivých součástí.</w:t>
      </w:r>
    </w:p>
    <w:p w14:paraId="59AC698A" w14:textId="77777777" w:rsidR="00C060C5" w:rsidRPr="006847DD" w:rsidRDefault="00C060C5" w:rsidP="00C060C5">
      <w:pPr>
        <w:pStyle w:val="RozpocetOdstavec"/>
      </w:pPr>
    </w:p>
    <w:p w14:paraId="4659AD32" w14:textId="77777777" w:rsidR="00C060C5" w:rsidRPr="006847DD" w:rsidRDefault="00C060C5" w:rsidP="00C060C5">
      <w:pPr>
        <w:pStyle w:val="RozpocetOdstavec"/>
      </w:pPr>
      <w:r w:rsidRPr="006847DD">
        <w:t>Případná omezení, která bude muset UTB zavést v souvislosti s objektivními změnami, jako jsou zejména změny v legislativě (změny Pravidel poskytování příspěvků a dotací, Pravidel poskytování DKRVO, Pravidel poskytování SVV), budou upravena dodatkem Pravidel rozpočtu UTB pro rok 2026 a dodatkem Rozpisu rozpočtu UTB pro rok 2026.</w:t>
      </w:r>
    </w:p>
    <w:p w14:paraId="79563DBD" w14:textId="77777777" w:rsidR="00C060C5" w:rsidRPr="006847DD" w:rsidRDefault="00C060C5" w:rsidP="00C060C5">
      <w:pPr>
        <w:pStyle w:val="RozpocetOdstavec"/>
      </w:pPr>
    </w:p>
    <w:p w14:paraId="7C8B6F0C" w14:textId="77777777" w:rsidR="00C060C5" w:rsidRPr="006847DD" w:rsidRDefault="00C060C5" w:rsidP="00C060C5">
      <w:pPr>
        <w:pStyle w:val="RozpocetOdstavec"/>
      </w:pPr>
      <w:r w:rsidRPr="006847DD">
        <w:t>Pro případ vázání finančních prostředků státního rozpočtu, a tedy snížení finančních prostředků již jednou UTB přidělených rozhodnutími MŠMT, budou dodatkem Rozpisu rozpočtu UTB pro rok 2026 o příslušnou poměrnou část sníženy přidělené prostředky jednotlivým organizačním jednotkám.</w:t>
      </w:r>
    </w:p>
    <w:p w14:paraId="2F1E3D73" w14:textId="77777777" w:rsidR="00D5029A" w:rsidRPr="006847DD" w:rsidRDefault="00D5029A" w:rsidP="00D5029A"/>
    <w:p w14:paraId="53F269B8" w14:textId="77777777" w:rsidR="00D06143" w:rsidRPr="006847DD" w:rsidRDefault="00D06143" w:rsidP="00D06143">
      <w:pPr>
        <w:pStyle w:val="RozpocetOdstavec"/>
      </w:pPr>
    </w:p>
    <w:p w14:paraId="19F7788B" w14:textId="77777777" w:rsidR="00D06143" w:rsidRDefault="00D06143" w:rsidP="0070507D">
      <w:pPr>
        <w:pStyle w:val="RozpocetOdstavec"/>
        <w:sectPr w:rsidR="00D06143" w:rsidSect="00495879">
          <w:pgSz w:w="11906" w:h="16838"/>
          <w:pgMar w:top="1417" w:right="1417" w:bottom="1417" w:left="1417" w:header="708" w:footer="708" w:gutter="0"/>
          <w:cols w:space="708"/>
          <w:titlePg/>
          <w:docGrid w:linePitch="360"/>
        </w:sectPr>
      </w:pPr>
    </w:p>
    <w:p w14:paraId="09BF69C6" w14:textId="610D996B" w:rsidR="00CF1B08" w:rsidRDefault="00C700C1" w:rsidP="00956858">
      <w:pPr>
        <w:pStyle w:val="RozpocetNadpis1"/>
      </w:pPr>
      <w:bookmarkStart w:id="118" w:name="_Toc228824384"/>
      <w:r w:rsidRPr="00CF1B08">
        <w:lastRenderedPageBreak/>
        <w:t>Shrnutí disponibilních prostředků</w:t>
      </w:r>
      <w:bookmarkEnd w:id="118"/>
    </w:p>
    <w:tbl>
      <w:tblPr>
        <w:tblW w:w="13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303"/>
        <w:gridCol w:w="1304"/>
        <w:gridCol w:w="1304"/>
        <w:gridCol w:w="1304"/>
        <w:gridCol w:w="1304"/>
        <w:gridCol w:w="2154"/>
        <w:gridCol w:w="2154"/>
      </w:tblGrid>
      <w:tr w:rsidR="00CF1B08" w:rsidRPr="00CF1B08" w14:paraId="2AE8A385" w14:textId="77777777" w:rsidTr="00CF1B08">
        <w:trPr>
          <w:trHeight w:val="1040"/>
        </w:trPr>
        <w:tc>
          <w:tcPr>
            <w:tcW w:w="2323" w:type="dxa"/>
            <w:shd w:val="clear" w:color="auto" w:fill="D9D9D9" w:themeFill="background1" w:themeFillShade="D9"/>
            <w:vAlign w:val="center"/>
            <w:hideMark/>
          </w:tcPr>
          <w:p w14:paraId="1F56352E" w14:textId="2661ACF0" w:rsidR="00CF1B08" w:rsidRPr="00CF1B08" w:rsidRDefault="00CF1B08" w:rsidP="00CF1B08">
            <w:pPr>
              <w:jc w:val="center"/>
              <w:rPr>
                <w:rFonts w:ascii="Aptos Narrow" w:hAnsi="Aptos Narrow"/>
                <w:b/>
                <w:bCs/>
                <w:color w:val="000000"/>
              </w:rPr>
            </w:pPr>
            <w:r>
              <w:rPr>
                <w:rFonts w:ascii="Aptos Narrow" w:hAnsi="Aptos Narrow"/>
                <w:b/>
                <w:bCs/>
                <w:color w:val="000000"/>
              </w:rPr>
              <w:t>Součást</w:t>
            </w:r>
          </w:p>
        </w:tc>
        <w:tc>
          <w:tcPr>
            <w:tcW w:w="1303" w:type="dxa"/>
            <w:shd w:val="clear" w:color="auto" w:fill="D9D9D9" w:themeFill="background1" w:themeFillShade="D9"/>
            <w:vAlign w:val="center"/>
            <w:hideMark/>
          </w:tcPr>
          <w:p w14:paraId="75C8579D"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A+K+F</w:t>
            </w:r>
          </w:p>
          <w:p w14:paraId="4942E76C" w14:textId="4CF1DD6C"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1304" w:type="dxa"/>
            <w:shd w:val="clear" w:color="auto" w:fill="D9D9D9" w:themeFill="background1" w:themeFillShade="D9"/>
            <w:vAlign w:val="center"/>
            <w:hideMark/>
          </w:tcPr>
          <w:p w14:paraId="4AF10788"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FUČ</w:t>
            </w:r>
          </w:p>
          <w:p w14:paraId="08BC1ACB" w14:textId="0D8F3BAD"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1304" w:type="dxa"/>
            <w:shd w:val="clear" w:color="auto" w:fill="D9D9D9" w:themeFill="background1" w:themeFillShade="D9"/>
            <w:vAlign w:val="center"/>
            <w:hideMark/>
          </w:tcPr>
          <w:p w14:paraId="4F43CB22"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DKRVO</w:t>
            </w:r>
          </w:p>
          <w:p w14:paraId="335C8010" w14:textId="66BBD769"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1304" w:type="dxa"/>
            <w:shd w:val="clear" w:color="auto" w:fill="D9D9D9" w:themeFill="background1" w:themeFillShade="D9"/>
            <w:vAlign w:val="center"/>
            <w:hideMark/>
          </w:tcPr>
          <w:p w14:paraId="5992CC36"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SVV</w:t>
            </w:r>
          </w:p>
          <w:p w14:paraId="7EA9C6FE" w14:textId="6FB114A6" w:rsidR="00CF1B08" w:rsidRPr="00CF1B08" w:rsidRDefault="00CF1B08" w:rsidP="00CF1B08">
            <w:pPr>
              <w:jc w:val="center"/>
              <w:rPr>
                <w:rFonts w:ascii="Aptos Narrow" w:hAnsi="Aptos Narrow"/>
                <w:b/>
                <w:bCs/>
                <w:color w:val="000000"/>
              </w:rPr>
            </w:pPr>
            <w:r>
              <w:rPr>
                <w:rFonts w:ascii="Aptos Narrow" w:hAnsi="Aptos Narrow"/>
                <w:b/>
                <w:bCs/>
                <w:color w:val="000000"/>
              </w:rPr>
              <w:t>v</w:t>
            </w:r>
            <w:r w:rsidRPr="00CF1B08">
              <w:rPr>
                <w:rFonts w:ascii="Aptos Narrow" w:hAnsi="Aptos Narrow"/>
                <w:b/>
                <w:bCs/>
                <w:color w:val="000000"/>
              </w:rPr>
              <w:t xml:space="preserve"> tis. Kč</w:t>
            </w:r>
          </w:p>
        </w:tc>
        <w:tc>
          <w:tcPr>
            <w:tcW w:w="1304" w:type="dxa"/>
            <w:shd w:val="clear" w:color="auto" w:fill="D9D9D9" w:themeFill="background1" w:themeFillShade="D9"/>
            <w:vAlign w:val="center"/>
            <w:hideMark/>
          </w:tcPr>
          <w:p w14:paraId="2732FA6D" w14:textId="77777777" w:rsidR="00CF1B08" w:rsidRDefault="00CF1B08" w:rsidP="00CF1B08">
            <w:pPr>
              <w:jc w:val="center"/>
              <w:rPr>
                <w:rFonts w:ascii="Aptos Narrow" w:hAnsi="Aptos Narrow"/>
                <w:b/>
                <w:bCs/>
                <w:color w:val="000000"/>
              </w:rPr>
            </w:pPr>
            <w:r w:rsidRPr="00CF1B08">
              <w:rPr>
                <w:rFonts w:ascii="Aptos Narrow" w:hAnsi="Aptos Narrow"/>
                <w:b/>
                <w:bCs/>
                <w:color w:val="000000"/>
              </w:rPr>
              <w:t>Odvody</w:t>
            </w:r>
          </w:p>
          <w:p w14:paraId="5243EEAA" w14:textId="6C7A343D"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v tis. Kč</w:t>
            </w:r>
          </w:p>
        </w:tc>
        <w:tc>
          <w:tcPr>
            <w:tcW w:w="2154" w:type="dxa"/>
            <w:shd w:val="clear" w:color="auto" w:fill="D9D9D9" w:themeFill="background1" w:themeFillShade="D9"/>
            <w:vAlign w:val="center"/>
            <w:hideMark/>
          </w:tcPr>
          <w:p w14:paraId="1327DB48" w14:textId="5A4939DF"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Celouniverzitní aktivity</w:t>
            </w:r>
            <w:r>
              <w:rPr>
                <w:rFonts w:ascii="Aptos Narrow" w:hAnsi="Aptos Narrow"/>
                <w:b/>
                <w:bCs/>
                <w:color w:val="000000"/>
              </w:rPr>
              <w:t xml:space="preserve"> </w:t>
            </w:r>
            <w:r w:rsidRPr="00CF1B08">
              <w:rPr>
                <w:rFonts w:ascii="Aptos Narrow" w:hAnsi="Aptos Narrow"/>
                <w:b/>
                <w:bCs/>
                <w:color w:val="000000"/>
              </w:rPr>
              <w:t>v tis. Kč</w:t>
            </w:r>
          </w:p>
        </w:tc>
        <w:tc>
          <w:tcPr>
            <w:tcW w:w="2154" w:type="dxa"/>
            <w:shd w:val="clear" w:color="auto" w:fill="D9D9D9" w:themeFill="background1" w:themeFillShade="D9"/>
            <w:vAlign w:val="center"/>
            <w:hideMark/>
          </w:tcPr>
          <w:p w14:paraId="4EF86933" w14:textId="77777777" w:rsidR="00CF1B08" w:rsidRPr="00CF1B08" w:rsidRDefault="00CF1B08" w:rsidP="00CF1B08">
            <w:pPr>
              <w:jc w:val="center"/>
              <w:rPr>
                <w:rFonts w:ascii="Aptos Narrow" w:hAnsi="Aptos Narrow"/>
                <w:b/>
                <w:bCs/>
                <w:color w:val="000000"/>
              </w:rPr>
            </w:pPr>
            <w:r w:rsidRPr="00CF1B08">
              <w:rPr>
                <w:rFonts w:ascii="Aptos Narrow" w:hAnsi="Aptos Narrow"/>
                <w:b/>
                <w:bCs/>
                <w:color w:val="000000"/>
              </w:rPr>
              <w:t>Disponibilní prostředky v tis. Kč</w:t>
            </w:r>
          </w:p>
        </w:tc>
      </w:tr>
      <w:tr w:rsidR="005262BE" w:rsidRPr="00CF1B08" w14:paraId="773C8933" w14:textId="77777777" w:rsidTr="005262BE">
        <w:trPr>
          <w:trHeight w:val="340"/>
        </w:trPr>
        <w:tc>
          <w:tcPr>
            <w:tcW w:w="2323" w:type="dxa"/>
            <w:vAlign w:val="center"/>
            <w:hideMark/>
          </w:tcPr>
          <w:p w14:paraId="39D5DE90" w14:textId="77777777" w:rsidR="005262BE" w:rsidRPr="00CF1B08" w:rsidRDefault="005262BE" w:rsidP="005262BE">
            <w:pPr>
              <w:rPr>
                <w:rFonts w:ascii="Aptos Narrow" w:hAnsi="Aptos Narrow"/>
                <w:color w:val="000000"/>
              </w:rPr>
            </w:pPr>
            <w:r w:rsidRPr="00CF1B08">
              <w:rPr>
                <w:rFonts w:ascii="Aptos Narrow" w:hAnsi="Aptos Narrow"/>
                <w:color w:val="000000"/>
              </w:rPr>
              <w:t>FT</w:t>
            </w:r>
          </w:p>
        </w:tc>
        <w:tc>
          <w:tcPr>
            <w:tcW w:w="1303" w:type="dxa"/>
            <w:noWrap/>
            <w:vAlign w:val="center"/>
            <w:hideMark/>
          </w:tcPr>
          <w:p w14:paraId="5CC80B75" w14:textId="31B521C1" w:rsidR="005262BE" w:rsidRPr="00CF1B08" w:rsidRDefault="005262BE" w:rsidP="005262BE">
            <w:pPr>
              <w:jc w:val="right"/>
              <w:rPr>
                <w:rFonts w:ascii="Aptos Narrow" w:hAnsi="Aptos Narrow"/>
                <w:color w:val="000000"/>
              </w:rPr>
            </w:pPr>
            <w:r>
              <w:rPr>
                <w:rFonts w:ascii="Aptos Narrow" w:hAnsi="Aptos Narrow"/>
                <w:color w:val="000000"/>
              </w:rPr>
              <w:t>180 870</w:t>
            </w:r>
          </w:p>
        </w:tc>
        <w:tc>
          <w:tcPr>
            <w:tcW w:w="1304" w:type="dxa"/>
            <w:noWrap/>
            <w:vAlign w:val="center"/>
            <w:hideMark/>
          </w:tcPr>
          <w:p w14:paraId="39FE2F2E" w14:textId="65ECD242"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6764C0D7" w14:textId="60E77288" w:rsidR="005262BE" w:rsidRPr="00CF1B08" w:rsidRDefault="005262BE" w:rsidP="005262BE">
            <w:pPr>
              <w:jc w:val="right"/>
              <w:rPr>
                <w:rFonts w:ascii="Aptos Narrow" w:hAnsi="Aptos Narrow"/>
                <w:color w:val="000000"/>
              </w:rPr>
            </w:pPr>
            <w:r>
              <w:rPr>
                <w:rFonts w:ascii="Aptos Narrow" w:hAnsi="Aptos Narrow"/>
                <w:color w:val="000000"/>
              </w:rPr>
              <w:t>35 679</w:t>
            </w:r>
          </w:p>
        </w:tc>
        <w:tc>
          <w:tcPr>
            <w:tcW w:w="1304" w:type="dxa"/>
            <w:noWrap/>
            <w:vAlign w:val="center"/>
            <w:hideMark/>
          </w:tcPr>
          <w:p w14:paraId="1F46E833" w14:textId="6BB2A6AE" w:rsidR="005262BE" w:rsidRPr="00CF1B08" w:rsidRDefault="005262BE" w:rsidP="005262BE">
            <w:pPr>
              <w:jc w:val="right"/>
              <w:rPr>
                <w:rFonts w:ascii="Aptos Narrow" w:hAnsi="Aptos Narrow"/>
                <w:color w:val="000000"/>
              </w:rPr>
            </w:pPr>
            <w:r>
              <w:rPr>
                <w:rFonts w:ascii="Aptos Narrow" w:hAnsi="Aptos Narrow"/>
                <w:color w:val="000000"/>
              </w:rPr>
              <w:t>5 186</w:t>
            </w:r>
          </w:p>
        </w:tc>
        <w:tc>
          <w:tcPr>
            <w:tcW w:w="1304" w:type="dxa"/>
            <w:noWrap/>
            <w:vAlign w:val="center"/>
            <w:hideMark/>
          </w:tcPr>
          <w:p w14:paraId="7E46BC2C" w14:textId="114C6432" w:rsidR="005262BE" w:rsidRPr="00CF1B08" w:rsidRDefault="005262BE" w:rsidP="005262BE">
            <w:pPr>
              <w:jc w:val="right"/>
              <w:rPr>
                <w:rFonts w:ascii="Aptos Narrow" w:hAnsi="Aptos Narrow"/>
                <w:color w:val="000000"/>
              </w:rPr>
            </w:pPr>
            <w:r>
              <w:rPr>
                <w:rFonts w:ascii="Aptos Narrow" w:hAnsi="Aptos Narrow"/>
                <w:color w:val="000000"/>
              </w:rPr>
              <w:t>-38 636</w:t>
            </w:r>
          </w:p>
        </w:tc>
        <w:tc>
          <w:tcPr>
            <w:tcW w:w="2154" w:type="dxa"/>
            <w:noWrap/>
            <w:vAlign w:val="center"/>
            <w:hideMark/>
          </w:tcPr>
          <w:p w14:paraId="7AADE768" w14:textId="064AE4DE" w:rsidR="005262BE" w:rsidRPr="00CF1B08" w:rsidRDefault="005262BE" w:rsidP="005262BE">
            <w:pPr>
              <w:jc w:val="right"/>
              <w:rPr>
                <w:rFonts w:ascii="Aptos Narrow" w:hAnsi="Aptos Narrow"/>
                <w:color w:val="000000"/>
              </w:rPr>
            </w:pPr>
            <w:r>
              <w:rPr>
                <w:rFonts w:ascii="Aptos Narrow" w:hAnsi="Aptos Narrow"/>
                <w:color w:val="000000"/>
              </w:rPr>
              <w:t>0</w:t>
            </w:r>
          </w:p>
        </w:tc>
        <w:tc>
          <w:tcPr>
            <w:tcW w:w="2154" w:type="dxa"/>
            <w:noWrap/>
            <w:vAlign w:val="center"/>
            <w:hideMark/>
          </w:tcPr>
          <w:p w14:paraId="3F77EFEF" w14:textId="737CA035" w:rsidR="005262BE" w:rsidRPr="00CF1B08" w:rsidRDefault="005262BE" w:rsidP="005262BE">
            <w:pPr>
              <w:jc w:val="right"/>
              <w:rPr>
                <w:rFonts w:ascii="Aptos Narrow" w:hAnsi="Aptos Narrow"/>
                <w:color w:val="000000"/>
              </w:rPr>
            </w:pPr>
            <w:r>
              <w:rPr>
                <w:rFonts w:ascii="Aptos Narrow" w:hAnsi="Aptos Narrow"/>
                <w:color w:val="000000"/>
              </w:rPr>
              <w:t>183 098,45</w:t>
            </w:r>
          </w:p>
        </w:tc>
      </w:tr>
      <w:tr w:rsidR="005262BE" w:rsidRPr="00CF1B08" w14:paraId="654425EF" w14:textId="77777777" w:rsidTr="005262BE">
        <w:trPr>
          <w:trHeight w:val="340"/>
        </w:trPr>
        <w:tc>
          <w:tcPr>
            <w:tcW w:w="2323" w:type="dxa"/>
            <w:vAlign w:val="center"/>
            <w:hideMark/>
          </w:tcPr>
          <w:p w14:paraId="68686083" w14:textId="77777777" w:rsidR="005262BE" w:rsidRPr="00CF1B08" w:rsidRDefault="005262BE" w:rsidP="005262BE">
            <w:pPr>
              <w:rPr>
                <w:rFonts w:ascii="Aptos Narrow" w:hAnsi="Aptos Narrow"/>
                <w:color w:val="000000"/>
              </w:rPr>
            </w:pPr>
            <w:r w:rsidRPr="00CF1B08">
              <w:rPr>
                <w:rFonts w:ascii="Aptos Narrow" w:hAnsi="Aptos Narrow"/>
                <w:color w:val="000000"/>
              </w:rPr>
              <w:t>FLKŘ</w:t>
            </w:r>
          </w:p>
        </w:tc>
        <w:tc>
          <w:tcPr>
            <w:tcW w:w="1303" w:type="dxa"/>
            <w:noWrap/>
            <w:vAlign w:val="center"/>
            <w:hideMark/>
          </w:tcPr>
          <w:p w14:paraId="074B6C84" w14:textId="0B9A630A" w:rsidR="005262BE" w:rsidRPr="00CF1B08" w:rsidRDefault="005262BE" w:rsidP="005262BE">
            <w:pPr>
              <w:jc w:val="right"/>
              <w:rPr>
                <w:rFonts w:ascii="Aptos Narrow" w:hAnsi="Aptos Narrow"/>
                <w:color w:val="000000"/>
              </w:rPr>
            </w:pPr>
            <w:r>
              <w:rPr>
                <w:rFonts w:ascii="Aptos Narrow" w:hAnsi="Aptos Narrow"/>
                <w:color w:val="000000"/>
              </w:rPr>
              <w:t>87 997</w:t>
            </w:r>
          </w:p>
        </w:tc>
        <w:tc>
          <w:tcPr>
            <w:tcW w:w="1304" w:type="dxa"/>
            <w:noWrap/>
            <w:vAlign w:val="center"/>
            <w:hideMark/>
          </w:tcPr>
          <w:p w14:paraId="4647DB50" w14:textId="257090E5"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4DB5630E" w14:textId="658CAC68" w:rsidR="005262BE" w:rsidRPr="00CF1B08" w:rsidRDefault="005262BE" w:rsidP="005262BE">
            <w:pPr>
              <w:jc w:val="right"/>
              <w:rPr>
                <w:rFonts w:ascii="Aptos Narrow" w:hAnsi="Aptos Narrow"/>
                <w:color w:val="000000"/>
              </w:rPr>
            </w:pPr>
            <w:r>
              <w:rPr>
                <w:rFonts w:ascii="Aptos Narrow" w:hAnsi="Aptos Narrow"/>
                <w:color w:val="000000"/>
              </w:rPr>
              <w:t>5 621</w:t>
            </w:r>
          </w:p>
        </w:tc>
        <w:tc>
          <w:tcPr>
            <w:tcW w:w="1304" w:type="dxa"/>
            <w:noWrap/>
            <w:vAlign w:val="center"/>
            <w:hideMark/>
          </w:tcPr>
          <w:p w14:paraId="42A5E581" w14:textId="19DA67FC" w:rsidR="005262BE" w:rsidRPr="00CF1B08" w:rsidRDefault="005262BE" w:rsidP="005262BE">
            <w:pPr>
              <w:jc w:val="right"/>
              <w:rPr>
                <w:rFonts w:ascii="Aptos Narrow" w:hAnsi="Aptos Narrow"/>
                <w:color w:val="000000"/>
              </w:rPr>
            </w:pPr>
            <w:r>
              <w:rPr>
                <w:rFonts w:ascii="Aptos Narrow" w:hAnsi="Aptos Narrow"/>
                <w:color w:val="000000"/>
              </w:rPr>
              <w:t>632</w:t>
            </w:r>
          </w:p>
        </w:tc>
        <w:tc>
          <w:tcPr>
            <w:tcW w:w="1304" w:type="dxa"/>
            <w:noWrap/>
            <w:vAlign w:val="center"/>
            <w:hideMark/>
          </w:tcPr>
          <w:p w14:paraId="71626266" w14:textId="5F9DFA50" w:rsidR="005262BE" w:rsidRPr="00CF1B08" w:rsidRDefault="005262BE" w:rsidP="005262BE">
            <w:pPr>
              <w:jc w:val="right"/>
              <w:rPr>
                <w:rFonts w:ascii="Aptos Narrow" w:hAnsi="Aptos Narrow"/>
                <w:color w:val="000000"/>
              </w:rPr>
            </w:pPr>
            <w:r>
              <w:rPr>
                <w:rFonts w:ascii="Aptos Narrow" w:hAnsi="Aptos Narrow"/>
                <w:color w:val="000000"/>
              </w:rPr>
              <w:t>-16 743</w:t>
            </w:r>
          </w:p>
        </w:tc>
        <w:tc>
          <w:tcPr>
            <w:tcW w:w="2154" w:type="dxa"/>
            <w:noWrap/>
            <w:vAlign w:val="center"/>
            <w:hideMark/>
          </w:tcPr>
          <w:p w14:paraId="6665C968" w14:textId="60185A9F" w:rsidR="005262BE" w:rsidRPr="00CF1B08" w:rsidRDefault="005262BE" w:rsidP="005262BE">
            <w:pPr>
              <w:jc w:val="right"/>
              <w:rPr>
                <w:rFonts w:ascii="Aptos Narrow" w:hAnsi="Aptos Narrow"/>
                <w:color w:val="000000"/>
              </w:rPr>
            </w:pPr>
            <w:r>
              <w:rPr>
                <w:rFonts w:ascii="Aptos Narrow" w:hAnsi="Aptos Narrow"/>
                <w:color w:val="000000"/>
              </w:rPr>
              <w:t>0</w:t>
            </w:r>
          </w:p>
        </w:tc>
        <w:tc>
          <w:tcPr>
            <w:tcW w:w="2154" w:type="dxa"/>
            <w:noWrap/>
            <w:vAlign w:val="center"/>
            <w:hideMark/>
          </w:tcPr>
          <w:p w14:paraId="2FF5016B" w14:textId="18DBF0E5" w:rsidR="005262BE" w:rsidRPr="00CF1B08" w:rsidRDefault="005262BE" w:rsidP="005262BE">
            <w:pPr>
              <w:jc w:val="right"/>
              <w:rPr>
                <w:rFonts w:ascii="Aptos Narrow" w:hAnsi="Aptos Narrow"/>
                <w:color w:val="000000"/>
              </w:rPr>
            </w:pPr>
            <w:r>
              <w:rPr>
                <w:rFonts w:ascii="Aptos Narrow" w:hAnsi="Aptos Narrow"/>
                <w:color w:val="000000"/>
              </w:rPr>
              <w:t>77 506,51</w:t>
            </w:r>
          </w:p>
        </w:tc>
      </w:tr>
      <w:tr w:rsidR="005262BE" w:rsidRPr="00CF1B08" w14:paraId="7D00951B" w14:textId="77777777" w:rsidTr="005262BE">
        <w:trPr>
          <w:trHeight w:val="340"/>
        </w:trPr>
        <w:tc>
          <w:tcPr>
            <w:tcW w:w="2323" w:type="dxa"/>
            <w:vAlign w:val="center"/>
            <w:hideMark/>
          </w:tcPr>
          <w:p w14:paraId="02702748" w14:textId="77777777" w:rsidR="005262BE" w:rsidRPr="00CF1B08" w:rsidRDefault="005262BE" w:rsidP="005262BE">
            <w:pPr>
              <w:rPr>
                <w:rFonts w:ascii="Aptos Narrow" w:hAnsi="Aptos Narrow"/>
                <w:color w:val="000000"/>
              </w:rPr>
            </w:pPr>
            <w:r w:rsidRPr="00CF1B08">
              <w:rPr>
                <w:rFonts w:ascii="Aptos Narrow" w:hAnsi="Aptos Narrow"/>
                <w:color w:val="000000"/>
              </w:rPr>
              <w:t>FAI</w:t>
            </w:r>
          </w:p>
        </w:tc>
        <w:tc>
          <w:tcPr>
            <w:tcW w:w="1303" w:type="dxa"/>
            <w:noWrap/>
            <w:vAlign w:val="center"/>
            <w:hideMark/>
          </w:tcPr>
          <w:p w14:paraId="239FA663" w14:textId="02675FD3" w:rsidR="005262BE" w:rsidRPr="00CF1B08" w:rsidRDefault="005262BE" w:rsidP="005262BE">
            <w:pPr>
              <w:jc w:val="right"/>
              <w:rPr>
                <w:rFonts w:ascii="Aptos Narrow" w:hAnsi="Aptos Narrow"/>
                <w:color w:val="000000"/>
              </w:rPr>
            </w:pPr>
            <w:r>
              <w:rPr>
                <w:rFonts w:ascii="Aptos Narrow" w:hAnsi="Aptos Narrow"/>
                <w:color w:val="000000"/>
              </w:rPr>
              <w:t>107 100</w:t>
            </w:r>
          </w:p>
        </w:tc>
        <w:tc>
          <w:tcPr>
            <w:tcW w:w="1304" w:type="dxa"/>
            <w:noWrap/>
            <w:vAlign w:val="center"/>
            <w:hideMark/>
          </w:tcPr>
          <w:p w14:paraId="3C4D3C5A" w14:textId="7C482D87"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7A1128FA" w14:textId="563681FA" w:rsidR="005262BE" w:rsidRPr="00CF1B08" w:rsidRDefault="005262BE" w:rsidP="005262BE">
            <w:pPr>
              <w:jc w:val="right"/>
              <w:rPr>
                <w:rFonts w:ascii="Aptos Narrow" w:hAnsi="Aptos Narrow"/>
                <w:color w:val="000000"/>
              </w:rPr>
            </w:pPr>
            <w:r>
              <w:rPr>
                <w:rFonts w:ascii="Aptos Narrow" w:hAnsi="Aptos Narrow"/>
                <w:color w:val="000000"/>
              </w:rPr>
              <w:t>26 893</w:t>
            </w:r>
          </w:p>
        </w:tc>
        <w:tc>
          <w:tcPr>
            <w:tcW w:w="1304" w:type="dxa"/>
            <w:noWrap/>
            <w:vAlign w:val="center"/>
            <w:hideMark/>
          </w:tcPr>
          <w:p w14:paraId="7F5DE851" w14:textId="2315E9E5" w:rsidR="005262BE" w:rsidRPr="00CF1B08" w:rsidRDefault="005262BE" w:rsidP="005262BE">
            <w:pPr>
              <w:jc w:val="right"/>
              <w:rPr>
                <w:rFonts w:ascii="Aptos Narrow" w:hAnsi="Aptos Narrow"/>
                <w:color w:val="000000"/>
              </w:rPr>
            </w:pPr>
            <w:r>
              <w:rPr>
                <w:rFonts w:ascii="Aptos Narrow" w:hAnsi="Aptos Narrow"/>
                <w:color w:val="000000"/>
              </w:rPr>
              <w:t>4 265</w:t>
            </w:r>
          </w:p>
        </w:tc>
        <w:tc>
          <w:tcPr>
            <w:tcW w:w="1304" w:type="dxa"/>
            <w:noWrap/>
            <w:vAlign w:val="center"/>
            <w:hideMark/>
          </w:tcPr>
          <w:p w14:paraId="50A66209" w14:textId="075F0789" w:rsidR="005262BE" w:rsidRPr="00CF1B08" w:rsidRDefault="005262BE" w:rsidP="005262BE">
            <w:pPr>
              <w:jc w:val="right"/>
              <w:rPr>
                <w:rFonts w:ascii="Aptos Narrow" w:hAnsi="Aptos Narrow"/>
                <w:color w:val="000000"/>
              </w:rPr>
            </w:pPr>
            <w:r>
              <w:rPr>
                <w:rFonts w:ascii="Aptos Narrow" w:hAnsi="Aptos Narrow"/>
                <w:color w:val="000000"/>
              </w:rPr>
              <w:t>-25 071</w:t>
            </w:r>
          </w:p>
        </w:tc>
        <w:tc>
          <w:tcPr>
            <w:tcW w:w="2154" w:type="dxa"/>
            <w:noWrap/>
            <w:vAlign w:val="center"/>
            <w:hideMark/>
          </w:tcPr>
          <w:p w14:paraId="1A0BE1CB" w14:textId="117E1BDF" w:rsidR="005262BE" w:rsidRPr="00CF1B08" w:rsidRDefault="005262BE" w:rsidP="005262BE">
            <w:pPr>
              <w:jc w:val="right"/>
              <w:rPr>
                <w:rFonts w:ascii="Aptos Narrow" w:hAnsi="Aptos Narrow"/>
                <w:color w:val="000000"/>
              </w:rPr>
            </w:pPr>
            <w:r>
              <w:rPr>
                <w:rFonts w:ascii="Aptos Narrow" w:hAnsi="Aptos Narrow"/>
                <w:color w:val="000000"/>
              </w:rPr>
              <w:t>0</w:t>
            </w:r>
          </w:p>
        </w:tc>
        <w:tc>
          <w:tcPr>
            <w:tcW w:w="2154" w:type="dxa"/>
            <w:noWrap/>
            <w:vAlign w:val="center"/>
            <w:hideMark/>
          </w:tcPr>
          <w:p w14:paraId="77546DAE" w14:textId="6F10837C" w:rsidR="005262BE" w:rsidRPr="00CF1B08" w:rsidRDefault="005262BE" w:rsidP="005262BE">
            <w:pPr>
              <w:jc w:val="right"/>
              <w:rPr>
                <w:rFonts w:ascii="Aptos Narrow" w:hAnsi="Aptos Narrow"/>
                <w:color w:val="000000"/>
              </w:rPr>
            </w:pPr>
            <w:r>
              <w:rPr>
                <w:rFonts w:ascii="Aptos Narrow" w:hAnsi="Aptos Narrow"/>
                <w:color w:val="000000"/>
              </w:rPr>
              <w:t>113 186,98</w:t>
            </w:r>
          </w:p>
        </w:tc>
      </w:tr>
      <w:tr w:rsidR="005262BE" w:rsidRPr="00CF1B08" w14:paraId="02FD3F7B" w14:textId="77777777" w:rsidTr="005262BE">
        <w:trPr>
          <w:trHeight w:val="340"/>
        </w:trPr>
        <w:tc>
          <w:tcPr>
            <w:tcW w:w="2323" w:type="dxa"/>
            <w:vAlign w:val="center"/>
            <w:hideMark/>
          </w:tcPr>
          <w:p w14:paraId="1A653867" w14:textId="77777777" w:rsidR="005262BE" w:rsidRPr="00CF1B08" w:rsidRDefault="005262BE" w:rsidP="005262BE">
            <w:pPr>
              <w:rPr>
                <w:rFonts w:ascii="Aptos Narrow" w:hAnsi="Aptos Narrow"/>
                <w:color w:val="000000"/>
              </w:rPr>
            </w:pPr>
            <w:r w:rsidRPr="00CF1B08">
              <w:rPr>
                <w:rFonts w:ascii="Aptos Narrow" w:hAnsi="Aptos Narrow"/>
                <w:color w:val="000000"/>
              </w:rPr>
              <w:t>FMK</w:t>
            </w:r>
          </w:p>
        </w:tc>
        <w:tc>
          <w:tcPr>
            <w:tcW w:w="1303" w:type="dxa"/>
            <w:noWrap/>
            <w:vAlign w:val="center"/>
            <w:hideMark/>
          </w:tcPr>
          <w:p w14:paraId="38318A2E" w14:textId="25FA09C4" w:rsidR="005262BE" w:rsidRPr="00CF1B08" w:rsidRDefault="005262BE" w:rsidP="005262BE">
            <w:pPr>
              <w:jc w:val="right"/>
              <w:rPr>
                <w:rFonts w:ascii="Aptos Narrow" w:hAnsi="Aptos Narrow"/>
                <w:color w:val="000000"/>
              </w:rPr>
            </w:pPr>
            <w:r>
              <w:rPr>
                <w:rFonts w:ascii="Aptos Narrow" w:hAnsi="Aptos Narrow"/>
                <w:color w:val="000000"/>
              </w:rPr>
              <w:t>151 844</w:t>
            </w:r>
          </w:p>
        </w:tc>
        <w:tc>
          <w:tcPr>
            <w:tcW w:w="1304" w:type="dxa"/>
            <w:noWrap/>
            <w:vAlign w:val="center"/>
            <w:hideMark/>
          </w:tcPr>
          <w:p w14:paraId="06607D60" w14:textId="4D217346" w:rsidR="005262BE" w:rsidRPr="00CF1B08" w:rsidRDefault="005262BE" w:rsidP="005262BE">
            <w:pPr>
              <w:jc w:val="right"/>
              <w:rPr>
                <w:rFonts w:ascii="Aptos Narrow" w:hAnsi="Aptos Narrow"/>
                <w:color w:val="000000"/>
              </w:rPr>
            </w:pPr>
            <w:r>
              <w:rPr>
                <w:rFonts w:ascii="Aptos Narrow" w:hAnsi="Aptos Narrow"/>
                <w:color w:val="000000"/>
              </w:rPr>
              <w:t>12 161</w:t>
            </w:r>
          </w:p>
        </w:tc>
        <w:tc>
          <w:tcPr>
            <w:tcW w:w="1304" w:type="dxa"/>
            <w:noWrap/>
            <w:vAlign w:val="center"/>
            <w:hideMark/>
          </w:tcPr>
          <w:p w14:paraId="3EB67370" w14:textId="7755925B" w:rsidR="005262BE" w:rsidRPr="00CF1B08" w:rsidRDefault="005262BE" w:rsidP="005262BE">
            <w:pPr>
              <w:jc w:val="right"/>
              <w:rPr>
                <w:rFonts w:ascii="Aptos Narrow" w:hAnsi="Aptos Narrow"/>
                <w:color w:val="000000"/>
              </w:rPr>
            </w:pPr>
            <w:r>
              <w:rPr>
                <w:rFonts w:ascii="Aptos Narrow" w:hAnsi="Aptos Narrow"/>
                <w:color w:val="000000"/>
              </w:rPr>
              <w:t>7 196</w:t>
            </w:r>
          </w:p>
        </w:tc>
        <w:tc>
          <w:tcPr>
            <w:tcW w:w="1304" w:type="dxa"/>
            <w:noWrap/>
            <w:vAlign w:val="center"/>
            <w:hideMark/>
          </w:tcPr>
          <w:p w14:paraId="787765ED" w14:textId="34E9F559" w:rsidR="005262BE" w:rsidRPr="00CF1B08" w:rsidRDefault="005262BE" w:rsidP="005262BE">
            <w:pPr>
              <w:jc w:val="right"/>
              <w:rPr>
                <w:rFonts w:ascii="Aptos Narrow" w:hAnsi="Aptos Narrow"/>
                <w:color w:val="000000"/>
              </w:rPr>
            </w:pPr>
            <w:r>
              <w:rPr>
                <w:rFonts w:ascii="Aptos Narrow" w:hAnsi="Aptos Narrow"/>
                <w:color w:val="000000"/>
              </w:rPr>
              <w:t>1 406</w:t>
            </w:r>
          </w:p>
        </w:tc>
        <w:tc>
          <w:tcPr>
            <w:tcW w:w="1304" w:type="dxa"/>
            <w:noWrap/>
            <w:vAlign w:val="center"/>
            <w:hideMark/>
          </w:tcPr>
          <w:p w14:paraId="178E37ED" w14:textId="63BFBF64" w:rsidR="005262BE" w:rsidRPr="00CF1B08" w:rsidRDefault="005262BE" w:rsidP="005262BE">
            <w:pPr>
              <w:jc w:val="right"/>
              <w:rPr>
                <w:rFonts w:ascii="Aptos Narrow" w:hAnsi="Aptos Narrow"/>
                <w:color w:val="000000"/>
              </w:rPr>
            </w:pPr>
            <w:r>
              <w:rPr>
                <w:rFonts w:ascii="Aptos Narrow" w:hAnsi="Aptos Narrow"/>
                <w:color w:val="000000"/>
              </w:rPr>
              <w:t>-30 379</w:t>
            </w:r>
          </w:p>
        </w:tc>
        <w:tc>
          <w:tcPr>
            <w:tcW w:w="2154" w:type="dxa"/>
            <w:noWrap/>
            <w:vAlign w:val="center"/>
            <w:hideMark/>
          </w:tcPr>
          <w:p w14:paraId="4604381E" w14:textId="7D43E196" w:rsidR="005262BE" w:rsidRPr="00CF1B08" w:rsidRDefault="005262BE" w:rsidP="005262BE">
            <w:pPr>
              <w:jc w:val="right"/>
              <w:rPr>
                <w:rFonts w:ascii="Aptos Narrow" w:hAnsi="Aptos Narrow"/>
                <w:color w:val="000000"/>
              </w:rPr>
            </w:pPr>
            <w:r>
              <w:rPr>
                <w:rFonts w:ascii="Aptos Narrow" w:hAnsi="Aptos Narrow"/>
                <w:color w:val="000000"/>
              </w:rPr>
              <w:t>0</w:t>
            </w:r>
          </w:p>
        </w:tc>
        <w:tc>
          <w:tcPr>
            <w:tcW w:w="2154" w:type="dxa"/>
            <w:noWrap/>
            <w:vAlign w:val="center"/>
            <w:hideMark/>
          </w:tcPr>
          <w:p w14:paraId="637E6533" w14:textId="42C3B9D1" w:rsidR="005262BE" w:rsidRPr="00CF1B08" w:rsidRDefault="005262BE" w:rsidP="005262BE">
            <w:pPr>
              <w:jc w:val="right"/>
              <w:rPr>
                <w:rFonts w:ascii="Aptos Narrow" w:hAnsi="Aptos Narrow"/>
                <w:color w:val="000000"/>
              </w:rPr>
            </w:pPr>
            <w:r>
              <w:rPr>
                <w:rFonts w:ascii="Aptos Narrow" w:hAnsi="Aptos Narrow"/>
                <w:color w:val="000000"/>
              </w:rPr>
              <w:t>142 227,61</w:t>
            </w:r>
          </w:p>
        </w:tc>
      </w:tr>
      <w:tr w:rsidR="005262BE" w:rsidRPr="00CF1B08" w14:paraId="6CBFCEF9" w14:textId="77777777" w:rsidTr="005262BE">
        <w:trPr>
          <w:trHeight w:val="340"/>
        </w:trPr>
        <w:tc>
          <w:tcPr>
            <w:tcW w:w="2323" w:type="dxa"/>
            <w:vAlign w:val="center"/>
            <w:hideMark/>
          </w:tcPr>
          <w:p w14:paraId="4878FF04" w14:textId="77777777" w:rsidR="005262BE" w:rsidRPr="00CF1B08" w:rsidRDefault="005262BE" w:rsidP="005262BE">
            <w:pPr>
              <w:rPr>
                <w:rFonts w:ascii="Aptos Narrow" w:hAnsi="Aptos Narrow"/>
                <w:color w:val="000000"/>
              </w:rPr>
            </w:pPr>
            <w:r w:rsidRPr="00CF1B08">
              <w:rPr>
                <w:rFonts w:ascii="Aptos Narrow" w:hAnsi="Aptos Narrow"/>
                <w:color w:val="000000"/>
              </w:rPr>
              <w:t>FaME</w:t>
            </w:r>
          </w:p>
        </w:tc>
        <w:tc>
          <w:tcPr>
            <w:tcW w:w="1303" w:type="dxa"/>
            <w:noWrap/>
            <w:vAlign w:val="center"/>
            <w:hideMark/>
          </w:tcPr>
          <w:p w14:paraId="64DC122C" w14:textId="5A78CFB7" w:rsidR="005262BE" w:rsidRPr="00CF1B08" w:rsidRDefault="005262BE" w:rsidP="005262BE">
            <w:pPr>
              <w:jc w:val="right"/>
              <w:rPr>
                <w:rFonts w:ascii="Aptos Narrow" w:hAnsi="Aptos Narrow"/>
                <w:color w:val="000000"/>
              </w:rPr>
            </w:pPr>
            <w:r>
              <w:rPr>
                <w:rFonts w:ascii="Aptos Narrow" w:hAnsi="Aptos Narrow"/>
                <w:color w:val="000000"/>
              </w:rPr>
              <w:t>109 713</w:t>
            </w:r>
          </w:p>
        </w:tc>
        <w:tc>
          <w:tcPr>
            <w:tcW w:w="1304" w:type="dxa"/>
            <w:noWrap/>
            <w:vAlign w:val="center"/>
            <w:hideMark/>
          </w:tcPr>
          <w:p w14:paraId="6E5E2512" w14:textId="0EF77737"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2CC10459" w14:textId="4885033D" w:rsidR="005262BE" w:rsidRPr="00CF1B08" w:rsidRDefault="005262BE" w:rsidP="005262BE">
            <w:pPr>
              <w:jc w:val="right"/>
              <w:rPr>
                <w:rFonts w:ascii="Aptos Narrow" w:hAnsi="Aptos Narrow"/>
                <w:color w:val="000000"/>
              </w:rPr>
            </w:pPr>
            <w:r>
              <w:rPr>
                <w:rFonts w:ascii="Aptos Narrow" w:hAnsi="Aptos Narrow"/>
                <w:color w:val="000000"/>
              </w:rPr>
              <w:t>22 150</w:t>
            </w:r>
          </w:p>
        </w:tc>
        <w:tc>
          <w:tcPr>
            <w:tcW w:w="1304" w:type="dxa"/>
            <w:noWrap/>
            <w:vAlign w:val="center"/>
            <w:hideMark/>
          </w:tcPr>
          <w:p w14:paraId="03D097E3" w14:textId="1575DD69" w:rsidR="005262BE" w:rsidRPr="00CF1B08" w:rsidRDefault="005262BE" w:rsidP="005262BE">
            <w:pPr>
              <w:jc w:val="right"/>
              <w:rPr>
                <w:rFonts w:ascii="Aptos Narrow" w:hAnsi="Aptos Narrow"/>
                <w:color w:val="000000"/>
              </w:rPr>
            </w:pPr>
            <w:r>
              <w:rPr>
                <w:rFonts w:ascii="Aptos Narrow" w:hAnsi="Aptos Narrow"/>
                <w:color w:val="000000"/>
              </w:rPr>
              <w:t>2 682</w:t>
            </w:r>
          </w:p>
        </w:tc>
        <w:tc>
          <w:tcPr>
            <w:tcW w:w="1304" w:type="dxa"/>
            <w:noWrap/>
            <w:vAlign w:val="center"/>
            <w:hideMark/>
          </w:tcPr>
          <w:p w14:paraId="745F92DD" w14:textId="6D19A3C5" w:rsidR="005262BE" w:rsidRPr="00CF1B08" w:rsidRDefault="005262BE" w:rsidP="005262BE">
            <w:pPr>
              <w:jc w:val="right"/>
              <w:rPr>
                <w:rFonts w:ascii="Aptos Narrow" w:hAnsi="Aptos Narrow"/>
                <w:color w:val="000000"/>
              </w:rPr>
            </w:pPr>
            <w:r>
              <w:rPr>
                <w:rFonts w:ascii="Aptos Narrow" w:hAnsi="Aptos Narrow"/>
                <w:color w:val="000000"/>
              </w:rPr>
              <w:t>-23 603</w:t>
            </w:r>
          </w:p>
        </w:tc>
        <w:tc>
          <w:tcPr>
            <w:tcW w:w="2154" w:type="dxa"/>
            <w:noWrap/>
            <w:vAlign w:val="center"/>
            <w:hideMark/>
          </w:tcPr>
          <w:p w14:paraId="1192195B" w14:textId="7885B4C4" w:rsidR="005262BE" w:rsidRPr="00CF1B08" w:rsidRDefault="005262BE" w:rsidP="005262BE">
            <w:pPr>
              <w:jc w:val="right"/>
              <w:rPr>
                <w:rFonts w:ascii="Aptos Narrow" w:hAnsi="Aptos Narrow"/>
                <w:color w:val="000000"/>
              </w:rPr>
            </w:pPr>
            <w:r>
              <w:rPr>
                <w:rFonts w:ascii="Aptos Narrow" w:hAnsi="Aptos Narrow"/>
                <w:color w:val="000000"/>
              </w:rPr>
              <w:t>0</w:t>
            </w:r>
          </w:p>
        </w:tc>
        <w:tc>
          <w:tcPr>
            <w:tcW w:w="2154" w:type="dxa"/>
            <w:noWrap/>
            <w:vAlign w:val="center"/>
            <w:hideMark/>
          </w:tcPr>
          <w:p w14:paraId="2C30F1FA" w14:textId="7A68F5EA" w:rsidR="005262BE" w:rsidRPr="00CF1B08" w:rsidRDefault="005262BE" w:rsidP="005262BE">
            <w:pPr>
              <w:jc w:val="right"/>
              <w:rPr>
                <w:rFonts w:ascii="Aptos Narrow" w:hAnsi="Aptos Narrow"/>
                <w:color w:val="000000"/>
              </w:rPr>
            </w:pPr>
            <w:r>
              <w:rPr>
                <w:rFonts w:ascii="Aptos Narrow" w:hAnsi="Aptos Narrow"/>
                <w:color w:val="000000"/>
              </w:rPr>
              <w:t>110 942,35</w:t>
            </w:r>
          </w:p>
        </w:tc>
      </w:tr>
      <w:tr w:rsidR="005262BE" w:rsidRPr="00CF1B08" w14:paraId="4DC255BF" w14:textId="77777777" w:rsidTr="005262BE">
        <w:trPr>
          <w:trHeight w:val="340"/>
        </w:trPr>
        <w:tc>
          <w:tcPr>
            <w:tcW w:w="2323" w:type="dxa"/>
            <w:vAlign w:val="center"/>
            <w:hideMark/>
          </w:tcPr>
          <w:p w14:paraId="1574076B" w14:textId="77777777" w:rsidR="005262BE" w:rsidRPr="00CF1B08" w:rsidRDefault="005262BE" w:rsidP="005262BE">
            <w:pPr>
              <w:rPr>
                <w:rFonts w:ascii="Aptos Narrow" w:hAnsi="Aptos Narrow"/>
                <w:color w:val="000000"/>
              </w:rPr>
            </w:pPr>
            <w:r w:rsidRPr="00CF1B08">
              <w:rPr>
                <w:rFonts w:ascii="Aptos Narrow" w:hAnsi="Aptos Narrow"/>
                <w:color w:val="000000"/>
              </w:rPr>
              <w:t>FHS</w:t>
            </w:r>
          </w:p>
        </w:tc>
        <w:tc>
          <w:tcPr>
            <w:tcW w:w="1303" w:type="dxa"/>
            <w:noWrap/>
            <w:vAlign w:val="center"/>
            <w:hideMark/>
          </w:tcPr>
          <w:p w14:paraId="1F4D48FF" w14:textId="21050B59" w:rsidR="005262BE" w:rsidRPr="00CF1B08" w:rsidRDefault="005262BE" w:rsidP="005262BE">
            <w:pPr>
              <w:jc w:val="right"/>
              <w:rPr>
                <w:rFonts w:ascii="Aptos Narrow" w:hAnsi="Aptos Narrow"/>
                <w:color w:val="000000"/>
              </w:rPr>
            </w:pPr>
            <w:r>
              <w:rPr>
                <w:rFonts w:ascii="Aptos Narrow" w:hAnsi="Aptos Narrow"/>
                <w:color w:val="000000"/>
              </w:rPr>
              <w:t>152 211</w:t>
            </w:r>
          </w:p>
        </w:tc>
        <w:tc>
          <w:tcPr>
            <w:tcW w:w="1304" w:type="dxa"/>
            <w:noWrap/>
            <w:vAlign w:val="center"/>
            <w:hideMark/>
          </w:tcPr>
          <w:p w14:paraId="69A26058" w14:textId="6739D5C9"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15570CE1" w14:textId="08CF4A38" w:rsidR="005262BE" w:rsidRPr="00CF1B08" w:rsidRDefault="005262BE" w:rsidP="005262BE">
            <w:pPr>
              <w:jc w:val="right"/>
              <w:rPr>
                <w:rFonts w:ascii="Aptos Narrow" w:hAnsi="Aptos Narrow"/>
                <w:color w:val="000000"/>
              </w:rPr>
            </w:pPr>
            <w:r>
              <w:rPr>
                <w:rFonts w:ascii="Aptos Narrow" w:hAnsi="Aptos Narrow"/>
                <w:color w:val="000000"/>
              </w:rPr>
              <w:t>13 195</w:t>
            </w:r>
          </w:p>
        </w:tc>
        <w:tc>
          <w:tcPr>
            <w:tcW w:w="1304" w:type="dxa"/>
            <w:noWrap/>
            <w:vAlign w:val="center"/>
            <w:hideMark/>
          </w:tcPr>
          <w:p w14:paraId="4795BF59" w14:textId="4068BF05" w:rsidR="005262BE" w:rsidRPr="00CF1B08" w:rsidRDefault="005262BE" w:rsidP="005262BE">
            <w:pPr>
              <w:jc w:val="right"/>
              <w:rPr>
                <w:rFonts w:ascii="Aptos Narrow" w:hAnsi="Aptos Narrow"/>
                <w:color w:val="000000"/>
              </w:rPr>
            </w:pPr>
            <w:r>
              <w:rPr>
                <w:rFonts w:ascii="Aptos Narrow" w:hAnsi="Aptos Narrow"/>
                <w:color w:val="000000"/>
              </w:rPr>
              <w:t>1 270</w:t>
            </w:r>
          </w:p>
        </w:tc>
        <w:tc>
          <w:tcPr>
            <w:tcW w:w="1304" w:type="dxa"/>
            <w:noWrap/>
            <w:vAlign w:val="center"/>
            <w:hideMark/>
          </w:tcPr>
          <w:p w14:paraId="56DA883B" w14:textId="58EB8EC9" w:rsidR="005262BE" w:rsidRPr="00CF1B08" w:rsidRDefault="005262BE" w:rsidP="005262BE">
            <w:pPr>
              <w:jc w:val="right"/>
              <w:rPr>
                <w:rFonts w:ascii="Aptos Narrow" w:hAnsi="Aptos Narrow"/>
                <w:color w:val="000000"/>
              </w:rPr>
            </w:pPr>
            <w:r>
              <w:rPr>
                <w:rFonts w:ascii="Aptos Narrow" w:hAnsi="Aptos Narrow"/>
                <w:color w:val="000000"/>
              </w:rPr>
              <w:t>-28 932</w:t>
            </w:r>
          </w:p>
        </w:tc>
        <w:tc>
          <w:tcPr>
            <w:tcW w:w="2154" w:type="dxa"/>
            <w:noWrap/>
            <w:vAlign w:val="center"/>
            <w:hideMark/>
          </w:tcPr>
          <w:p w14:paraId="18A9238A" w14:textId="05260250" w:rsidR="005262BE" w:rsidRPr="00CF1B08" w:rsidRDefault="005262BE" w:rsidP="005262BE">
            <w:pPr>
              <w:jc w:val="right"/>
              <w:rPr>
                <w:rFonts w:ascii="Aptos Narrow" w:hAnsi="Aptos Narrow"/>
                <w:color w:val="000000"/>
              </w:rPr>
            </w:pPr>
            <w:r>
              <w:rPr>
                <w:rFonts w:ascii="Aptos Narrow" w:hAnsi="Aptos Narrow"/>
                <w:color w:val="000000"/>
              </w:rPr>
              <w:t>0</w:t>
            </w:r>
          </w:p>
        </w:tc>
        <w:tc>
          <w:tcPr>
            <w:tcW w:w="2154" w:type="dxa"/>
            <w:noWrap/>
            <w:vAlign w:val="center"/>
            <w:hideMark/>
          </w:tcPr>
          <w:p w14:paraId="472ABDDB" w14:textId="03600786" w:rsidR="005262BE" w:rsidRPr="00CF1B08" w:rsidRDefault="005262BE" w:rsidP="005262BE">
            <w:pPr>
              <w:jc w:val="right"/>
              <w:rPr>
                <w:rFonts w:ascii="Aptos Narrow" w:hAnsi="Aptos Narrow"/>
                <w:color w:val="000000"/>
              </w:rPr>
            </w:pPr>
            <w:r>
              <w:rPr>
                <w:rFonts w:ascii="Aptos Narrow" w:hAnsi="Aptos Narrow"/>
                <w:color w:val="000000"/>
              </w:rPr>
              <w:t>137 744,72</w:t>
            </w:r>
          </w:p>
        </w:tc>
      </w:tr>
      <w:tr w:rsidR="005262BE" w:rsidRPr="00CF1B08" w14:paraId="6180E819" w14:textId="77777777" w:rsidTr="005262BE">
        <w:trPr>
          <w:trHeight w:val="340"/>
        </w:trPr>
        <w:tc>
          <w:tcPr>
            <w:tcW w:w="2323" w:type="dxa"/>
            <w:vAlign w:val="center"/>
            <w:hideMark/>
          </w:tcPr>
          <w:p w14:paraId="33605C66" w14:textId="77777777" w:rsidR="005262BE" w:rsidRPr="00CF1B08" w:rsidRDefault="005262BE" w:rsidP="005262BE">
            <w:pPr>
              <w:rPr>
                <w:rFonts w:ascii="Aptos Narrow" w:hAnsi="Aptos Narrow"/>
                <w:color w:val="000000"/>
              </w:rPr>
            </w:pPr>
            <w:r w:rsidRPr="00CF1B08">
              <w:rPr>
                <w:rFonts w:ascii="Aptos Narrow" w:hAnsi="Aptos Narrow"/>
                <w:color w:val="000000"/>
              </w:rPr>
              <w:t>UNI</w:t>
            </w:r>
          </w:p>
        </w:tc>
        <w:tc>
          <w:tcPr>
            <w:tcW w:w="1303" w:type="dxa"/>
            <w:noWrap/>
            <w:vAlign w:val="center"/>
            <w:hideMark/>
          </w:tcPr>
          <w:p w14:paraId="12C590FF" w14:textId="2CF49466" w:rsidR="005262BE" w:rsidRPr="00CF1B08" w:rsidRDefault="005262BE" w:rsidP="005262BE">
            <w:pPr>
              <w:jc w:val="right"/>
              <w:rPr>
                <w:rFonts w:ascii="Aptos Narrow" w:hAnsi="Aptos Narrow"/>
                <w:color w:val="000000"/>
              </w:rPr>
            </w:pPr>
            <w:r>
              <w:rPr>
                <w:rFonts w:ascii="Aptos Narrow" w:hAnsi="Aptos Narrow"/>
                <w:color w:val="000000"/>
              </w:rPr>
              <w:t>25 612</w:t>
            </w:r>
          </w:p>
        </w:tc>
        <w:tc>
          <w:tcPr>
            <w:tcW w:w="1304" w:type="dxa"/>
            <w:noWrap/>
            <w:vAlign w:val="center"/>
            <w:hideMark/>
          </w:tcPr>
          <w:p w14:paraId="12FF649E" w14:textId="36F251A4"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6AC3B3BF" w14:textId="7C6B49A3" w:rsidR="005262BE" w:rsidRPr="00CF1B08" w:rsidRDefault="005262BE" w:rsidP="005262BE">
            <w:pPr>
              <w:jc w:val="right"/>
              <w:rPr>
                <w:rFonts w:ascii="Aptos Narrow" w:hAnsi="Aptos Narrow"/>
                <w:color w:val="000000"/>
              </w:rPr>
            </w:pPr>
            <w:r>
              <w:rPr>
                <w:rFonts w:ascii="Aptos Narrow" w:hAnsi="Aptos Narrow"/>
                <w:color w:val="000000"/>
              </w:rPr>
              <w:t>56 034</w:t>
            </w:r>
          </w:p>
        </w:tc>
        <w:tc>
          <w:tcPr>
            <w:tcW w:w="1304" w:type="dxa"/>
            <w:noWrap/>
            <w:vAlign w:val="center"/>
            <w:hideMark/>
          </w:tcPr>
          <w:p w14:paraId="70D3A8FC" w14:textId="62ED9A11" w:rsidR="005262BE" w:rsidRPr="00CF1B08" w:rsidRDefault="005262BE" w:rsidP="005262BE">
            <w:pPr>
              <w:jc w:val="right"/>
              <w:rPr>
                <w:rFonts w:ascii="Aptos Narrow" w:hAnsi="Aptos Narrow"/>
                <w:color w:val="000000"/>
              </w:rPr>
            </w:pPr>
            <w:r>
              <w:rPr>
                <w:rFonts w:ascii="Aptos Narrow" w:hAnsi="Aptos Narrow"/>
                <w:color w:val="000000"/>
              </w:rPr>
              <w:t>5 142</w:t>
            </w:r>
          </w:p>
        </w:tc>
        <w:tc>
          <w:tcPr>
            <w:tcW w:w="1304" w:type="dxa"/>
            <w:noWrap/>
            <w:vAlign w:val="center"/>
            <w:hideMark/>
          </w:tcPr>
          <w:p w14:paraId="0306BC65" w14:textId="37AFF01D" w:rsidR="005262BE" w:rsidRPr="00CF1B08" w:rsidRDefault="005262BE" w:rsidP="005262BE">
            <w:pPr>
              <w:jc w:val="right"/>
              <w:rPr>
                <w:rFonts w:ascii="Aptos Narrow" w:hAnsi="Aptos Narrow"/>
                <w:color w:val="000000"/>
              </w:rPr>
            </w:pPr>
            <w:r>
              <w:rPr>
                <w:rFonts w:ascii="Aptos Narrow" w:hAnsi="Aptos Narrow"/>
                <w:color w:val="000000"/>
              </w:rPr>
              <w:t>-15 779</w:t>
            </w:r>
          </w:p>
        </w:tc>
        <w:tc>
          <w:tcPr>
            <w:tcW w:w="2154" w:type="dxa"/>
            <w:noWrap/>
            <w:vAlign w:val="center"/>
            <w:hideMark/>
          </w:tcPr>
          <w:p w14:paraId="347610EF" w14:textId="2C3C217D" w:rsidR="005262BE" w:rsidRPr="00CF1B08" w:rsidRDefault="005262BE" w:rsidP="005262BE">
            <w:pPr>
              <w:jc w:val="right"/>
              <w:rPr>
                <w:rFonts w:ascii="Aptos Narrow" w:hAnsi="Aptos Narrow"/>
                <w:color w:val="000000"/>
              </w:rPr>
            </w:pPr>
            <w:r>
              <w:rPr>
                <w:rFonts w:ascii="Aptos Narrow" w:hAnsi="Aptos Narrow"/>
                <w:color w:val="000000"/>
              </w:rPr>
              <w:t>0</w:t>
            </w:r>
          </w:p>
        </w:tc>
        <w:tc>
          <w:tcPr>
            <w:tcW w:w="2154" w:type="dxa"/>
            <w:noWrap/>
            <w:vAlign w:val="center"/>
            <w:hideMark/>
          </w:tcPr>
          <w:p w14:paraId="7FA113C8" w14:textId="1975491C" w:rsidR="005262BE" w:rsidRPr="00CF1B08" w:rsidRDefault="005262BE" w:rsidP="005262BE">
            <w:pPr>
              <w:jc w:val="right"/>
              <w:rPr>
                <w:rFonts w:ascii="Aptos Narrow" w:hAnsi="Aptos Narrow"/>
                <w:color w:val="000000"/>
              </w:rPr>
            </w:pPr>
            <w:r>
              <w:rPr>
                <w:rFonts w:ascii="Aptos Narrow" w:hAnsi="Aptos Narrow"/>
                <w:color w:val="000000"/>
              </w:rPr>
              <w:t>71 009,68</w:t>
            </w:r>
          </w:p>
        </w:tc>
      </w:tr>
      <w:tr w:rsidR="005262BE" w:rsidRPr="00CF1B08" w14:paraId="1BB269D7" w14:textId="77777777" w:rsidTr="005262BE">
        <w:trPr>
          <w:trHeight w:val="340"/>
        </w:trPr>
        <w:tc>
          <w:tcPr>
            <w:tcW w:w="2323" w:type="dxa"/>
            <w:vAlign w:val="center"/>
            <w:hideMark/>
          </w:tcPr>
          <w:p w14:paraId="33C3D54D" w14:textId="77777777" w:rsidR="005262BE" w:rsidRPr="00CF1B08" w:rsidRDefault="005262BE" w:rsidP="005262BE">
            <w:pPr>
              <w:rPr>
                <w:rFonts w:ascii="Aptos Narrow" w:hAnsi="Aptos Narrow"/>
                <w:color w:val="000000"/>
              </w:rPr>
            </w:pPr>
            <w:r w:rsidRPr="00CF1B08">
              <w:rPr>
                <w:rFonts w:ascii="Aptos Narrow" w:hAnsi="Aptos Narrow"/>
                <w:color w:val="000000"/>
              </w:rPr>
              <w:t>Knihovna</w:t>
            </w:r>
          </w:p>
        </w:tc>
        <w:tc>
          <w:tcPr>
            <w:tcW w:w="1303" w:type="dxa"/>
            <w:noWrap/>
            <w:vAlign w:val="center"/>
            <w:hideMark/>
          </w:tcPr>
          <w:p w14:paraId="7ADAC6C2" w14:textId="228C8C02" w:rsidR="005262BE" w:rsidRPr="00CF1B08" w:rsidRDefault="005262BE" w:rsidP="005262BE">
            <w:pPr>
              <w:jc w:val="right"/>
              <w:rPr>
                <w:rFonts w:ascii="Aptos Narrow" w:hAnsi="Aptos Narrow"/>
                <w:color w:val="000000"/>
              </w:rPr>
            </w:pPr>
            <w:r>
              <w:rPr>
                <w:rFonts w:ascii="Aptos Narrow" w:hAnsi="Aptos Narrow"/>
                <w:color w:val="000000"/>
              </w:rPr>
              <w:t>373</w:t>
            </w:r>
          </w:p>
        </w:tc>
        <w:tc>
          <w:tcPr>
            <w:tcW w:w="1304" w:type="dxa"/>
            <w:noWrap/>
            <w:vAlign w:val="center"/>
            <w:hideMark/>
          </w:tcPr>
          <w:p w14:paraId="693D6557" w14:textId="5B9DC361"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7365B8EF" w14:textId="6CBFFDF3" w:rsidR="005262BE" w:rsidRPr="00CF1B08" w:rsidRDefault="005262BE" w:rsidP="005262BE">
            <w:pPr>
              <w:jc w:val="right"/>
              <w:rPr>
                <w:rFonts w:ascii="Aptos Narrow" w:hAnsi="Aptos Narrow"/>
                <w:color w:val="000000"/>
              </w:rPr>
            </w:pPr>
            <w:r>
              <w:rPr>
                <w:rFonts w:ascii="Aptos Narrow" w:hAnsi="Aptos Narrow"/>
                <w:color w:val="000000"/>
              </w:rPr>
              <w:t>666</w:t>
            </w:r>
          </w:p>
        </w:tc>
        <w:tc>
          <w:tcPr>
            <w:tcW w:w="1304" w:type="dxa"/>
            <w:noWrap/>
            <w:vAlign w:val="center"/>
            <w:hideMark/>
          </w:tcPr>
          <w:p w14:paraId="20748C1B" w14:textId="311C980F" w:rsidR="005262BE" w:rsidRPr="00CF1B08" w:rsidRDefault="005262BE" w:rsidP="005262BE">
            <w:pPr>
              <w:jc w:val="right"/>
              <w:rPr>
                <w:rFonts w:ascii="Aptos Narrow" w:hAnsi="Aptos Narrow"/>
                <w:color w:val="000000"/>
              </w:rPr>
            </w:pPr>
            <w:r>
              <w:rPr>
                <w:rFonts w:ascii="Aptos Narrow" w:hAnsi="Aptos Narrow"/>
                <w:color w:val="000000"/>
              </w:rPr>
              <w:t>0</w:t>
            </w:r>
          </w:p>
        </w:tc>
        <w:tc>
          <w:tcPr>
            <w:tcW w:w="1304" w:type="dxa"/>
            <w:noWrap/>
            <w:vAlign w:val="center"/>
            <w:hideMark/>
          </w:tcPr>
          <w:p w14:paraId="322FB536" w14:textId="3E6E92A7" w:rsidR="005262BE" w:rsidRPr="00CF1B08" w:rsidRDefault="005262BE" w:rsidP="005262BE">
            <w:pPr>
              <w:jc w:val="right"/>
              <w:rPr>
                <w:rFonts w:ascii="Aptos Narrow" w:hAnsi="Aptos Narrow"/>
                <w:color w:val="000000"/>
              </w:rPr>
            </w:pPr>
            <w:r>
              <w:rPr>
                <w:rFonts w:ascii="Aptos Narrow" w:hAnsi="Aptos Narrow"/>
                <w:color w:val="000000"/>
              </w:rPr>
              <w:t>-272</w:t>
            </w:r>
          </w:p>
        </w:tc>
        <w:tc>
          <w:tcPr>
            <w:tcW w:w="2154" w:type="dxa"/>
            <w:noWrap/>
            <w:vAlign w:val="center"/>
            <w:hideMark/>
          </w:tcPr>
          <w:p w14:paraId="6B47A471" w14:textId="2CA6246D" w:rsidR="005262BE" w:rsidRPr="00CF1B08" w:rsidRDefault="005262BE" w:rsidP="005262BE">
            <w:pPr>
              <w:jc w:val="right"/>
              <w:rPr>
                <w:rFonts w:ascii="Aptos Narrow" w:hAnsi="Aptos Narrow"/>
                <w:color w:val="000000"/>
              </w:rPr>
            </w:pPr>
            <w:r>
              <w:rPr>
                <w:rFonts w:ascii="Aptos Narrow" w:hAnsi="Aptos Narrow"/>
                <w:color w:val="000000"/>
              </w:rPr>
              <w:t>30 220</w:t>
            </w:r>
          </w:p>
        </w:tc>
        <w:tc>
          <w:tcPr>
            <w:tcW w:w="2154" w:type="dxa"/>
            <w:noWrap/>
            <w:vAlign w:val="center"/>
            <w:hideMark/>
          </w:tcPr>
          <w:p w14:paraId="60BBB242" w14:textId="0B18F055" w:rsidR="005262BE" w:rsidRPr="00CF1B08" w:rsidRDefault="005262BE" w:rsidP="005262BE">
            <w:pPr>
              <w:jc w:val="right"/>
              <w:rPr>
                <w:rFonts w:ascii="Aptos Narrow" w:hAnsi="Aptos Narrow"/>
                <w:color w:val="000000"/>
              </w:rPr>
            </w:pPr>
            <w:r>
              <w:rPr>
                <w:rFonts w:ascii="Aptos Narrow" w:hAnsi="Aptos Narrow"/>
                <w:color w:val="000000"/>
              </w:rPr>
              <w:t>30 987,13</w:t>
            </w:r>
          </w:p>
        </w:tc>
      </w:tr>
      <w:tr w:rsidR="005262BE" w:rsidRPr="00CF1B08" w14:paraId="1E500834" w14:textId="77777777" w:rsidTr="005262BE">
        <w:trPr>
          <w:trHeight w:val="320"/>
        </w:trPr>
        <w:tc>
          <w:tcPr>
            <w:tcW w:w="2323" w:type="dxa"/>
            <w:noWrap/>
            <w:vAlign w:val="center"/>
            <w:hideMark/>
          </w:tcPr>
          <w:p w14:paraId="26932B1C" w14:textId="77777777" w:rsidR="005262BE" w:rsidRPr="00CF1B08" w:rsidRDefault="005262BE" w:rsidP="005262BE">
            <w:pPr>
              <w:rPr>
                <w:rFonts w:ascii="Aptos Narrow" w:hAnsi="Aptos Narrow"/>
                <w:color w:val="000000"/>
              </w:rPr>
            </w:pPr>
            <w:r w:rsidRPr="00CF1B08">
              <w:rPr>
                <w:rFonts w:ascii="Aptos Narrow" w:hAnsi="Aptos Narrow"/>
                <w:color w:val="000000"/>
              </w:rPr>
              <w:t>KMZ</w:t>
            </w:r>
          </w:p>
        </w:tc>
        <w:tc>
          <w:tcPr>
            <w:tcW w:w="1303" w:type="dxa"/>
            <w:noWrap/>
            <w:vAlign w:val="center"/>
            <w:hideMark/>
          </w:tcPr>
          <w:p w14:paraId="76E98804"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3256DE5E"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499D7BEA"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39A78997"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6B562791"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2154" w:type="dxa"/>
            <w:noWrap/>
            <w:vAlign w:val="center"/>
            <w:hideMark/>
          </w:tcPr>
          <w:p w14:paraId="6338CAFA"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2154" w:type="dxa"/>
            <w:noWrap/>
            <w:vAlign w:val="center"/>
            <w:hideMark/>
          </w:tcPr>
          <w:p w14:paraId="0258A8CA" w14:textId="6C885487" w:rsidR="005262BE" w:rsidRPr="00CF1B08" w:rsidRDefault="005262BE" w:rsidP="005262BE">
            <w:pPr>
              <w:jc w:val="right"/>
              <w:rPr>
                <w:rFonts w:ascii="Aptos Narrow" w:hAnsi="Aptos Narrow"/>
                <w:color w:val="000000"/>
              </w:rPr>
            </w:pPr>
            <w:r>
              <w:rPr>
                <w:rFonts w:ascii="Aptos Narrow" w:hAnsi="Aptos Narrow"/>
                <w:color w:val="000000"/>
              </w:rPr>
              <w:t>0,00</w:t>
            </w:r>
          </w:p>
        </w:tc>
      </w:tr>
      <w:tr w:rsidR="005262BE" w:rsidRPr="00CF1B08" w14:paraId="158E15A6" w14:textId="77777777" w:rsidTr="005262BE">
        <w:trPr>
          <w:trHeight w:val="320"/>
        </w:trPr>
        <w:tc>
          <w:tcPr>
            <w:tcW w:w="2323" w:type="dxa"/>
            <w:noWrap/>
            <w:vAlign w:val="center"/>
            <w:hideMark/>
          </w:tcPr>
          <w:p w14:paraId="7F577CEB" w14:textId="77777777" w:rsidR="005262BE" w:rsidRPr="00CF1B08" w:rsidRDefault="005262BE" w:rsidP="005262BE">
            <w:pPr>
              <w:rPr>
                <w:rFonts w:ascii="Aptos Narrow" w:hAnsi="Aptos Narrow"/>
                <w:color w:val="000000"/>
              </w:rPr>
            </w:pPr>
            <w:r w:rsidRPr="00CF1B08">
              <w:rPr>
                <w:rFonts w:ascii="Aptos Narrow" w:hAnsi="Aptos Narrow"/>
                <w:color w:val="000000"/>
              </w:rPr>
              <w:t>Rektorát</w:t>
            </w:r>
          </w:p>
        </w:tc>
        <w:tc>
          <w:tcPr>
            <w:tcW w:w="1303" w:type="dxa"/>
            <w:noWrap/>
            <w:vAlign w:val="center"/>
            <w:hideMark/>
          </w:tcPr>
          <w:p w14:paraId="5A6045E5"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0180F4E8"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4B401BC2"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7575B326"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3F669DA9"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2154" w:type="dxa"/>
            <w:noWrap/>
            <w:vAlign w:val="center"/>
            <w:hideMark/>
          </w:tcPr>
          <w:p w14:paraId="5EBB229A" w14:textId="4631C10A" w:rsidR="005262BE" w:rsidRPr="00CF1B08" w:rsidRDefault="005262BE" w:rsidP="005262BE">
            <w:pPr>
              <w:jc w:val="right"/>
              <w:rPr>
                <w:rFonts w:ascii="Aptos Narrow" w:hAnsi="Aptos Narrow"/>
                <w:color w:val="000000"/>
              </w:rPr>
            </w:pPr>
            <w:r>
              <w:rPr>
                <w:rFonts w:ascii="Aptos Narrow" w:hAnsi="Aptos Narrow"/>
                <w:color w:val="000000"/>
              </w:rPr>
              <w:t>76 400</w:t>
            </w:r>
          </w:p>
        </w:tc>
        <w:tc>
          <w:tcPr>
            <w:tcW w:w="2154" w:type="dxa"/>
            <w:noWrap/>
            <w:vAlign w:val="center"/>
            <w:hideMark/>
          </w:tcPr>
          <w:p w14:paraId="34900EA1" w14:textId="699A77DD" w:rsidR="005262BE" w:rsidRPr="00CF1B08" w:rsidRDefault="005262BE" w:rsidP="005262BE">
            <w:pPr>
              <w:jc w:val="right"/>
              <w:rPr>
                <w:rFonts w:ascii="Aptos Narrow" w:hAnsi="Aptos Narrow"/>
                <w:color w:val="000000"/>
              </w:rPr>
            </w:pPr>
            <w:r>
              <w:rPr>
                <w:rFonts w:ascii="Aptos Narrow" w:hAnsi="Aptos Narrow"/>
                <w:color w:val="000000"/>
              </w:rPr>
              <w:t>76 400,00</w:t>
            </w:r>
          </w:p>
        </w:tc>
      </w:tr>
      <w:tr w:rsidR="005262BE" w:rsidRPr="00CF1B08" w14:paraId="5B1258E3" w14:textId="77777777" w:rsidTr="005262BE">
        <w:trPr>
          <w:trHeight w:val="320"/>
        </w:trPr>
        <w:tc>
          <w:tcPr>
            <w:tcW w:w="2323" w:type="dxa"/>
            <w:noWrap/>
            <w:vAlign w:val="center"/>
            <w:hideMark/>
          </w:tcPr>
          <w:p w14:paraId="06E14F02" w14:textId="77777777" w:rsidR="005262BE" w:rsidRPr="00CF1B08" w:rsidRDefault="005262BE" w:rsidP="005262BE">
            <w:pPr>
              <w:rPr>
                <w:rFonts w:ascii="Aptos Narrow" w:hAnsi="Aptos Narrow"/>
                <w:color w:val="000000"/>
              </w:rPr>
            </w:pPr>
            <w:r w:rsidRPr="00CF1B08">
              <w:rPr>
                <w:rFonts w:ascii="Aptos Narrow" w:hAnsi="Aptos Narrow"/>
                <w:color w:val="000000"/>
              </w:rPr>
              <w:t>Interní fondy</w:t>
            </w:r>
          </w:p>
        </w:tc>
        <w:tc>
          <w:tcPr>
            <w:tcW w:w="1303" w:type="dxa"/>
            <w:noWrap/>
            <w:vAlign w:val="center"/>
            <w:hideMark/>
          </w:tcPr>
          <w:p w14:paraId="0CA0C111"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4CFD2A79"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27535121"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425C2B6A"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64FA65D6"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2154" w:type="dxa"/>
            <w:noWrap/>
            <w:vAlign w:val="center"/>
            <w:hideMark/>
          </w:tcPr>
          <w:p w14:paraId="7521A4E5" w14:textId="67F9330D" w:rsidR="005262BE" w:rsidRPr="00CF1B08" w:rsidRDefault="005262BE" w:rsidP="005262BE">
            <w:pPr>
              <w:jc w:val="right"/>
              <w:rPr>
                <w:rFonts w:ascii="Aptos Narrow" w:hAnsi="Aptos Narrow"/>
                <w:color w:val="000000"/>
              </w:rPr>
            </w:pPr>
            <w:r>
              <w:rPr>
                <w:rFonts w:ascii="Aptos Narrow" w:hAnsi="Aptos Narrow"/>
                <w:color w:val="000000"/>
              </w:rPr>
              <w:t>22 796</w:t>
            </w:r>
          </w:p>
        </w:tc>
        <w:tc>
          <w:tcPr>
            <w:tcW w:w="2154" w:type="dxa"/>
            <w:noWrap/>
            <w:vAlign w:val="center"/>
            <w:hideMark/>
          </w:tcPr>
          <w:p w14:paraId="2A8568CD" w14:textId="0F2C50F5" w:rsidR="005262BE" w:rsidRPr="00CF1B08" w:rsidRDefault="005262BE" w:rsidP="005262BE">
            <w:pPr>
              <w:jc w:val="right"/>
              <w:rPr>
                <w:rFonts w:ascii="Aptos Narrow" w:hAnsi="Aptos Narrow"/>
                <w:color w:val="000000"/>
              </w:rPr>
            </w:pPr>
            <w:r>
              <w:rPr>
                <w:rFonts w:ascii="Aptos Narrow" w:hAnsi="Aptos Narrow"/>
                <w:color w:val="000000"/>
              </w:rPr>
              <w:t>22 796,25</w:t>
            </w:r>
          </w:p>
        </w:tc>
      </w:tr>
      <w:tr w:rsidR="005262BE" w:rsidRPr="00CF1B08" w14:paraId="65D00451" w14:textId="77777777" w:rsidTr="005262BE">
        <w:trPr>
          <w:trHeight w:val="320"/>
        </w:trPr>
        <w:tc>
          <w:tcPr>
            <w:tcW w:w="2323" w:type="dxa"/>
            <w:noWrap/>
            <w:vAlign w:val="center"/>
            <w:hideMark/>
          </w:tcPr>
          <w:p w14:paraId="69E8E330" w14:textId="77777777" w:rsidR="005262BE" w:rsidRPr="00CF1B08" w:rsidRDefault="005262BE" w:rsidP="005262BE">
            <w:pPr>
              <w:rPr>
                <w:rFonts w:ascii="Aptos Narrow" w:hAnsi="Aptos Narrow"/>
                <w:color w:val="000000"/>
              </w:rPr>
            </w:pPr>
            <w:r w:rsidRPr="00CF1B08">
              <w:rPr>
                <w:rFonts w:ascii="Aptos Narrow" w:hAnsi="Aptos Narrow"/>
                <w:color w:val="000000"/>
              </w:rPr>
              <w:t>Celouniverzitní zdroje</w:t>
            </w:r>
          </w:p>
        </w:tc>
        <w:tc>
          <w:tcPr>
            <w:tcW w:w="1303" w:type="dxa"/>
            <w:noWrap/>
            <w:vAlign w:val="center"/>
            <w:hideMark/>
          </w:tcPr>
          <w:p w14:paraId="2660A9C4"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50B63E00"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7A7559D7"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03049721"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1304" w:type="dxa"/>
            <w:noWrap/>
            <w:vAlign w:val="center"/>
            <w:hideMark/>
          </w:tcPr>
          <w:p w14:paraId="6226706D" w14:textId="77777777" w:rsidR="005262BE" w:rsidRPr="00CF1B08" w:rsidRDefault="005262BE" w:rsidP="005262BE">
            <w:pPr>
              <w:jc w:val="right"/>
              <w:rPr>
                <w:rFonts w:ascii="Aptos Narrow" w:hAnsi="Aptos Narrow"/>
                <w:color w:val="000000"/>
              </w:rPr>
            </w:pPr>
            <w:r w:rsidRPr="00CF1B08">
              <w:rPr>
                <w:rFonts w:ascii="Aptos Narrow" w:hAnsi="Aptos Narrow"/>
                <w:color w:val="000000"/>
              </w:rPr>
              <w:t>0</w:t>
            </w:r>
          </w:p>
        </w:tc>
        <w:tc>
          <w:tcPr>
            <w:tcW w:w="2154" w:type="dxa"/>
            <w:noWrap/>
            <w:vAlign w:val="center"/>
            <w:hideMark/>
          </w:tcPr>
          <w:p w14:paraId="77B40294" w14:textId="4D17819A" w:rsidR="005262BE" w:rsidRPr="00CF1B08" w:rsidRDefault="005262BE" w:rsidP="005262BE">
            <w:pPr>
              <w:jc w:val="right"/>
              <w:rPr>
                <w:rFonts w:ascii="Aptos Narrow" w:hAnsi="Aptos Narrow"/>
                <w:color w:val="000000"/>
              </w:rPr>
            </w:pPr>
            <w:r>
              <w:rPr>
                <w:rFonts w:ascii="Aptos Narrow" w:hAnsi="Aptos Narrow"/>
                <w:color w:val="000000"/>
              </w:rPr>
              <w:t>50 000</w:t>
            </w:r>
          </w:p>
        </w:tc>
        <w:tc>
          <w:tcPr>
            <w:tcW w:w="2154" w:type="dxa"/>
            <w:noWrap/>
            <w:vAlign w:val="center"/>
            <w:hideMark/>
          </w:tcPr>
          <w:p w14:paraId="0D0722D5" w14:textId="24A09BBA" w:rsidR="005262BE" w:rsidRPr="00CF1B08" w:rsidRDefault="005262BE" w:rsidP="005262BE">
            <w:pPr>
              <w:jc w:val="right"/>
              <w:rPr>
                <w:rFonts w:ascii="Aptos Narrow" w:hAnsi="Aptos Narrow"/>
                <w:color w:val="000000"/>
              </w:rPr>
            </w:pPr>
            <w:r>
              <w:rPr>
                <w:rFonts w:ascii="Aptos Narrow" w:hAnsi="Aptos Narrow"/>
                <w:color w:val="000000"/>
              </w:rPr>
              <w:t>50 000,00</w:t>
            </w:r>
          </w:p>
        </w:tc>
      </w:tr>
      <w:tr w:rsidR="00CF1B08" w:rsidRPr="00CF1B08" w14:paraId="398C7874" w14:textId="77777777" w:rsidTr="00CF1B08">
        <w:trPr>
          <w:trHeight w:val="340"/>
        </w:trPr>
        <w:tc>
          <w:tcPr>
            <w:tcW w:w="2323" w:type="dxa"/>
            <w:vAlign w:val="center"/>
            <w:hideMark/>
          </w:tcPr>
          <w:p w14:paraId="78428771" w14:textId="77777777" w:rsidR="00CF1B08" w:rsidRPr="00CF1B08" w:rsidRDefault="00CF1B08" w:rsidP="00CF1B08">
            <w:pPr>
              <w:rPr>
                <w:rFonts w:ascii="Aptos Narrow" w:hAnsi="Aptos Narrow"/>
                <w:b/>
                <w:bCs/>
                <w:color w:val="000000"/>
              </w:rPr>
            </w:pPr>
            <w:r w:rsidRPr="00CF1B08">
              <w:rPr>
                <w:rFonts w:ascii="Aptos Narrow" w:hAnsi="Aptos Narrow"/>
                <w:b/>
                <w:bCs/>
                <w:color w:val="000000"/>
              </w:rPr>
              <w:t>Celkem</w:t>
            </w:r>
          </w:p>
        </w:tc>
        <w:tc>
          <w:tcPr>
            <w:tcW w:w="1303" w:type="dxa"/>
            <w:noWrap/>
            <w:vAlign w:val="center"/>
            <w:hideMark/>
          </w:tcPr>
          <w:p w14:paraId="2B52E919" w14:textId="77777777" w:rsidR="00CF1B08" w:rsidRPr="00CF1B08" w:rsidRDefault="00CF1B08" w:rsidP="00CF1B08">
            <w:pPr>
              <w:jc w:val="right"/>
              <w:rPr>
                <w:rFonts w:ascii="Aptos Narrow" w:hAnsi="Aptos Narrow"/>
                <w:b/>
                <w:bCs/>
                <w:color w:val="000000"/>
              </w:rPr>
            </w:pPr>
            <w:r w:rsidRPr="00CF1B08">
              <w:rPr>
                <w:rFonts w:ascii="Aptos Narrow" w:hAnsi="Aptos Narrow"/>
                <w:b/>
                <w:bCs/>
                <w:color w:val="000000"/>
              </w:rPr>
              <w:t>815 721</w:t>
            </w:r>
          </w:p>
        </w:tc>
        <w:tc>
          <w:tcPr>
            <w:tcW w:w="1304" w:type="dxa"/>
            <w:noWrap/>
            <w:vAlign w:val="center"/>
            <w:hideMark/>
          </w:tcPr>
          <w:p w14:paraId="733F4DF2" w14:textId="77777777" w:rsidR="00CF1B08" w:rsidRPr="00CF1B08" w:rsidRDefault="00CF1B08" w:rsidP="00CF1B08">
            <w:pPr>
              <w:jc w:val="right"/>
              <w:rPr>
                <w:rFonts w:ascii="Aptos Narrow" w:hAnsi="Aptos Narrow"/>
                <w:b/>
                <w:bCs/>
                <w:color w:val="000000"/>
              </w:rPr>
            </w:pPr>
            <w:r w:rsidRPr="00CF1B08">
              <w:rPr>
                <w:rFonts w:ascii="Aptos Narrow" w:hAnsi="Aptos Narrow"/>
                <w:b/>
                <w:bCs/>
                <w:color w:val="000000"/>
              </w:rPr>
              <w:t>12 161</w:t>
            </w:r>
          </w:p>
        </w:tc>
        <w:tc>
          <w:tcPr>
            <w:tcW w:w="1304" w:type="dxa"/>
            <w:noWrap/>
            <w:vAlign w:val="center"/>
            <w:hideMark/>
          </w:tcPr>
          <w:p w14:paraId="5E9E286F" w14:textId="77777777" w:rsidR="00CF1B08" w:rsidRPr="00CF1B08" w:rsidRDefault="00CF1B08" w:rsidP="00CF1B08">
            <w:pPr>
              <w:jc w:val="right"/>
              <w:rPr>
                <w:rFonts w:ascii="Aptos Narrow" w:hAnsi="Aptos Narrow"/>
                <w:b/>
                <w:bCs/>
                <w:color w:val="000000"/>
              </w:rPr>
            </w:pPr>
            <w:r w:rsidRPr="00CF1B08">
              <w:rPr>
                <w:rFonts w:ascii="Aptos Narrow" w:hAnsi="Aptos Narrow"/>
                <w:b/>
                <w:bCs/>
                <w:color w:val="000000"/>
              </w:rPr>
              <w:t>167 434</w:t>
            </w:r>
          </w:p>
        </w:tc>
        <w:tc>
          <w:tcPr>
            <w:tcW w:w="1304" w:type="dxa"/>
            <w:noWrap/>
            <w:vAlign w:val="center"/>
            <w:hideMark/>
          </w:tcPr>
          <w:p w14:paraId="74821D56" w14:textId="77777777" w:rsidR="00CF1B08" w:rsidRPr="00CF1B08" w:rsidRDefault="00CF1B08" w:rsidP="00CF1B08">
            <w:pPr>
              <w:jc w:val="right"/>
              <w:rPr>
                <w:rFonts w:ascii="Aptos Narrow" w:hAnsi="Aptos Narrow"/>
                <w:b/>
                <w:bCs/>
                <w:color w:val="000000"/>
              </w:rPr>
            </w:pPr>
            <w:r w:rsidRPr="00CF1B08">
              <w:rPr>
                <w:rFonts w:ascii="Aptos Narrow" w:hAnsi="Aptos Narrow"/>
                <w:b/>
                <w:bCs/>
                <w:color w:val="000000"/>
              </w:rPr>
              <w:t>20 584</w:t>
            </w:r>
          </w:p>
        </w:tc>
        <w:tc>
          <w:tcPr>
            <w:tcW w:w="1304" w:type="dxa"/>
            <w:noWrap/>
            <w:vAlign w:val="center"/>
            <w:hideMark/>
          </w:tcPr>
          <w:p w14:paraId="3EAC657A" w14:textId="77777777" w:rsidR="00CF1B08" w:rsidRPr="00CF1B08" w:rsidRDefault="00CF1B08" w:rsidP="00CF1B08">
            <w:pPr>
              <w:jc w:val="right"/>
              <w:rPr>
                <w:rFonts w:ascii="Aptos Narrow" w:hAnsi="Aptos Narrow"/>
                <w:b/>
                <w:bCs/>
                <w:color w:val="000000"/>
              </w:rPr>
            </w:pPr>
            <w:r w:rsidRPr="00CF1B08">
              <w:rPr>
                <w:rFonts w:ascii="Aptos Narrow" w:hAnsi="Aptos Narrow"/>
                <w:b/>
                <w:bCs/>
                <w:color w:val="000000"/>
              </w:rPr>
              <w:t>-179 416</w:t>
            </w:r>
          </w:p>
        </w:tc>
        <w:tc>
          <w:tcPr>
            <w:tcW w:w="2154" w:type="dxa"/>
            <w:noWrap/>
            <w:vAlign w:val="center"/>
            <w:hideMark/>
          </w:tcPr>
          <w:p w14:paraId="76BDCF1C" w14:textId="77777777" w:rsidR="00CF1B08" w:rsidRPr="00CF1B08" w:rsidRDefault="00CF1B08" w:rsidP="00CF1B08">
            <w:pPr>
              <w:jc w:val="right"/>
              <w:rPr>
                <w:rFonts w:ascii="Aptos Narrow" w:hAnsi="Aptos Narrow"/>
                <w:b/>
                <w:bCs/>
                <w:color w:val="000000"/>
              </w:rPr>
            </w:pPr>
            <w:r w:rsidRPr="00CF1B08">
              <w:rPr>
                <w:rFonts w:ascii="Aptos Narrow" w:hAnsi="Aptos Narrow"/>
                <w:b/>
                <w:bCs/>
                <w:color w:val="000000"/>
              </w:rPr>
              <w:t>179 416</w:t>
            </w:r>
          </w:p>
        </w:tc>
        <w:tc>
          <w:tcPr>
            <w:tcW w:w="2154" w:type="dxa"/>
            <w:noWrap/>
            <w:vAlign w:val="center"/>
            <w:hideMark/>
          </w:tcPr>
          <w:p w14:paraId="4B8146F8" w14:textId="77777777" w:rsidR="00CF1B08" w:rsidRPr="00CF1B08" w:rsidRDefault="00CF1B08" w:rsidP="00CF1B08">
            <w:pPr>
              <w:jc w:val="right"/>
              <w:rPr>
                <w:rFonts w:ascii="Aptos Narrow" w:hAnsi="Aptos Narrow"/>
                <w:b/>
                <w:bCs/>
                <w:color w:val="000000"/>
              </w:rPr>
            </w:pPr>
            <w:r w:rsidRPr="00CF1B08">
              <w:rPr>
                <w:rFonts w:ascii="Aptos Narrow" w:hAnsi="Aptos Narrow"/>
                <w:b/>
                <w:bCs/>
                <w:color w:val="000000"/>
              </w:rPr>
              <w:t>1 015 899,68</w:t>
            </w:r>
          </w:p>
        </w:tc>
      </w:tr>
    </w:tbl>
    <w:p w14:paraId="4EC511E8" w14:textId="77777777" w:rsidR="00B47DBF" w:rsidRPr="00EC13CE" w:rsidRDefault="00B47DBF">
      <w:pPr>
        <w:rPr>
          <w:highlight w:val="yellow"/>
        </w:rPr>
      </w:pPr>
      <w:r w:rsidRPr="00EC13CE">
        <w:rPr>
          <w:highlight w:val="yellow"/>
        </w:rPr>
        <w:br w:type="page"/>
      </w:r>
    </w:p>
    <w:p w14:paraId="794CDD2D" w14:textId="77777777" w:rsidR="00B47DBF" w:rsidRPr="00EC13CE" w:rsidRDefault="00B47DBF" w:rsidP="00B47DBF">
      <w:pPr>
        <w:rPr>
          <w:highlight w:val="yellow"/>
        </w:rPr>
        <w:sectPr w:rsidR="00B47DBF" w:rsidRPr="00EC13CE" w:rsidSect="00495879">
          <w:pgSz w:w="16838" w:h="11906" w:orient="landscape"/>
          <w:pgMar w:top="1417" w:right="1417" w:bottom="1417" w:left="1417" w:header="708" w:footer="708" w:gutter="0"/>
          <w:cols w:space="708"/>
          <w:titlePg/>
          <w:docGrid w:linePitch="360"/>
        </w:sectPr>
      </w:pPr>
    </w:p>
    <w:p w14:paraId="14CDF6C5" w14:textId="756C33FA" w:rsidR="00173481" w:rsidRPr="00797AA9" w:rsidRDefault="00B47DBF" w:rsidP="00B47DBF">
      <w:pPr>
        <w:pStyle w:val="RozpocetNadpis1"/>
      </w:pPr>
      <w:bookmarkStart w:id="119" w:name="_Toc228824385"/>
      <w:r w:rsidRPr="00797AA9">
        <w:lastRenderedPageBreak/>
        <w:t>Financování akcí Stavební komise v roce 202</w:t>
      </w:r>
      <w:r w:rsidR="00BA0CA3">
        <w:t>6</w:t>
      </w:r>
      <w:bookmarkEnd w:id="119"/>
    </w:p>
    <w:tbl>
      <w:tblPr>
        <w:tblW w:w="9785" w:type="dxa"/>
        <w:tblLayout w:type="fixed"/>
        <w:tblCellMar>
          <w:left w:w="70" w:type="dxa"/>
          <w:right w:w="70" w:type="dxa"/>
        </w:tblCellMar>
        <w:tblLook w:val="04A0" w:firstRow="1" w:lastRow="0" w:firstColumn="1" w:lastColumn="0" w:noHBand="0" w:noVBand="1"/>
      </w:tblPr>
      <w:tblGrid>
        <w:gridCol w:w="554"/>
        <w:gridCol w:w="2697"/>
        <w:gridCol w:w="988"/>
        <w:gridCol w:w="990"/>
        <w:gridCol w:w="990"/>
        <w:gridCol w:w="1131"/>
        <w:gridCol w:w="1155"/>
        <w:gridCol w:w="1280"/>
      </w:tblGrid>
      <w:tr w:rsidR="00797AA9" w:rsidRPr="00BC523A" w14:paraId="4017B9FD" w14:textId="77777777" w:rsidTr="008D15DB">
        <w:trPr>
          <w:trHeight w:val="522"/>
        </w:trPr>
        <w:tc>
          <w:tcPr>
            <w:tcW w:w="554" w:type="dxa"/>
            <w:vMerge w:val="restart"/>
            <w:tcBorders>
              <w:top w:val="single" w:sz="8" w:space="0" w:color="auto"/>
              <w:left w:val="single" w:sz="8" w:space="0" w:color="auto"/>
              <w:bottom w:val="single" w:sz="8" w:space="0" w:color="000000"/>
              <w:right w:val="single" w:sz="8" w:space="0" w:color="auto"/>
            </w:tcBorders>
            <w:shd w:val="clear" w:color="000000" w:fill="F2F2F2" w:themeFill="background1" w:themeFillShade="F2"/>
            <w:vAlign w:val="center"/>
            <w:hideMark/>
          </w:tcPr>
          <w:p w14:paraId="462A9E43"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 </w:t>
            </w:r>
          </w:p>
        </w:tc>
        <w:tc>
          <w:tcPr>
            <w:tcW w:w="2697" w:type="dxa"/>
            <w:vMerge w:val="restart"/>
            <w:tcBorders>
              <w:top w:val="single" w:sz="8" w:space="0" w:color="auto"/>
              <w:left w:val="single" w:sz="8" w:space="0" w:color="auto"/>
              <w:bottom w:val="single" w:sz="8" w:space="0" w:color="000000"/>
              <w:right w:val="single" w:sz="8" w:space="0" w:color="auto"/>
            </w:tcBorders>
            <w:shd w:val="clear" w:color="000000" w:fill="F2F2F2" w:themeFill="background1" w:themeFillShade="F2"/>
            <w:vAlign w:val="center"/>
            <w:hideMark/>
          </w:tcPr>
          <w:p w14:paraId="6C06509F"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Název akce</w:t>
            </w:r>
          </w:p>
        </w:tc>
        <w:tc>
          <w:tcPr>
            <w:tcW w:w="4099" w:type="dxa"/>
            <w:gridSpan w:val="4"/>
            <w:tcBorders>
              <w:top w:val="single" w:sz="8" w:space="0" w:color="auto"/>
              <w:left w:val="nil"/>
              <w:bottom w:val="single" w:sz="8" w:space="0" w:color="auto"/>
              <w:right w:val="single" w:sz="8" w:space="0" w:color="000000"/>
            </w:tcBorders>
            <w:shd w:val="clear" w:color="000000" w:fill="F2F2F2" w:themeFill="background1" w:themeFillShade="F2"/>
            <w:noWrap/>
            <w:vAlign w:val="center"/>
            <w:hideMark/>
          </w:tcPr>
          <w:p w14:paraId="494FCD43"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Financování v tis. Kč</w:t>
            </w:r>
          </w:p>
        </w:tc>
        <w:tc>
          <w:tcPr>
            <w:tcW w:w="1155" w:type="dxa"/>
            <w:vMerge w:val="restart"/>
            <w:tcBorders>
              <w:top w:val="single" w:sz="8" w:space="0" w:color="auto"/>
              <w:left w:val="nil"/>
              <w:right w:val="single" w:sz="8" w:space="0" w:color="auto"/>
            </w:tcBorders>
            <w:shd w:val="clear" w:color="000000" w:fill="F2F2F2" w:themeFill="background1" w:themeFillShade="F2"/>
            <w:vAlign w:val="center"/>
            <w:hideMark/>
          </w:tcPr>
          <w:p w14:paraId="15825397" w14:textId="77777777" w:rsidR="00797AA9" w:rsidRPr="00BC523A" w:rsidRDefault="00797AA9" w:rsidP="008D15DB">
            <w:pPr>
              <w:ind w:left="-31"/>
              <w:jc w:val="center"/>
              <w:rPr>
                <w:b/>
                <w:bCs/>
                <w:color w:val="000000"/>
                <w:sz w:val="22"/>
                <w:szCs w:val="22"/>
                <w:lang w:eastAsia="cs-CZ"/>
              </w:rPr>
            </w:pPr>
            <w:r w:rsidRPr="00BC523A">
              <w:rPr>
                <w:b/>
                <w:bCs/>
                <w:color w:val="000000"/>
                <w:sz w:val="22"/>
                <w:szCs w:val="22"/>
                <w:lang w:eastAsia="cs-CZ"/>
              </w:rPr>
              <w:t xml:space="preserve">celkem </w:t>
            </w:r>
          </w:p>
        </w:tc>
        <w:tc>
          <w:tcPr>
            <w:tcW w:w="1280" w:type="dxa"/>
            <w:vMerge w:val="restart"/>
            <w:tcBorders>
              <w:top w:val="single" w:sz="8" w:space="0" w:color="auto"/>
              <w:left w:val="single" w:sz="8" w:space="0" w:color="auto"/>
              <w:right w:val="single" w:sz="8" w:space="0" w:color="000000"/>
            </w:tcBorders>
            <w:shd w:val="clear" w:color="000000" w:fill="F2F2F2" w:themeFill="background1" w:themeFillShade="F2"/>
            <w:vAlign w:val="center"/>
            <w:hideMark/>
          </w:tcPr>
          <w:p w14:paraId="43CD8FF0" w14:textId="77777777" w:rsidR="00797AA9" w:rsidRPr="00BC523A" w:rsidRDefault="00797AA9" w:rsidP="008D15DB">
            <w:pPr>
              <w:ind w:right="72"/>
              <w:jc w:val="center"/>
              <w:rPr>
                <w:b/>
                <w:bCs/>
                <w:color w:val="000000"/>
                <w:sz w:val="22"/>
                <w:szCs w:val="22"/>
                <w:lang w:eastAsia="cs-CZ"/>
              </w:rPr>
            </w:pPr>
            <w:r w:rsidRPr="00BC523A">
              <w:rPr>
                <w:b/>
                <w:bCs/>
                <w:color w:val="000000"/>
                <w:sz w:val="22"/>
                <w:szCs w:val="22"/>
                <w:lang w:eastAsia="cs-CZ"/>
              </w:rPr>
              <w:t xml:space="preserve">Finanční zdroje </w:t>
            </w:r>
          </w:p>
        </w:tc>
      </w:tr>
      <w:tr w:rsidR="00797AA9" w:rsidRPr="00BC523A" w14:paraId="15BCBFE3" w14:textId="77777777" w:rsidTr="008D15DB">
        <w:trPr>
          <w:trHeight w:val="49"/>
        </w:trPr>
        <w:tc>
          <w:tcPr>
            <w:tcW w:w="554" w:type="dxa"/>
            <w:vMerge/>
            <w:tcBorders>
              <w:top w:val="single" w:sz="8" w:space="0" w:color="auto"/>
              <w:left w:val="single" w:sz="8" w:space="0" w:color="auto"/>
              <w:bottom w:val="single" w:sz="8" w:space="0" w:color="000000"/>
              <w:right w:val="single" w:sz="8" w:space="0" w:color="auto"/>
            </w:tcBorders>
            <w:vAlign w:val="center"/>
            <w:hideMark/>
          </w:tcPr>
          <w:p w14:paraId="6946E38B" w14:textId="77777777" w:rsidR="00797AA9" w:rsidRPr="00BC523A" w:rsidRDefault="00797AA9" w:rsidP="008D15DB">
            <w:pPr>
              <w:rPr>
                <w:b/>
                <w:bCs/>
                <w:color w:val="000000"/>
                <w:sz w:val="22"/>
                <w:szCs w:val="22"/>
                <w:lang w:eastAsia="cs-CZ"/>
              </w:rPr>
            </w:pPr>
          </w:p>
        </w:tc>
        <w:tc>
          <w:tcPr>
            <w:tcW w:w="2697" w:type="dxa"/>
            <w:vMerge/>
            <w:tcBorders>
              <w:top w:val="single" w:sz="8" w:space="0" w:color="auto"/>
              <w:left w:val="single" w:sz="8" w:space="0" w:color="auto"/>
              <w:bottom w:val="single" w:sz="8" w:space="0" w:color="000000"/>
              <w:right w:val="single" w:sz="8" w:space="0" w:color="auto"/>
            </w:tcBorders>
            <w:vAlign w:val="center"/>
            <w:hideMark/>
          </w:tcPr>
          <w:p w14:paraId="5F943405" w14:textId="77777777" w:rsidR="00797AA9" w:rsidRPr="00BC523A" w:rsidRDefault="00797AA9" w:rsidP="008D15DB">
            <w:pPr>
              <w:rPr>
                <w:b/>
                <w:bCs/>
                <w:color w:val="000000"/>
                <w:sz w:val="22"/>
                <w:szCs w:val="22"/>
                <w:lang w:eastAsia="cs-CZ"/>
              </w:rPr>
            </w:pPr>
          </w:p>
        </w:tc>
        <w:tc>
          <w:tcPr>
            <w:tcW w:w="988" w:type="dxa"/>
            <w:tcBorders>
              <w:top w:val="nil"/>
              <w:left w:val="single" w:sz="8" w:space="0" w:color="auto"/>
              <w:bottom w:val="single" w:sz="8" w:space="0" w:color="auto"/>
              <w:right w:val="single" w:sz="8" w:space="0" w:color="auto"/>
            </w:tcBorders>
            <w:shd w:val="clear" w:color="000000" w:fill="F2F2F2"/>
            <w:vAlign w:val="center"/>
            <w:hideMark/>
          </w:tcPr>
          <w:p w14:paraId="539C8C91"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NINV   UTB</w:t>
            </w:r>
          </w:p>
        </w:tc>
        <w:tc>
          <w:tcPr>
            <w:tcW w:w="990" w:type="dxa"/>
            <w:tcBorders>
              <w:top w:val="nil"/>
              <w:left w:val="nil"/>
              <w:bottom w:val="single" w:sz="8" w:space="0" w:color="auto"/>
              <w:right w:val="single" w:sz="8" w:space="0" w:color="auto"/>
            </w:tcBorders>
            <w:shd w:val="clear" w:color="000000" w:fill="F2F2F2"/>
            <w:vAlign w:val="center"/>
            <w:hideMark/>
          </w:tcPr>
          <w:p w14:paraId="37C96DF8"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INV</w:t>
            </w:r>
          </w:p>
          <w:p w14:paraId="458C8E06"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 xml:space="preserve"> UTB</w:t>
            </w:r>
          </w:p>
        </w:tc>
        <w:tc>
          <w:tcPr>
            <w:tcW w:w="990" w:type="dxa"/>
            <w:tcBorders>
              <w:top w:val="nil"/>
              <w:left w:val="single" w:sz="8" w:space="0" w:color="auto"/>
              <w:bottom w:val="single" w:sz="8" w:space="0" w:color="auto"/>
              <w:right w:val="single" w:sz="8" w:space="0" w:color="auto"/>
            </w:tcBorders>
            <w:shd w:val="clear" w:color="000000" w:fill="F2F2F2"/>
            <w:vAlign w:val="center"/>
            <w:hideMark/>
          </w:tcPr>
          <w:p w14:paraId="3C31483C"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NINV dotační</w:t>
            </w:r>
          </w:p>
        </w:tc>
        <w:tc>
          <w:tcPr>
            <w:tcW w:w="1131" w:type="dxa"/>
            <w:tcBorders>
              <w:top w:val="nil"/>
              <w:left w:val="single" w:sz="8" w:space="0" w:color="auto"/>
              <w:bottom w:val="single" w:sz="8" w:space="0" w:color="000000"/>
              <w:right w:val="single" w:sz="8" w:space="0" w:color="auto"/>
            </w:tcBorders>
            <w:shd w:val="clear" w:color="000000" w:fill="F2F2F2"/>
            <w:vAlign w:val="center"/>
            <w:hideMark/>
          </w:tcPr>
          <w:p w14:paraId="49ACE749"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000000"/>
              <w:right w:val="single" w:sz="8" w:space="0" w:color="auto"/>
            </w:tcBorders>
            <w:vAlign w:val="center"/>
            <w:hideMark/>
          </w:tcPr>
          <w:p w14:paraId="0931ABEC" w14:textId="77777777" w:rsidR="00797AA9" w:rsidRPr="00BC523A" w:rsidRDefault="00797AA9" w:rsidP="008D15DB">
            <w:pPr>
              <w:rPr>
                <w:b/>
                <w:bCs/>
                <w:color w:val="000000"/>
                <w:sz w:val="22"/>
                <w:szCs w:val="22"/>
                <w:lang w:eastAsia="cs-CZ"/>
              </w:rPr>
            </w:pPr>
          </w:p>
        </w:tc>
        <w:tc>
          <w:tcPr>
            <w:tcW w:w="1280" w:type="dxa"/>
            <w:vMerge/>
            <w:tcBorders>
              <w:left w:val="single" w:sz="8" w:space="0" w:color="auto"/>
              <w:bottom w:val="single" w:sz="8" w:space="0" w:color="000000"/>
              <w:right w:val="single" w:sz="8" w:space="0" w:color="000000"/>
            </w:tcBorders>
            <w:vAlign w:val="center"/>
            <w:hideMark/>
          </w:tcPr>
          <w:p w14:paraId="519D2C63" w14:textId="77777777" w:rsidR="00797AA9" w:rsidRPr="00BC523A" w:rsidRDefault="00797AA9" w:rsidP="008D15DB">
            <w:pPr>
              <w:rPr>
                <w:b/>
                <w:bCs/>
                <w:color w:val="000000"/>
                <w:sz w:val="22"/>
                <w:szCs w:val="22"/>
                <w:lang w:eastAsia="cs-CZ"/>
              </w:rPr>
            </w:pPr>
          </w:p>
        </w:tc>
      </w:tr>
      <w:tr w:rsidR="00797AA9" w:rsidRPr="00BC523A" w14:paraId="75B497AB" w14:textId="77777777" w:rsidTr="008D15DB">
        <w:trPr>
          <w:trHeight w:val="700"/>
        </w:trPr>
        <w:tc>
          <w:tcPr>
            <w:tcW w:w="554" w:type="dxa"/>
            <w:tcBorders>
              <w:top w:val="nil"/>
              <w:left w:val="nil"/>
              <w:bottom w:val="nil"/>
              <w:right w:val="nil"/>
            </w:tcBorders>
            <w:noWrap/>
            <w:vAlign w:val="bottom"/>
            <w:hideMark/>
          </w:tcPr>
          <w:p w14:paraId="051A2CDA" w14:textId="77777777" w:rsidR="00797AA9" w:rsidRPr="00BC523A" w:rsidRDefault="00797AA9" w:rsidP="008D15DB">
            <w:pPr>
              <w:rPr>
                <w:b/>
                <w:bCs/>
                <w:color w:val="000000"/>
                <w:sz w:val="22"/>
                <w:szCs w:val="22"/>
                <w:lang w:eastAsia="cs-CZ"/>
              </w:rPr>
            </w:pPr>
          </w:p>
        </w:tc>
        <w:tc>
          <w:tcPr>
            <w:tcW w:w="2697" w:type="dxa"/>
            <w:tcBorders>
              <w:top w:val="nil"/>
              <w:left w:val="nil"/>
              <w:bottom w:val="nil"/>
              <w:right w:val="nil"/>
            </w:tcBorders>
            <w:vAlign w:val="bottom"/>
            <w:hideMark/>
          </w:tcPr>
          <w:p w14:paraId="58376250"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STRATEGICKÉ AKCE</w:t>
            </w:r>
          </w:p>
        </w:tc>
        <w:tc>
          <w:tcPr>
            <w:tcW w:w="988" w:type="dxa"/>
            <w:tcBorders>
              <w:top w:val="single" w:sz="8" w:space="0" w:color="auto"/>
              <w:left w:val="nil"/>
              <w:bottom w:val="nil"/>
              <w:right w:val="nil"/>
            </w:tcBorders>
            <w:noWrap/>
            <w:vAlign w:val="bottom"/>
            <w:hideMark/>
          </w:tcPr>
          <w:p w14:paraId="5FC37CF7" w14:textId="77777777" w:rsidR="00797AA9" w:rsidRPr="00BC523A" w:rsidRDefault="00797AA9" w:rsidP="008D15DB">
            <w:pPr>
              <w:rPr>
                <w:b/>
                <w:bCs/>
                <w:color w:val="000000"/>
                <w:sz w:val="22"/>
                <w:szCs w:val="22"/>
                <w:lang w:eastAsia="cs-CZ"/>
              </w:rPr>
            </w:pPr>
          </w:p>
        </w:tc>
        <w:tc>
          <w:tcPr>
            <w:tcW w:w="990" w:type="dxa"/>
            <w:tcBorders>
              <w:top w:val="single" w:sz="8" w:space="0" w:color="auto"/>
              <w:left w:val="nil"/>
              <w:bottom w:val="nil"/>
              <w:right w:val="nil"/>
            </w:tcBorders>
            <w:noWrap/>
            <w:vAlign w:val="bottom"/>
            <w:hideMark/>
          </w:tcPr>
          <w:p w14:paraId="699DEAC4" w14:textId="77777777" w:rsidR="00797AA9" w:rsidRPr="00BC523A" w:rsidRDefault="00797AA9" w:rsidP="008D15DB">
            <w:pPr>
              <w:rPr>
                <w:sz w:val="22"/>
                <w:szCs w:val="22"/>
                <w:lang w:eastAsia="cs-CZ"/>
              </w:rPr>
            </w:pPr>
          </w:p>
        </w:tc>
        <w:tc>
          <w:tcPr>
            <w:tcW w:w="990" w:type="dxa"/>
            <w:tcBorders>
              <w:top w:val="single" w:sz="8" w:space="0" w:color="auto"/>
              <w:left w:val="nil"/>
              <w:bottom w:val="nil"/>
              <w:right w:val="nil"/>
            </w:tcBorders>
            <w:noWrap/>
            <w:vAlign w:val="bottom"/>
            <w:hideMark/>
          </w:tcPr>
          <w:p w14:paraId="6A4455A4" w14:textId="77777777" w:rsidR="00797AA9" w:rsidRPr="00BC523A" w:rsidRDefault="00797AA9" w:rsidP="008D15DB">
            <w:pPr>
              <w:rPr>
                <w:sz w:val="22"/>
                <w:szCs w:val="22"/>
                <w:lang w:eastAsia="cs-CZ"/>
              </w:rPr>
            </w:pPr>
          </w:p>
        </w:tc>
        <w:tc>
          <w:tcPr>
            <w:tcW w:w="1131" w:type="dxa"/>
            <w:tcBorders>
              <w:top w:val="nil"/>
              <w:left w:val="nil"/>
              <w:bottom w:val="nil"/>
              <w:right w:val="nil"/>
            </w:tcBorders>
            <w:noWrap/>
            <w:vAlign w:val="bottom"/>
            <w:hideMark/>
          </w:tcPr>
          <w:p w14:paraId="5A9658C2" w14:textId="77777777" w:rsidR="00797AA9" w:rsidRPr="00BC523A" w:rsidRDefault="00797AA9" w:rsidP="008D15DB">
            <w:pPr>
              <w:rPr>
                <w:sz w:val="22"/>
                <w:szCs w:val="22"/>
                <w:lang w:eastAsia="cs-CZ"/>
              </w:rPr>
            </w:pPr>
          </w:p>
        </w:tc>
        <w:tc>
          <w:tcPr>
            <w:tcW w:w="1155" w:type="dxa"/>
            <w:tcBorders>
              <w:top w:val="nil"/>
              <w:left w:val="nil"/>
              <w:bottom w:val="nil"/>
              <w:right w:val="nil"/>
            </w:tcBorders>
            <w:noWrap/>
            <w:vAlign w:val="bottom"/>
            <w:hideMark/>
          </w:tcPr>
          <w:p w14:paraId="54D7DEB2" w14:textId="77777777" w:rsidR="00797AA9" w:rsidRPr="00BC523A" w:rsidRDefault="00797AA9" w:rsidP="008D15DB">
            <w:pPr>
              <w:rPr>
                <w:sz w:val="22"/>
                <w:szCs w:val="22"/>
                <w:lang w:eastAsia="cs-CZ"/>
              </w:rPr>
            </w:pPr>
          </w:p>
        </w:tc>
        <w:tc>
          <w:tcPr>
            <w:tcW w:w="1280" w:type="dxa"/>
            <w:tcBorders>
              <w:top w:val="single" w:sz="8" w:space="0" w:color="000000"/>
              <w:left w:val="nil"/>
              <w:bottom w:val="single" w:sz="8" w:space="0" w:color="auto"/>
              <w:right w:val="nil"/>
            </w:tcBorders>
            <w:noWrap/>
            <w:vAlign w:val="bottom"/>
            <w:hideMark/>
          </w:tcPr>
          <w:p w14:paraId="788732CB" w14:textId="77777777" w:rsidR="00797AA9" w:rsidRPr="00BC523A" w:rsidRDefault="00797AA9" w:rsidP="008D15DB">
            <w:pPr>
              <w:rPr>
                <w:color w:val="000000"/>
                <w:sz w:val="22"/>
                <w:szCs w:val="22"/>
                <w:lang w:eastAsia="cs-CZ"/>
              </w:rPr>
            </w:pPr>
            <w:r w:rsidRPr="00BC523A">
              <w:rPr>
                <w:color w:val="000000"/>
                <w:sz w:val="22"/>
                <w:szCs w:val="22"/>
                <w:lang w:eastAsia="cs-CZ"/>
              </w:rPr>
              <w:t> </w:t>
            </w:r>
          </w:p>
        </w:tc>
      </w:tr>
      <w:tr w:rsidR="00797AA9" w:rsidRPr="00BC523A" w14:paraId="6D74B78D" w14:textId="77777777" w:rsidTr="008D15DB">
        <w:trPr>
          <w:trHeight w:val="519"/>
        </w:trPr>
        <w:tc>
          <w:tcPr>
            <w:tcW w:w="554" w:type="dxa"/>
            <w:vMerge w:val="restart"/>
            <w:tcBorders>
              <w:top w:val="single" w:sz="8" w:space="0" w:color="auto"/>
              <w:left w:val="single" w:sz="8" w:space="0" w:color="auto"/>
              <w:bottom w:val="single" w:sz="8" w:space="0" w:color="000000"/>
              <w:right w:val="single" w:sz="8" w:space="0" w:color="auto"/>
            </w:tcBorders>
            <w:vAlign w:val="center"/>
            <w:hideMark/>
          </w:tcPr>
          <w:p w14:paraId="2C2B79FA" w14:textId="77777777" w:rsidR="00797AA9" w:rsidRPr="00BC523A" w:rsidRDefault="00797AA9" w:rsidP="008D15DB">
            <w:pPr>
              <w:jc w:val="center"/>
              <w:rPr>
                <w:color w:val="000000"/>
                <w:sz w:val="22"/>
                <w:szCs w:val="22"/>
                <w:lang w:eastAsia="cs-CZ"/>
              </w:rPr>
            </w:pPr>
            <w:r w:rsidRPr="00BC523A">
              <w:rPr>
                <w:color w:val="000000"/>
                <w:sz w:val="22"/>
                <w:szCs w:val="22"/>
                <w:lang w:eastAsia="cs-CZ"/>
              </w:rPr>
              <w:t>01.</w:t>
            </w:r>
          </w:p>
        </w:tc>
        <w:tc>
          <w:tcPr>
            <w:tcW w:w="2697" w:type="dxa"/>
            <w:vMerge w:val="restart"/>
            <w:tcBorders>
              <w:top w:val="single" w:sz="8" w:space="0" w:color="auto"/>
              <w:left w:val="single" w:sz="8" w:space="0" w:color="auto"/>
              <w:bottom w:val="single" w:sz="8" w:space="0" w:color="000000"/>
              <w:right w:val="single" w:sz="8" w:space="0" w:color="auto"/>
            </w:tcBorders>
            <w:vAlign w:val="center"/>
            <w:hideMark/>
          </w:tcPr>
          <w:p w14:paraId="1AF3333B" w14:textId="77777777" w:rsidR="00797AA9" w:rsidRPr="00BC523A" w:rsidRDefault="00797AA9" w:rsidP="008D15DB">
            <w:pPr>
              <w:rPr>
                <w:color w:val="000000"/>
                <w:sz w:val="22"/>
                <w:szCs w:val="22"/>
                <w:lang w:eastAsia="cs-CZ"/>
              </w:rPr>
            </w:pPr>
            <w:r w:rsidRPr="00BC523A">
              <w:rPr>
                <w:color w:val="000000"/>
                <w:sz w:val="22"/>
                <w:szCs w:val="22"/>
                <w:lang w:eastAsia="cs-CZ"/>
              </w:rPr>
              <w:t>Novostavba objektu U1</w:t>
            </w:r>
          </w:p>
        </w:tc>
        <w:tc>
          <w:tcPr>
            <w:tcW w:w="988" w:type="dxa"/>
            <w:tcBorders>
              <w:top w:val="single" w:sz="8" w:space="0" w:color="auto"/>
              <w:left w:val="nil"/>
              <w:bottom w:val="single" w:sz="8" w:space="0" w:color="auto"/>
              <w:right w:val="single" w:sz="8" w:space="0" w:color="auto"/>
            </w:tcBorders>
            <w:vAlign w:val="center"/>
            <w:hideMark/>
          </w:tcPr>
          <w:p w14:paraId="7F0115E1" w14:textId="77777777" w:rsidR="00797AA9" w:rsidRPr="00BC523A" w:rsidRDefault="00797AA9" w:rsidP="008D15DB">
            <w:pPr>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hideMark/>
          </w:tcPr>
          <w:p w14:paraId="67B14276" w14:textId="77777777" w:rsidR="00797AA9" w:rsidRPr="00BC523A" w:rsidRDefault="00797AA9" w:rsidP="008D15DB">
            <w:pPr>
              <w:jc w:val="right"/>
              <w:rPr>
                <w:color w:val="000000"/>
                <w:sz w:val="22"/>
                <w:szCs w:val="22"/>
                <w:lang w:eastAsia="cs-CZ"/>
              </w:rPr>
            </w:pPr>
            <w:r w:rsidRPr="00BC523A">
              <w:rPr>
                <w:rFonts w:cstheme="minorHAnsi"/>
                <w:color w:val="000000"/>
                <w:sz w:val="22"/>
                <w:szCs w:val="22"/>
                <w:lang w:eastAsia="cs-CZ"/>
              </w:rPr>
              <w:t>125 000</w:t>
            </w:r>
          </w:p>
        </w:tc>
        <w:tc>
          <w:tcPr>
            <w:tcW w:w="990" w:type="dxa"/>
            <w:tcBorders>
              <w:top w:val="single" w:sz="8" w:space="0" w:color="auto"/>
              <w:left w:val="nil"/>
              <w:bottom w:val="single" w:sz="8" w:space="0" w:color="auto"/>
              <w:right w:val="single" w:sz="8" w:space="0" w:color="auto"/>
            </w:tcBorders>
            <w:vAlign w:val="center"/>
            <w:hideMark/>
          </w:tcPr>
          <w:p w14:paraId="164F8E19" w14:textId="77777777" w:rsidR="00797AA9" w:rsidRPr="00BC523A" w:rsidRDefault="00797AA9" w:rsidP="008D15DB">
            <w:pPr>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nil"/>
            </w:tcBorders>
            <w:vAlign w:val="center"/>
            <w:hideMark/>
          </w:tcPr>
          <w:p w14:paraId="050B17C6" w14:textId="77777777" w:rsidR="00797AA9" w:rsidRPr="00BC523A" w:rsidRDefault="00797AA9" w:rsidP="008D15DB">
            <w:pPr>
              <w:jc w:val="right"/>
              <w:rPr>
                <w:color w:val="000000"/>
                <w:sz w:val="22"/>
                <w:szCs w:val="22"/>
                <w:lang w:eastAsia="cs-CZ"/>
              </w:rPr>
            </w:pPr>
            <w:r w:rsidRPr="00BC523A">
              <w:rPr>
                <w:rFonts w:cstheme="minorHAnsi"/>
                <w:color w:val="000000"/>
                <w:sz w:val="22"/>
                <w:szCs w:val="22"/>
                <w:lang w:eastAsia="cs-CZ"/>
              </w:rPr>
              <w:t>305 844</w:t>
            </w:r>
          </w:p>
        </w:tc>
        <w:tc>
          <w:tcPr>
            <w:tcW w:w="1155" w:type="dxa"/>
            <w:tcBorders>
              <w:top w:val="single" w:sz="8" w:space="0" w:color="auto"/>
              <w:left w:val="single" w:sz="8" w:space="0" w:color="auto"/>
              <w:bottom w:val="single" w:sz="8" w:space="0" w:color="auto"/>
              <w:right w:val="single" w:sz="8" w:space="0" w:color="auto"/>
            </w:tcBorders>
            <w:vAlign w:val="center"/>
            <w:hideMark/>
          </w:tcPr>
          <w:p w14:paraId="159BAD5F" w14:textId="77777777" w:rsidR="00797AA9" w:rsidRPr="00BC523A" w:rsidRDefault="00797AA9" w:rsidP="008D15DB">
            <w:pPr>
              <w:jc w:val="right"/>
              <w:rPr>
                <w:color w:val="000000"/>
                <w:sz w:val="22"/>
                <w:szCs w:val="22"/>
                <w:lang w:eastAsia="cs-CZ"/>
              </w:rPr>
            </w:pPr>
            <w:r w:rsidRPr="00BC523A">
              <w:rPr>
                <w:rFonts w:cstheme="minorHAnsi"/>
                <w:color w:val="000000"/>
                <w:sz w:val="22"/>
                <w:szCs w:val="22"/>
                <w:lang w:eastAsia="cs-CZ"/>
              </w:rPr>
              <w:t>430 844</w:t>
            </w:r>
          </w:p>
        </w:tc>
        <w:tc>
          <w:tcPr>
            <w:tcW w:w="1280" w:type="dxa"/>
            <w:tcBorders>
              <w:top w:val="single" w:sz="8" w:space="0" w:color="auto"/>
              <w:left w:val="nil"/>
              <w:bottom w:val="single" w:sz="8" w:space="0" w:color="auto"/>
              <w:right w:val="single" w:sz="8" w:space="0" w:color="000000"/>
            </w:tcBorders>
            <w:vAlign w:val="center"/>
            <w:hideMark/>
          </w:tcPr>
          <w:p w14:paraId="1056CFF6" w14:textId="77777777" w:rsidR="00797AA9" w:rsidRPr="00BC523A" w:rsidRDefault="00797AA9" w:rsidP="008D15DB">
            <w:pPr>
              <w:jc w:val="center"/>
              <w:rPr>
                <w:color w:val="000000"/>
                <w:sz w:val="22"/>
                <w:szCs w:val="22"/>
                <w:lang w:eastAsia="cs-CZ"/>
              </w:rPr>
            </w:pPr>
            <w:r w:rsidRPr="00BC523A">
              <w:rPr>
                <w:rFonts w:cstheme="minorHAnsi"/>
                <w:color w:val="000000"/>
                <w:sz w:val="22"/>
                <w:szCs w:val="22"/>
                <w:lang w:eastAsia="cs-CZ"/>
              </w:rPr>
              <w:t>SK</w:t>
            </w:r>
          </w:p>
        </w:tc>
      </w:tr>
      <w:tr w:rsidR="00797AA9" w:rsidRPr="00BC523A" w14:paraId="5FE3372D" w14:textId="77777777" w:rsidTr="008D15DB">
        <w:trPr>
          <w:trHeight w:val="541"/>
        </w:trPr>
        <w:tc>
          <w:tcPr>
            <w:tcW w:w="554" w:type="dxa"/>
            <w:vMerge/>
            <w:tcBorders>
              <w:top w:val="single" w:sz="8" w:space="0" w:color="auto"/>
              <w:left w:val="single" w:sz="8" w:space="0" w:color="auto"/>
              <w:bottom w:val="single" w:sz="8" w:space="0" w:color="000000"/>
              <w:right w:val="single" w:sz="8" w:space="0" w:color="auto"/>
            </w:tcBorders>
            <w:vAlign w:val="center"/>
          </w:tcPr>
          <w:p w14:paraId="31B29C5A" w14:textId="77777777" w:rsidR="00797AA9" w:rsidRPr="00BC523A" w:rsidRDefault="00797AA9" w:rsidP="008D15DB">
            <w:pPr>
              <w:jc w:val="center"/>
              <w:rPr>
                <w:color w:val="000000"/>
                <w:sz w:val="22"/>
                <w:szCs w:val="22"/>
                <w:lang w:eastAsia="cs-CZ"/>
              </w:rPr>
            </w:pPr>
          </w:p>
        </w:tc>
        <w:tc>
          <w:tcPr>
            <w:tcW w:w="2697" w:type="dxa"/>
            <w:vMerge/>
            <w:tcBorders>
              <w:top w:val="single" w:sz="8" w:space="0" w:color="auto"/>
              <w:left w:val="single" w:sz="8" w:space="0" w:color="auto"/>
              <w:bottom w:val="single" w:sz="8" w:space="0" w:color="000000"/>
              <w:right w:val="single" w:sz="8" w:space="0" w:color="auto"/>
            </w:tcBorders>
            <w:vAlign w:val="center"/>
          </w:tcPr>
          <w:p w14:paraId="2C24F366"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209A6D91" w14:textId="77777777" w:rsidR="00797AA9" w:rsidRPr="00BC523A" w:rsidRDefault="00797AA9" w:rsidP="008D15DB">
            <w:pPr>
              <w:jc w:val="right"/>
              <w:rPr>
                <w:color w:val="000000"/>
                <w:sz w:val="22"/>
                <w:szCs w:val="22"/>
                <w:lang w:eastAsia="cs-CZ"/>
              </w:rPr>
            </w:pPr>
            <w:r w:rsidRPr="00BC523A">
              <w:rPr>
                <w:rFonts w:cstheme="minorHAnsi"/>
                <w:color w:val="000000"/>
                <w:sz w:val="22"/>
                <w:szCs w:val="22"/>
                <w:lang w:eastAsia="cs-CZ"/>
              </w:rPr>
              <w:t>619</w:t>
            </w:r>
          </w:p>
        </w:tc>
        <w:tc>
          <w:tcPr>
            <w:tcW w:w="990" w:type="dxa"/>
            <w:tcBorders>
              <w:top w:val="single" w:sz="8" w:space="0" w:color="auto"/>
              <w:left w:val="nil"/>
              <w:bottom w:val="single" w:sz="8" w:space="0" w:color="auto"/>
              <w:right w:val="single" w:sz="8" w:space="0" w:color="auto"/>
            </w:tcBorders>
            <w:vAlign w:val="center"/>
          </w:tcPr>
          <w:p w14:paraId="5F6A2186" w14:textId="77777777" w:rsidR="00797AA9" w:rsidRPr="00BC523A" w:rsidRDefault="00797AA9" w:rsidP="008D15DB">
            <w:pPr>
              <w:jc w:val="right"/>
              <w:rPr>
                <w:rFonts w:cstheme="minorHAnsi"/>
                <w:color w:val="000000"/>
                <w:sz w:val="22"/>
                <w:szCs w:val="22"/>
                <w:lang w:eastAsia="cs-CZ"/>
              </w:rPr>
            </w:pPr>
            <w:r w:rsidRPr="00BC523A">
              <w:rPr>
                <w:rFonts w:cstheme="minorHAnsi"/>
                <w:color w:val="000000"/>
                <w:sz w:val="22"/>
                <w:szCs w:val="22"/>
                <w:lang w:eastAsia="cs-CZ"/>
              </w:rPr>
              <w:t>3 934</w:t>
            </w:r>
          </w:p>
        </w:tc>
        <w:tc>
          <w:tcPr>
            <w:tcW w:w="990" w:type="dxa"/>
            <w:tcBorders>
              <w:top w:val="single" w:sz="8" w:space="0" w:color="auto"/>
              <w:left w:val="nil"/>
              <w:bottom w:val="single" w:sz="8" w:space="0" w:color="auto"/>
              <w:right w:val="single" w:sz="8" w:space="0" w:color="auto"/>
            </w:tcBorders>
            <w:vAlign w:val="center"/>
          </w:tcPr>
          <w:p w14:paraId="05950752" w14:textId="77777777" w:rsidR="00797AA9" w:rsidRPr="00BC523A" w:rsidRDefault="00797AA9" w:rsidP="008D15DB">
            <w:pPr>
              <w:jc w:val="right"/>
              <w:rPr>
                <w:color w:val="000000"/>
                <w:sz w:val="22"/>
                <w:szCs w:val="22"/>
                <w:lang w:eastAsia="cs-CZ"/>
              </w:rPr>
            </w:pPr>
            <w:r w:rsidRPr="00BC523A">
              <w:rPr>
                <w:rFonts w:cstheme="minorHAnsi"/>
                <w:color w:val="000000"/>
                <w:sz w:val="22"/>
                <w:szCs w:val="22"/>
                <w:lang w:eastAsia="cs-CZ"/>
              </w:rPr>
              <w:t> </w:t>
            </w:r>
          </w:p>
        </w:tc>
        <w:tc>
          <w:tcPr>
            <w:tcW w:w="1131" w:type="dxa"/>
            <w:tcBorders>
              <w:top w:val="single" w:sz="8" w:space="0" w:color="auto"/>
              <w:left w:val="nil"/>
              <w:bottom w:val="single" w:sz="8" w:space="0" w:color="auto"/>
              <w:right w:val="nil"/>
            </w:tcBorders>
            <w:vAlign w:val="center"/>
          </w:tcPr>
          <w:p w14:paraId="41468F02" w14:textId="77777777" w:rsidR="00797AA9" w:rsidRPr="00BC523A" w:rsidRDefault="00797AA9" w:rsidP="008D15DB">
            <w:pPr>
              <w:jc w:val="right"/>
              <w:rPr>
                <w:rFonts w:cstheme="minorHAnsi"/>
                <w:color w:val="000000"/>
                <w:sz w:val="22"/>
                <w:szCs w:val="22"/>
                <w:lang w:eastAsia="cs-CZ"/>
              </w:rPr>
            </w:pPr>
            <w:r w:rsidRPr="00BC523A">
              <w:rPr>
                <w:rFonts w:cstheme="minorHAnsi"/>
                <w:color w:val="000000"/>
                <w:sz w:val="22"/>
                <w:szCs w:val="22"/>
                <w:lang w:eastAsia="cs-CZ"/>
              </w:rPr>
              <w:t> </w:t>
            </w:r>
          </w:p>
        </w:tc>
        <w:tc>
          <w:tcPr>
            <w:tcW w:w="1155" w:type="dxa"/>
            <w:tcBorders>
              <w:top w:val="single" w:sz="8" w:space="0" w:color="auto"/>
              <w:left w:val="single" w:sz="8" w:space="0" w:color="auto"/>
              <w:bottom w:val="single" w:sz="8" w:space="0" w:color="auto"/>
              <w:right w:val="single" w:sz="8" w:space="0" w:color="auto"/>
            </w:tcBorders>
            <w:vAlign w:val="center"/>
          </w:tcPr>
          <w:p w14:paraId="4AE91EBC" w14:textId="77777777" w:rsidR="00797AA9" w:rsidRPr="00BC523A" w:rsidRDefault="00797AA9" w:rsidP="008D15DB">
            <w:pPr>
              <w:jc w:val="right"/>
              <w:rPr>
                <w:rFonts w:cstheme="minorHAnsi"/>
                <w:color w:val="000000"/>
                <w:sz w:val="22"/>
                <w:szCs w:val="22"/>
                <w:lang w:eastAsia="cs-CZ"/>
              </w:rPr>
            </w:pPr>
            <w:r w:rsidRPr="00BC523A">
              <w:rPr>
                <w:rFonts w:cstheme="minorHAnsi"/>
                <w:color w:val="000000"/>
                <w:sz w:val="22"/>
                <w:szCs w:val="22"/>
                <w:lang w:eastAsia="cs-CZ"/>
              </w:rPr>
              <w:t>4 553</w:t>
            </w:r>
          </w:p>
        </w:tc>
        <w:tc>
          <w:tcPr>
            <w:tcW w:w="1280" w:type="dxa"/>
            <w:tcBorders>
              <w:top w:val="single" w:sz="8" w:space="0" w:color="auto"/>
              <w:left w:val="nil"/>
              <w:bottom w:val="single" w:sz="8" w:space="0" w:color="auto"/>
              <w:right w:val="single" w:sz="8" w:space="0" w:color="000000"/>
            </w:tcBorders>
            <w:vAlign w:val="center"/>
          </w:tcPr>
          <w:p w14:paraId="6C4CF86C" w14:textId="77777777" w:rsidR="00797AA9" w:rsidRPr="00BC523A" w:rsidRDefault="00797AA9" w:rsidP="008D15DB">
            <w:pPr>
              <w:jc w:val="center"/>
              <w:rPr>
                <w:rFonts w:cstheme="minorHAnsi"/>
                <w:color w:val="000000"/>
                <w:sz w:val="22"/>
                <w:szCs w:val="22"/>
                <w:lang w:eastAsia="cs-CZ"/>
              </w:rPr>
            </w:pPr>
            <w:r w:rsidRPr="00BC523A">
              <w:rPr>
                <w:rFonts w:cstheme="minorHAnsi"/>
                <w:color w:val="000000"/>
                <w:sz w:val="22"/>
                <w:szCs w:val="22"/>
                <w:lang w:eastAsia="cs-CZ"/>
              </w:rPr>
              <w:t>FT</w:t>
            </w:r>
          </w:p>
        </w:tc>
      </w:tr>
      <w:tr w:rsidR="00797AA9" w:rsidRPr="00BC523A" w14:paraId="6B68A61A" w14:textId="77777777" w:rsidTr="008D15DB">
        <w:trPr>
          <w:trHeight w:val="757"/>
        </w:trPr>
        <w:tc>
          <w:tcPr>
            <w:tcW w:w="554" w:type="dxa"/>
            <w:tcBorders>
              <w:top w:val="nil"/>
              <w:left w:val="nil"/>
              <w:bottom w:val="single" w:sz="8" w:space="0" w:color="auto"/>
              <w:right w:val="nil"/>
            </w:tcBorders>
            <w:noWrap/>
            <w:vAlign w:val="bottom"/>
            <w:hideMark/>
          </w:tcPr>
          <w:p w14:paraId="2AC8A16D" w14:textId="77777777" w:rsidR="00797AA9" w:rsidRPr="00BC523A" w:rsidRDefault="00797AA9" w:rsidP="008D15D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6DE59189"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PRIORITNÍ AKCE</w:t>
            </w:r>
          </w:p>
        </w:tc>
        <w:tc>
          <w:tcPr>
            <w:tcW w:w="988" w:type="dxa"/>
            <w:tcBorders>
              <w:top w:val="nil"/>
              <w:left w:val="nil"/>
              <w:bottom w:val="single" w:sz="8" w:space="0" w:color="auto"/>
              <w:right w:val="nil"/>
            </w:tcBorders>
            <w:noWrap/>
            <w:vAlign w:val="bottom"/>
            <w:hideMark/>
          </w:tcPr>
          <w:p w14:paraId="1B0D24CA"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62492223"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2AAF80DE" w14:textId="77777777" w:rsidR="00797AA9" w:rsidRPr="00BC523A" w:rsidRDefault="00797AA9" w:rsidP="008D15D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29EF8A8F" w14:textId="77777777" w:rsidR="00797AA9" w:rsidRPr="00BC523A" w:rsidRDefault="00797AA9" w:rsidP="008D15D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65A3557B" w14:textId="77777777" w:rsidR="00797AA9" w:rsidRPr="00BC523A" w:rsidRDefault="00797AA9" w:rsidP="008D15D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46133F1A"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 </w:t>
            </w:r>
          </w:p>
        </w:tc>
      </w:tr>
      <w:tr w:rsidR="00797AA9" w:rsidRPr="00BC523A" w14:paraId="214D537E"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8B93599"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21.</w:t>
            </w:r>
          </w:p>
        </w:tc>
        <w:tc>
          <w:tcPr>
            <w:tcW w:w="2697" w:type="dxa"/>
            <w:tcBorders>
              <w:top w:val="single" w:sz="8" w:space="0" w:color="auto"/>
              <w:left w:val="single" w:sz="8" w:space="0" w:color="auto"/>
              <w:bottom w:val="single" w:sz="8" w:space="0" w:color="000000"/>
              <w:right w:val="single" w:sz="8" w:space="0" w:color="auto"/>
            </w:tcBorders>
            <w:vAlign w:val="center"/>
          </w:tcPr>
          <w:p w14:paraId="6449F5B0" w14:textId="77777777" w:rsidR="00797AA9" w:rsidRPr="00BC523A" w:rsidRDefault="00797AA9" w:rsidP="008D15DB">
            <w:pPr>
              <w:rPr>
                <w:color w:val="000000"/>
                <w:sz w:val="22"/>
                <w:szCs w:val="22"/>
                <w:lang w:eastAsia="cs-CZ"/>
              </w:rPr>
            </w:pPr>
            <w:r w:rsidRPr="00BC523A">
              <w:rPr>
                <w:color w:val="000000"/>
                <w:sz w:val="22"/>
                <w:szCs w:val="22"/>
                <w:lang w:eastAsia="cs-CZ"/>
              </w:rPr>
              <w:t>Stavební práce v rámci projektů ERDF</w:t>
            </w:r>
          </w:p>
        </w:tc>
        <w:tc>
          <w:tcPr>
            <w:tcW w:w="988" w:type="dxa"/>
            <w:tcBorders>
              <w:top w:val="single" w:sz="8" w:space="0" w:color="auto"/>
              <w:left w:val="nil"/>
              <w:bottom w:val="single" w:sz="8" w:space="0" w:color="auto"/>
              <w:right w:val="single" w:sz="8" w:space="0" w:color="auto"/>
            </w:tcBorders>
            <w:vAlign w:val="center"/>
          </w:tcPr>
          <w:p w14:paraId="0463493E" w14:textId="77777777" w:rsidR="00797AA9" w:rsidRPr="00BC523A" w:rsidRDefault="00797AA9" w:rsidP="008D15DB">
            <w:pPr>
              <w:jc w:val="right"/>
              <w:rPr>
                <w:color w:val="000000"/>
                <w:sz w:val="22"/>
                <w:szCs w:val="22"/>
                <w:lang w:eastAsia="cs-CZ"/>
              </w:rPr>
            </w:pPr>
            <w:r w:rsidRPr="00BC523A">
              <w:rPr>
                <w:color w:val="000000"/>
                <w:sz w:val="22"/>
                <w:szCs w:val="22"/>
                <w:lang w:eastAsia="cs-CZ"/>
              </w:rPr>
              <w:t>19</w:t>
            </w:r>
          </w:p>
        </w:tc>
        <w:tc>
          <w:tcPr>
            <w:tcW w:w="990" w:type="dxa"/>
            <w:tcBorders>
              <w:top w:val="single" w:sz="8" w:space="0" w:color="auto"/>
              <w:left w:val="nil"/>
              <w:bottom w:val="single" w:sz="8" w:space="0" w:color="auto"/>
              <w:right w:val="single" w:sz="8" w:space="0" w:color="auto"/>
            </w:tcBorders>
            <w:vAlign w:val="center"/>
          </w:tcPr>
          <w:p w14:paraId="6FFD7D01" w14:textId="77777777" w:rsidR="00797AA9" w:rsidRPr="00BC523A" w:rsidRDefault="00797AA9" w:rsidP="008D15DB">
            <w:pPr>
              <w:jc w:val="right"/>
              <w:rPr>
                <w:color w:val="000000"/>
                <w:sz w:val="22"/>
                <w:szCs w:val="22"/>
                <w:lang w:eastAsia="cs-CZ"/>
              </w:rPr>
            </w:pPr>
            <w:r w:rsidRPr="00BC523A">
              <w:rPr>
                <w:color w:val="000000"/>
                <w:sz w:val="22"/>
                <w:szCs w:val="22"/>
                <w:lang w:eastAsia="cs-CZ"/>
              </w:rPr>
              <w:t>885</w:t>
            </w:r>
          </w:p>
        </w:tc>
        <w:tc>
          <w:tcPr>
            <w:tcW w:w="990" w:type="dxa"/>
            <w:tcBorders>
              <w:top w:val="single" w:sz="8" w:space="0" w:color="auto"/>
              <w:left w:val="nil"/>
              <w:bottom w:val="single" w:sz="8" w:space="0" w:color="auto"/>
              <w:right w:val="single" w:sz="8" w:space="0" w:color="auto"/>
            </w:tcBorders>
            <w:vAlign w:val="center"/>
          </w:tcPr>
          <w:p w14:paraId="6AB17304" w14:textId="77777777" w:rsidR="00797AA9" w:rsidRPr="00BC523A" w:rsidRDefault="00797AA9" w:rsidP="008D15DB">
            <w:pPr>
              <w:jc w:val="right"/>
              <w:rPr>
                <w:color w:val="000000"/>
                <w:sz w:val="22"/>
                <w:szCs w:val="22"/>
                <w:lang w:eastAsia="cs-CZ"/>
              </w:rPr>
            </w:pPr>
            <w:r w:rsidRPr="00BC523A">
              <w:rPr>
                <w:color w:val="000000"/>
                <w:sz w:val="22"/>
                <w:szCs w:val="22"/>
                <w:lang w:eastAsia="cs-CZ"/>
              </w:rPr>
              <w:t>352</w:t>
            </w:r>
          </w:p>
        </w:tc>
        <w:tc>
          <w:tcPr>
            <w:tcW w:w="1131" w:type="dxa"/>
            <w:tcBorders>
              <w:top w:val="single" w:sz="8" w:space="0" w:color="auto"/>
              <w:left w:val="nil"/>
              <w:bottom w:val="single" w:sz="8" w:space="0" w:color="auto"/>
              <w:right w:val="single" w:sz="8" w:space="0" w:color="auto"/>
            </w:tcBorders>
            <w:vAlign w:val="center"/>
          </w:tcPr>
          <w:p w14:paraId="3496509F" w14:textId="77777777" w:rsidR="00797AA9" w:rsidRPr="00BC523A" w:rsidRDefault="00797AA9" w:rsidP="008D15DB">
            <w:pPr>
              <w:jc w:val="right"/>
              <w:rPr>
                <w:color w:val="000000"/>
                <w:sz w:val="22"/>
                <w:szCs w:val="22"/>
                <w:lang w:eastAsia="cs-CZ"/>
              </w:rPr>
            </w:pPr>
            <w:r w:rsidRPr="00BC523A">
              <w:rPr>
                <w:color w:val="000000"/>
                <w:sz w:val="22"/>
                <w:szCs w:val="22"/>
                <w:lang w:eastAsia="cs-CZ"/>
              </w:rPr>
              <w:t>16 818</w:t>
            </w:r>
          </w:p>
        </w:tc>
        <w:tc>
          <w:tcPr>
            <w:tcW w:w="1155" w:type="dxa"/>
            <w:tcBorders>
              <w:top w:val="single" w:sz="8" w:space="0" w:color="auto"/>
              <w:left w:val="nil"/>
              <w:bottom w:val="single" w:sz="8" w:space="0" w:color="auto"/>
              <w:right w:val="single" w:sz="8" w:space="0" w:color="auto"/>
            </w:tcBorders>
            <w:vAlign w:val="center"/>
          </w:tcPr>
          <w:p w14:paraId="059FBA62" w14:textId="77777777" w:rsidR="00797AA9" w:rsidRPr="00BC523A" w:rsidRDefault="00797AA9" w:rsidP="008D15DB">
            <w:pPr>
              <w:jc w:val="right"/>
              <w:rPr>
                <w:color w:val="000000"/>
                <w:sz w:val="22"/>
                <w:szCs w:val="22"/>
                <w:lang w:eastAsia="cs-CZ"/>
              </w:rPr>
            </w:pPr>
            <w:r w:rsidRPr="00BC523A">
              <w:rPr>
                <w:color w:val="000000"/>
                <w:sz w:val="22"/>
                <w:szCs w:val="22"/>
                <w:lang w:eastAsia="cs-CZ"/>
              </w:rPr>
              <w:t>18 074</w:t>
            </w:r>
          </w:p>
        </w:tc>
        <w:tc>
          <w:tcPr>
            <w:tcW w:w="1280" w:type="dxa"/>
            <w:tcBorders>
              <w:top w:val="single" w:sz="8" w:space="0" w:color="auto"/>
              <w:left w:val="nil"/>
              <w:bottom w:val="single" w:sz="8" w:space="0" w:color="auto"/>
              <w:right w:val="single" w:sz="8" w:space="0" w:color="000000"/>
            </w:tcBorders>
            <w:vAlign w:val="center"/>
          </w:tcPr>
          <w:p w14:paraId="5BBDF42D"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xml:space="preserve">SK </w:t>
            </w:r>
          </w:p>
        </w:tc>
      </w:tr>
      <w:tr w:rsidR="00797AA9" w:rsidRPr="00BC523A" w14:paraId="46A69FF7" w14:textId="77777777" w:rsidTr="008D15DB">
        <w:trPr>
          <w:trHeight w:val="521"/>
        </w:trPr>
        <w:tc>
          <w:tcPr>
            <w:tcW w:w="554" w:type="dxa"/>
            <w:vMerge w:val="restart"/>
            <w:tcBorders>
              <w:top w:val="single" w:sz="8" w:space="0" w:color="auto"/>
              <w:left w:val="single" w:sz="8" w:space="0" w:color="auto"/>
              <w:right w:val="single" w:sz="8" w:space="0" w:color="auto"/>
            </w:tcBorders>
            <w:vAlign w:val="center"/>
          </w:tcPr>
          <w:p w14:paraId="2E88C6E4"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22.</w:t>
            </w:r>
          </w:p>
        </w:tc>
        <w:tc>
          <w:tcPr>
            <w:tcW w:w="2697" w:type="dxa"/>
            <w:vMerge w:val="restart"/>
            <w:tcBorders>
              <w:top w:val="single" w:sz="8" w:space="0" w:color="auto"/>
              <w:left w:val="single" w:sz="8" w:space="0" w:color="auto"/>
              <w:right w:val="single" w:sz="8" w:space="0" w:color="auto"/>
            </w:tcBorders>
            <w:vAlign w:val="center"/>
          </w:tcPr>
          <w:p w14:paraId="5042E28F" w14:textId="77777777" w:rsidR="00797AA9" w:rsidRPr="00BC523A" w:rsidRDefault="00797AA9" w:rsidP="008D15DB">
            <w:pPr>
              <w:rPr>
                <w:color w:val="000000"/>
                <w:sz w:val="22"/>
                <w:szCs w:val="22"/>
                <w:lang w:eastAsia="cs-CZ"/>
              </w:rPr>
            </w:pPr>
            <w:r w:rsidRPr="00BC523A">
              <w:rPr>
                <w:color w:val="000000"/>
                <w:sz w:val="22"/>
                <w:szCs w:val="22"/>
                <w:lang w:eastAsia="cs-CZ"/>
              </w:rPr>
              <w:t>Dodávky v rámci projektů ERDF</w:t>
            </w:r>
          </w:p>
        </w:tc>
        <w:tc>
          <w:tcPr>
            <w:tcW w:w="988" w:type="dxa"/>
            <w:tcBorders>
              <w:top w:val="single" w:sz="8" w:space="0" w:color="auto"/>
              <w:left w:val="nil"/>
              <w:bottom w:val="single" w:sz="8" w:space="0" w:color="auto"/>
              <w:right w:val="single" w:sz="8" w:space="0" w:color="auto"/>
            </w:tcBorders>
            <w:vAlign w:val="center"/>
          </w:tcPr>
          <w:p w14:paraId="30FA5799" w14:textId="77777777" w:rsidR="00797AA9" w:rsidRPr="00BC523A" w:rsidRDefault="00797AA9" w:rsidP="008D15DB">
            <w:pPr>
              <w:jc w:val="right"/>
              <w:rPr>
                <w:color w:val="000000"/>
                <w:sz w:val="22"/>
                <w:szCs w:val="22"/>
                <w:lang w:eastAsia="cs-CZ"/>
              </w:rPr>
            </w:pPr>
            <w:r w:rsidRPr="00BC523A">
              <w:rPr>
                <w:color w:val="000000"/>
                <w:sz w:val="22"/>
                <w:szCs w:val="22"/>
                <w:lang w:eastAsia="cs-CZ"/>
              </w:rPr>
              <w:t>20</w:t>
            </w:r>
          </w:p>
        </w:tc>
        <w:tc>
          <w:tcPr>
            <w:tcW w:w="990" w:type="dxa"/>
            <w:tcBorders>
              <w:top w:val="single" w:sz="8" w:space="0" w:color="auto"/>
              <w:left w:val="nil"/>
              <w:bottom w:val="single" w:sz="8" w:space="0" w:color="auto"/>
              <w:right w:val="single" w:sz="8" w:space="0" w:color="auto"/>
            </w:tcBorders>
            <w:vAlign w:val="center"/>
          </w:tcPr>
          <w:p w14:paraId="0EFF65A5" w14:textId="77777777" w:rsidR="00797AA9" w:rsidRPr="00BC523A" w:rsidRDefault="00797AA9" w:rsidP="008D15DB">
            <w:pPr>
              <w:jc w:val="right"/>
              <w:rPr>
                <w:color w:val="000000"/>
                <w:sz w:val="22"/>
                <w:szCs w:val="22"/>
                <w:lang w:eastAsia="cs-CZ"/>
              </w:rPr>
            </w:pPr>
            <w:r w:rsidRPr="00BC523A">
              <w:rPr>
                <w:color w:val="000000"/>
                <w:sz w:val="22"/>
                <w:szCs w:val="22"/>
                <w:lang w:eastAsia="cs-CZ"/>
              </w:rPr>
              <w:t>412</w:t>
            </w:r>
          </w:p>
        </w:tc>
        <w:tc>
          <w:tcPr>
            <w:tcW w:w="990" w:type="dxa"/>
            <w:tcBorders>
              <w:top w:val="single" w:sz="8" w:space="0" w:color="auto"/>
              <w:left w:val="nil"/>
              <w:bottom w:val="single" w:sz="8" w:space="0" w:color="auto"/>
              <w:right w:val="single" w:sz="8" w:space="0" w:color="auto"/>
            </w:tcBorders>
            <w:vAlign w:val="center"/>
          </w:tcPr>
          <w:p w14:paraId="76EB3558" w14:textId="77777777" w:rsidR="00797AA9" w:rsidRPr="00BC523A" w:rsidRDefault="00797AA9" w:rsidP="008D15DB">
            <w:pPr>
              <w:jc w:val="right"/>
              <w:rPr>
                <w:color w:val="000000"/>
                <w:sz w:val="22"/>
                <w:szCs w:val="22"/>
                <w:lang w:eastAsia="cs-CZ"/>
              </w:rPr>
            </w:pPr>
            <w:r w:rsidRPr="00BC523A">
              <w:rPr>
                <w:color w:val="000000"/>
                <w:sz w:val="22"/>
                <w:szCs w:val="22"/>
                <w:lang w:eastAsia="cs-CZ"/>
              </w:rPr>
              <w:t>381</w:t>
            </w:r>
          </w:p>
        </w:tc>
        <w:tc>
          <w:tcPr>
            <w:tcW w:w="1131" w:type="dxa"/>
            <w:tcBorders>
              <w:top w:val="single" w:sz="8" w:space="0" w:color="auto"/>
              <w:left w:val="nil"/>
              <w:bottom w:val="single" w:sz="8" w:space="0" w:color="auto"/>
              <w:right w:val="single" w:sz="8" w:space="0" w:color="auto"/>
            </w:tcBorders>
            <w:vAlign w:val="center"/>
          </w:tcPr>
          <w:p w14:paraId="386A58F8" w14:textId="77777777" w:rsidR="00797AA9" w:rsidRPr="00BC523A" w:rsidRDefault="00797AA9" w:rsidP="008D15DB">
            <w:pPr>
              <w:jc w:val="right"/>
              <w:rPr>
                <w:color w:val="000000"/>
                <w:sz w:val="22"/>
                <w:szCs w:val="22"/>
                <w:lang w:eastAsia="cs-CZ"/>
              </w:rPr>
            </w:pPr>
            <w:r w:rsidRPr="00BC523A">
              <w:rPr>
                <w:color w:val="000000"/>
                <w:sz w:val="22"/>
                <w:szCs w:val="22"/>
                <w:lang w:eastAsia="cs-CZ"/>
              </w:rPr>
              <w:t>4 977</w:t>
            </w:r>
          </w:p>
        </w:tc>
        <w:tc>
          <w:tcPr>
            <w:tcW w:w="1155" w:type="dxa"/>
            <w:tcBorders>
              <w:top w:val="single" w:sz="8" w:space="0" w:color="auto"/>
              <w:left w:val="nil"/>
              <w:bottom w:val="single" w:sz="8" w:space="0" w:color="auto"/>
              <w:right w:val="single" w:sz="8" w:space="0" w:color="auto"/>
            </w:tcBorders>
            <w:vAlign w:val="center"/>
          </w:tcPr>
          <w:p w14:paraId="62E4006D" w14:textId="77777777" w:rsidR="00797AA9" w:rsidRPr="00BC523A" w:rsidRDefault="00797AA9" w:rsidP="008D15DB">
            <w:pPr>
              <w:jc w:val="right"/>
              <w:rPr>
                <w:color w:val="000000"/>
                <w:sz w:val="22"/>
                <w:szCs w:val="22"/>
                <w:lang w:eastAsia="cs-CZ"/>
              </w:rPr>
            </w:pPr>
            <w:r w:rsidRPr="00BC523A">
              <w:rPr>
                <w:color w:val="000000"/>
                <w:sz w:val="22"/>
                <w:szCs w:val="22"/>
                <w:lang w:eastAsia="cs-CZ"/>
              </w:rPr>
              <w:t>5 790</w:t>
            </w:r>
          </w:p>
        </w:tc>
        <w:tc>
          <w:tcPr>
            <w:tcW w:w="1280" w:type="dxa"/>
            <w:tcBorders>
              <w:top w:val="single" w:sz="8" w:space="0" w:color="auto"/>
              <w:left w:val="nil"/>
              <w:bottom w:val="single" w:sz="8" w:space="0" w:color="auto"/>
              <w:right w:val="single" w:sz="8" w:space="0" w:color="000000"/>
            </w:tcBorders>
            <w:vAlign w:val="center"/>
          </w:tcPr>
          <w:p w14:paraId="5FF149BC"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xml:space="preserve">SK </w:t>
            </w:r>
          </w:p>
        </w:tc>
      </w:tr>
      <w:tr w:rsidR="00797AA9" w:rsidRPr="00BC523A" w14:paraId="1A3D5C79" w14:textId="77777777" w:rsidTr="008D15DB">
        <w:trPr>
          <w:trHeight w:val="544"/>
        </w:trPr>
        <w:tc>
          <w:tcPr>
            <w:tcW w:w="554" w:type="dxa"/>
            <w:vMerge/>
            <w:tcBorders>
              <w:left w:val="single" w:sz="8" w:space="0" w:color="auto"/>
              <w:bottom w:val="single" w:sz="8" w:space="0" w:color="000000"/>
              <w:right w:val="single" w:sz="8" w:space="0" w:color="auto"/>
            </w:tcBorders>
            <w:vAlign w:val="center"/>
          </w:tcPr>
          <w:p w14:paraId="0153AB70"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01E49FF6"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3AD963A8" w14:textId="77777777" w:rsidR="00797AA9" w:rsidRPr="00BC523A" w:rsidRDefault="00797AA9" w:rsidP="008D15DB">
            <w:pPr>
              <w:jc w:val="right"/>
              <w:rPr>
                <w:color w:val="000000"/>
                <w:sz w:val="22"/>
                <w:szCs w:val="22"/>
                <w:lang w:eastAsia="cs-CZ"/>
              </w:rPr>
            </w:pPr>
            <w:r w:rsidRPr="00BC523A">
              <w:rPr>
                <w:color w:val="000000"/>
                <w:sz w:val="22"/>
                <w:szCs w:val="22"/>
                <w:lang w:eastAsia="cs-CZ"/>
              </w:rPr>
              <w:t>875</w:t>
            </w:r>
          </w:p>
        </w:tc>
        <w:tc>
          <w:tcPr>
            <w:tcW w:w="990" w:type="dxa"/>
            <w:tcBorders>
              <w:top w:val="single" w:sz="8" w:space="0" w:color="auto"/>
              <w:left w:val="nil"/>
              <w:bottom w:val="single" w:sz="8" w:space="0" w:color="auto"/>
              <w:right w:val="single" w:sz="8" w:space="0" w:color="auto"/>
            </w:tcBorders>
            <w:vAlign w:val="center"/>
          </w:tcPr>
          <w:p w14:paraId="40D0E75A"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1 576</w:t>
            </w:r>
          </w:p>
        </w:tc>
        <w:tc>
          <w:tcPr>
            <w:tcW w:w="990" w:type="dxa"/>
            <w:tcBorders>
              <w:top w:val="single" w:sz="8" w:space="0" w:color="auto"/>
              <w:left w:val="nil"/>
              <w:bottom w:val="single" w:sz="8" w:space="0" w:color="auto"/>
              <w:right w:val="single" w:sz="8" w:space="0" w:color="auto"/>
            </w:tcBorders>
            <w:vAlign w:val="center"/>
          </w:tcPr>
          <w:p w14:paraId="29484595" w14:textId="77777777" w:rsidR="00797AA9" w:rsidRPr="00BC523A" w:rsidRDefault="00797AA9" w:rsidP="008D15DB">
            <w:pPr>
              <w:jc w:val="right"/>
              <w:rPr>
                <w:color w:val="000000"/>
                <w:sz w:val="22"/>
                <w:szCs w:val="22"/>
                <w:lang w:eastAsia="cs-CZ"/>
              </w:rPr>
            </w:pPr>
            <w:r w:rsidRPr="00BC523A">
              <w:rPr>
                <w:color w:val="000000"/>
                <w:sz w:val="22"/>
                <w:szCs w:val="22"/>
                <w:lang w:eastAsia="cs-CZ"/>
              </w:rPr>
              <w:t>16 628</w:t>
            </w:r>
          </w:p>
        </w:tc>
        <w:tc>
          <w:tcPr>
            <w:tcW w:w="1131" w:type="dxa"/>
            <w:tcBorders>
              <w:top w:val="single" w:sz="8" w:space="0" w:color="auto"/>
              <w:left w:val="nil"/>
              <w:bottom w:val="single" w:sz="8" w:space="0" w:color="auto"/>
              <w:right w:val="single" w:sz="8" w:space="0" w:color="auto"/>
            </w:tcBorders>
            <w:vAlign w:val="center"/>
          </w:tcPr>
          <w:p w14:paraId="54A22F75" w14:textId="77777777" w:rsidR="00797AA9" w:rsidRPr="00BC523A" w:rsidRDefault="00797AA9" w:rsidP="008D15DB">
            <w:pPr>
              <w:jc w:val="right"/>
              <w:rPr>
                <w:color w:val="000000"/>
                <w:sz w:val="22"/>
                <w:szCs w:val="22"/>
                <w:lang w:eastAsia="cs-CZ"/>
              </w:rPr>
            </w:pPr>
            <w:r w:rsidRPr="00BC523A">
              <w:rPr>
                <w:color w:val="000000"/>
                <w:sz w:val="22"/>
                <w:szCs w:val="22"/>
                <w:lang w:eastAsia="cs-CZ"/>
              </w:rPr>
              <w:t>29 936</w:t>
            </w:r>
          </w:p>
        </w:tc>
        <w:tc>
          <w:tcPr>
            <w:tcW w:w="1155" w:type="dxa"/>
            <w:tcBorders>
              <w:top w:val="single" w:sz="8" w:space="0" w:color="auto"/>
              <w:left w:val="nil"/>
              <w:bottom w:val="single" w:sz="8" w:space="0" w:color="auto"/>
              <w:right w:val="single" w:sz="8" w:space="0" w:color="auto"/>
            </w:tcBorders>
            <w:vAlign w:val="center"/>
          </w:tcPr>
          <w:p w14:paraId="6D037C89" w14:textId="77777777" w:rsidR="00797AA9" w:rsidRPr="00BC523A" w:rsidRDefault="00797AA9" w:rsidP="008D15DB">
            <w:pPr>
              <w:jc w:val="right"/>
              <w:rPr>
                <w:color w:val="000000"/>
                <w:sz w:val="22"/>
                <w:szCs w:val="22"/>
                <w:lang w:eastAsia="cs-CZ"/>
              </w:rPr>
            </w:pPr>
            <w:r w:rsidRPr="00BC523A">
              <w:rPr>
                <w:color w:val="000000"/>
                <w:sz w:val="22"/>
                <w:szCs w:val="22"/>
                <w:lang w:eastAsia="cs-CZ"/>
              </w:rPr>
              <w:t>49 015</w:t>
            </w:r>
          </w:p>
        </w:tc>
        <w:tc>
          <w:tcPr>
            <w:tcW w:w="1280" w:type="dxa"/>
            <w:tcBorders>
              <w:top w:val="single" w:sz="8" w:space="0" w:color="auto"/>
              <w:left w:val="nil"/>
              <w:bottom w:val="single" w:sz="8" w:space="0" w:color="auto"/>
              <w:right w:val="single" w:sz="8" w:space="0" w:color="000000"/>
            </w:tcBorders>
            <w:vAlign w:val="center"/>
          </w:tcPr>
          <w:p w14:paraId="39CD763A"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FT</w:t>
            </w:r>
          </w:p>
        </w:tc>
      </w:tr>
      <w:tr w:rsidR="00797AA9" w:rsidRPr="00BC523A" w14:paraId="45A14F87"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F1159C9"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23.</w:t>
            </w:r>
          </w:p>
        </w:tc>
        <w:tc>
          <w:tcPr>
            <w:tcW w:w="2697" w:type="dxa"/>
            <w:tcBorders>
              <w:top w:val="single" w:sz="8" w:space="0" w:color="auto"/>
              <w:left w:val="single" w:sz="8" w:space="0" w:color="auto"/>
              <w:bottom w:val="single" w:sz="8" w:space="0" w:color="000000"/>
              <w:right w:val="single" w:sz="8" w:space="0" w:color="auto"/>
            </w:tcBorders>
            <w:vAlign w:val="center"/>
          </w:tcPr>
          <w:p w14:paraId="17AE46F8" w14:textId="77777777" w:rsidR="00797AA9" w:rsidRPr="00BC523A" w:rsidRDefault="00797AA9" w:rsidP="008D15DB">
            <w:pPr>
              <w:rPr>
                <w:color w:val="000000"/>
                <w:sz w:val="22"/>
                <w:szCs w:val="22"/>
                <w:lang w:eastAsia="cs-CZ"/>
              </w:rPr>
            </w:pPr>
            <w:r w:rsidRPr="00BC523A">
              <w:rPr>
                <w:color w:val="000000"/>
                <w:sz w:val="22"/>
                <w:szCs w:val="22"/>
                <w:lang w:eastAsia="cs-CZ"/>
              </w:rPr>
              <w:t>Rekonstrukce a modernizace objektu U2</w:t>
            </w:r>
          </w:p>
        </w:tc>
        <w:tc>
          <w:tcPr>
            <w:tcW w:w="988" w:type="dxa"/>
            <w:tcBorders>
              <w:top w:val="single" w:sz="8" w:space="0" w:color="auto"/>
              <w:left w:val="nil"/>
              <w:bottom w:val="single" w:sz="8" w:space="0" w:color="auto"/>
              <w:right w:val="single" w:sz="8" w:space="0" w:color="auto"/>
            </w:tcBorders>
            <w:vAlign w:val="center"/>
          </w:tcPr>
          <w:p w14:paraId="13E54E7F" w14:textId="77777777" w:rsidR="00797AA9" w:rsidRPr="00BC523A" w:rsidRDefault="00797AA9" w:rsidP="008D15DB">
            <w:pPr>
              <w:jc w:val="right"/>
              <w:rPr>
                <w:color w:val="000000"/>
                <w:sz w:val="22"/>
                <w:szCs w:val="22"/>
                <w:lang w:eastAsia="cs-CZ"/>
              </w:rPr>
            </w:pPr>
            <w:r w:rsidRPr="00BC523A">
              <w:rPr>
                <w:color w:val="000000"/>
                <w:sz w:val="22"/>
                <w:szCs w:val="22"/>
                <w:lang w:eastAsia="cs-CZ"/>
              </w:rPr>
              <w:t>249</w:t>
            </w:r>
          </w:p>
        </w:tc>
        <w:tc>
          <w:tcPr>
            <w:tcW w:w="990" w:type="dxa"/>
            <w:tcBorders>
              <w:top w:val="single" w:sz="8" w:space="0" w:color="auto"/>
              <w:left w:val="nil"/>
              <w:bottom w:val="single" w:sz="8" w:space="0" w:color="auto"/>
              <w:right w:val="single" w:sz="8" w:space="0" w:color="auto"/>
            </w:tcBorders>
            <w:vAlign w:val="center"/>
          </w:tcPr>
          <w:p w14:paraId="5F010CAA"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3 122</w:t>
            </w:r>
          </w:p>
        </w:tc>
        <w:tc>
          <w:tcPr>
            <w:tcW w:w="990" w:type="dxa"/>
            <w:tcBorders>
              <w:top w:val="single" w:sz="8" w:space="0" w:color="auto"/>
              <w:left w:val="nil"/>
              <w:bottom w:val="single" w:sz="8" w:space="0" w:color="auto"/>
              <w:right w:val="single" w:sz="8" w:space="0" w:color="auto"/>
            </w:tcBorders>
            <w:vAlign w:val="center"/>
          </w:tcPr>
          <w:p w14:paraId="464FCE3E"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7EA7FD5B"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DAF8E4A"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3 370</w:t>
            </w:r>
          </w:p>
        </w:tc>
        <w:tc>
          <w:tcPr>
            <w:tcW w:w="1280" w:type="dxa"/>
            <w:tcBorders>
              <w:top w:val="single" w:sz="8" w:space="0" w:color="auto"/>
              <w:left w:val="nil"/>
              <w:bottom w:val="single" w:sz="8" w:space="0" w:color="auto"/>
              <w:right w:val="single" w:sz="8" w:space="0" w:color="000000"/>
            </w:tcBorders>
            <w:vAlign w:val="center"/>
          </w:tcPr>
          <w:p w14:paraId="22F25486"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0C73359B"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5874C662"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24.</w:t>
            </w:r>
          </w:p>
        </w:tc>
        <w:tc>
          <w:tcPr>
            <w:tcW w:w="2697" w:type="dxa"/>
            <w:tcBorders>
              <w:top w:val="single" w:sz="8" w:space="0" w:color="auto"/>
              <w:left w:val="single" w:sz="8" w:space="0" w:color="auto"/>
              <w:bottom w:val="single" w:sz="8" w:space="0" w:color="000000"/>
              <w:right w:val="single" w:sz="8" w:space="0" w:color="auto"/>
            </w:tcBorders>
            <w:vAlign w:val="center"/>
          </w:tcPr>
          <w:p w14:paraId="12EB7D5D" w14:textId="77777777" w:rsidR="00797AA9" w:rsidRPr="00BC523A" w:rsidRDefault="00797AA9" w:rsidP="008D15DB">
            <w:pPr>
              <w:rPr>
                <w:color w:val="000000"/>
                <w:sz w:val="22"/>
                <w:szCs w:val="22"/>
                <w:lang w:eastAsia="cs-CZ"/>
              </w:rPr>
            </w:pPr>
            <w:r w:rsidRPr="00BC523A">
              <w:rPr>
                <w:color w:val="000000"/>
                <w:sz w:val="22"/>
                <w:szCs w:val="22"/>
                <w:lang w:eastAsia="cs-CZ"/>
              </w:rPr>
              <w:t>Multifunkční sportovní hala U55</w:t>
            </w:r>
          </w:p>
        </w:tc>
        <w:tc>
          <w:tcPr>
            <w:tcW w:w="988" w:type="dxa"/>
            <w:tcBorders>
              <w:top w:val="single" w:sz="8" w:space="0" w:color="auto"/>
              <w:left w:val="nil"/>
              <w:bottom w:val="single" w:sz="8" w:space="0" w:color="auto"/>
              <w:right w:val="single" w:sz="8" w:space="0" w:color="auto"/>
            </w:tcBorders>
            <w:vAlign w:val="center"/>
          </w:tcPr>
          <w:p w14:paraId="6F351181"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61ED6EF5" w14:textId="77777777" w:rsidR="00797AA9" w:rsidRPr="00BC523A" w:rsidRDefault="00797AA9" w:rsidP="008D15DB">
            <w:pPr>
              <w:jc w:val="right"/>
              <w:rPr>
                <w:color w:val="000000"/>
                <w:sz w:val="22"/>
                <w:szCs w:val="22"/>
                <w:lang w:eastAsia="cs-CZ"/>
              </w:rPr>
            </w:pPr>
            <w:r w:rsidRPr="00BC523A">
              <w:rPr>
                <w:color w:val="000000"/>
                <w:sz w:val="22"/>
                <w:szCs w:val="22"/>
                <w:lang w:eastAsia="cs-CZ"/>
              </w:rPr>
              <w:t>4 418</w:t>
            </w:r>
          </w:p>
        </w:tc>
        <w:tc>
          <w:tcPr>
            <w:tcW w:w="990" w:type="dxa"/>
            <w:tcBorders>
              <w:top w:val="single" w:sz="8" w:space="0" w:color="auto"/>
              <w:left w:val="nil"/>
              <w:bottom w:val="single" w:sz="8" w:space="0" w:color="auto"/>
              <w:right w:val="single" w:sz="8" w:space="0" w:color="auto"/>
            </w:tcBorders>
            <w:vAlign w:val="center"/>
          </w:tcPr>
          <w:p w14:paraId="6CC698D3"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19E1BF1B"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46D2A3B" w14:textId="77777777" w:rsidR="00797AA9" w:rsidRPr="00BC523A" w:rsidRDefault="00797AA9" w:rsidP="008D15DB">
            <w:pPr>
              <w:jc w:val="right"/>
              <w:rPr>
                <w:color w:val="000000"/>
                <w:sz w:val="22"/>
                <w:szCs w:val="22"/>
                <w:lang w:eastAsia="cs-CZ"/>
              </w:rPr>
            </w:pPr>
            <w:r w:rsidRPr="00BC523A">
              <w:rPr>
                <w:color w:val="000000"/>
                <w:sz w:val="22"/>
                <w:szCs w:val="22"/>
                <w:lang w:eastAsia="cs-CZ"/>
              </w:rPr>
              <w:t>4 418</w:t>
            </w:r>
          </w:p>
        </w:tc>
        <w:tc>
          <w:tcPr>
            <w:tcW w:w="1280" w:type="dxa"/>
            <w:tcBorders>
              <w:top w:val="single" w:sz="8" w:space="0" w:color="auto"/>
              <w:left w:val="nil"/>
              <w:bottom w:val="single" w:sz="8" w:space="0" w:color="auto"/>
              <w:right w:val="single" w:sz="8" w:space="0" w:color="000000"/>
            </w:tcBorders>
            <w:vAlign w:val="center"/>
          </w:tcPr>
          <w:p w14:paraId="6AF9CE7B"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xml:space="preserve">SK </w:t>
            </w:r>
          </w:p>
        </w:tc>
      </w:tr>
      <w:tr w:rsidR="00797AA9" w:rsidRPr="00BC523A" w14:paraId="63879433"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ADC2498"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25.</w:t>
            </w:r>
          </w:p>
        </w:tc>
        <w:tc>
          <w:tcPr>
            <w:tcW w:w="2697" w:type="dxa"/>
            <w:tcBorders>
              <w:top w:val="single" w:sz="8" w:space="0" w:color="auto"/>
              <w:left w:val="single" w:sz="8" w:space="0" w:color="auto"/>
              <w:bottom w:val="single" w:sz="8" w:space="0" w:color="000000"/>
              <w:right w:val="single" w:sz="8" w:space="0" w:color="auto"/>
            </w:tcBorders>
            <w:vAlign w:val="center"/>
          </w:tcPr>
          <w:p w14:paraId="2A74B848" w14:textId="77777777" w:rsidR="00797AA9" w:rsidRPr="00BC523A" w:rsidRDefault="00797AA9" w:rsidP="008D15DB">
            <w:pPr>
              <w:rPr>
                <w:color w:val="000000"/>
                <w:sz w:val="22"/>
                <w:szCs w:val="22"/>
                <w:lang w:eastAsia="cs-CZ"/>
              </w:rPr>
            </w:pPr>
            <w:r w:rsidRPr="00BC523A">
              <w:rPr>
                <w:color w:val="000000"/>
                <w:sz w:val="22"/>
                <w:szCs w:val="22"/>
                <w:lang w:eastAsia="cs-CZ"/>
              </w:rPr>
              <w:t>Univerzitní studentský klub Garni</w:t>
            </w:r>
          </w:p>
        </w:tc>
        <w:tc>
          <w:tcPr>
            <w:tcW w:w="988" w:type="dxa"/>
            <w:tcBorders>
              <w:top w:val="single" w:sz="8" w:space="0" w:color="auto"/>
              <w:left w:val="nil"/>
              <w:bottom w:val="single" w:sz="8" w:space="0" w:color="auto"/>
              <w:right w:val="single" w:sz="8" w:space="0" w:color="auto"/>
            </w:tcBorders>
            <w:vAlign w:val="center"/>
          </w:tcPr>
          <w:p w14:paraId="5ACE6C8F" w14:textId="77777777" w:rsidR="00797AA9" w:rsidRPr="00BC523A" w:rsidRDefault="00797AA9" w:rsidP="008D15DB">
            <w:pPr>
              <w:jc w:val="right"/>
              <w:rPr>
                <w:color w:val="000000"/>
                <w:sz w:val="22"/>
                <w:szCs w:val="22"/>
                <w:lang w:eastAsia="cs-CZ"/>
              </w:rPr>
            </w:pPr>
            <w:r w:rsidRPr="00BC523A">
              <w:rPr>
                <w:color w:val="000000"/>
                <w:sz w:val="22"/>
                <w:szCs w:val="22"/>
                <w:lang w:eastAsia="cs-CZ"/>
              </w:rPr>
              <w:t>500</w:t>
            </w:r>
          </w:p>
        </w:tc>
        <w:tc>
          <w:tcPr>
            <w:tcW w:w="990" w:type="dxa"/>
            <w:tcBorders>
              <w:top w:val="single" w:sz="8" w:space="0" w:color="auto"/>
              <w:left w:val="nil"/>
              <w:bottom w:val="single" w:sz="8" w:space="0" w:color="auto"/>
              <w:right w:val="single" w:sz="8" w:space="0" w:color="auto"/>
            </w:tcBorders>
            <w:vAlign w:val="center"/>
          </w:tcPr>
          <w:p w14:paraId="3C2791F3" w14:textId="77777777" w:rsidR="00797AA9" w:rsidRPr="00BC523A" w:rsidRDefault="00797AA9" w:rsidP="008D15DB">
            <w:pPr>
              <w:jc w:val="right"/>
              <w:rPr>
                <w:color w:val="000000"/>
                <w:sz w:val="22"/>
                <w:szCs w:val="22"/>
                <w:lang w:eastAsia="cs-CZ"/>
              </w:rPr>
            </w:pPr>
            <w:r w:rsidRPr="00BC523A">
              <w:rPr>
                <w:color w:val="000000"/>
                <w:sz w:val="22"/>
                <w:szCs w:val="22"/>
                <w:lang w:eastAsia="cs-CZ"/>
              </w:rPr>
              <w:t>9 551</w:t>
            </w:r>
          </w:p>
        </w:tc>
        <w:tc>
          <w:tcPr>
            <w:tcW w:w="990" w:type="dxa"/>
            <w:tcBorders>
              <w:top w:val="single" w:sz="8" w:space="0" w:color="auto"/>
              <w:left w:val="nil"/>
              <w:bottom w:val="single" w:sz="8" w:space="0" w:color="auto"/>
              <w:right w:val="single" w:sz="8" w:space="0" w:color="auto"/>
            </w:tcBorders>
            <w:vAlign w:val="center"/>
          </w:tcPr>
          <w:p w14:paraId="5516F59C"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CD955CF"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68BDD4DE" w14:textId="77777777" w:rsidR="00797AA9" w:rsidRPr="00BC523A" w:rsidRDefault="00797AA9" w:rsidP="008D15DB">
            <w:pPr>
              <w:jc w:val="right"/>
              <w:rPr>
                <w:color w:val="000000"/>
                <w:sz w:val="22"/>
                <w:szCs w:val="22"/>
                <w:lang w:eastAsia="cs-CZ"/>
              </w:rPr>
            </w:pPr>
            <w:r w:rsidRPr="00BC523A">
              <w:rPr>
                <w:color w:val="000000"/>
                <w:sz w:val="22"/>
                <w:szCs w:val="22"/>
                <w:lang w:eastAsia="cs-CZ"/>
              </w:rPr>
              <w:t>10 051</w:t>
            </w:r>
          </w:p>
        </w:tc>
        <w:tc>
          <w:tcPr>
            <w:tcW w:w="1280" w:type="dxa"/>
            <w:tcBorders>
              <w:top w:val="single" w:sz="8" w:space="0" w:color="auto"/>
              <w:left w:val="nil"/>
              <w:bottom w:val="single" w:sz="8" w:space="0" w:color="auto"/>
              <w:right w:val="single" w:sz="8" w:space="0" w:color="000000"/>
            </w:tcBorders>
            <w:vAlign w:val="center"/>
          </w:tcPr>
          <w:p w14:paraId="559C2D6D"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xml:space="preserve">SK </w:t>
            </w:r>
          </w:p>
        </w:tc>
      </w:tr>
      <w:tr w:rsidR="00797AA9" w:rsidRPr="00BC523A" w14:paraId="5EEADA00" w14:textId="77777777" w:rsidTr="008D15DB">
        <w:trPr>
          <w:trHeight w:val="565"/>
        </w:trPr>
        <w:tc>
          <w:tcPr>
            <w:tcW w:w="554" w:type="dxa"/>
            <w:vMerge w:val="restart"/>
            <w:tcBorders>
              <w:top w:val="single" w:sz="8" w:space="0" w:color="auto"/>
              <w:left w:val="single" w:sz="8" w:space="0" w:color="auto"/>
              <w:right w:val="single" w:sz="8" w:space="0" w:color="auto"/>
            </w:tcBorders>
            <w:vAlign w:val="center"/>
          </w:tcPr>
          <w:p w14:paraId="634D4E0E"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26.</w:t>
            </w:r>
          </w:p>
        </w:tc>
        <w:tc>
          <w:tcPr>
            <w:tcW w:w="2697" w:type="dxa"/>
            <w:vMerge w:val="restart"/>
            <w:tcBorders>
              <w:top w:val="single" w:sz="8" w:space="0" w:color="auto"/>
              <w:left w:val="single" w:sz="8" w:space="0" w:color="auto"/>
              <w:right w:val="single" w:sz="8" w:space="0" w:color="auto"/>
            </w:tcBorders>
            <w:vAlign w:val="center"/>
          </w:tcPr>
          <w:p w14:paraId="27B84DA6" w14:textId="77777777" w:rsidR="00797AA9" w:rsidRPr="00BC523A" w:rsidRDefault="00797AA9" w:rsidP="008D15DB">
            <w:pPr>
              <w:rPr>
                <w:color w:val="000000"/>
                <w:sz w:val="22"/>
                <w:szCs w:val="22"/>
                <w:lang w:eastAsia="cs-CZ"/>
              </w:rPr>
            </w:pPr>
            <w:r w:rsidRPr="00BC523A">
              <w:rPr>
                <w:color w:val="000000"/>
                <w:sz w:val="22"/>
                <w:szCs w:val="22"/>
                <w:lang w:eastAsia="cs-CZ"/>
              </w:rPr>
              <w:t xml:space="preserve">Obnova technologických zařízení budov </w:t>
            </w:r>
          </w:p>
        </w:tc>
        <w:tc>
          <w:tcPr>
            <w:tcW w:w="988" w:type="dxa"/>
            <w:tcBorders>
              <w:top w:val="single" w:sz="8" w:space="0" w:color="auto"/>
              <w:left w:val="nil"/>
              <w:bottom w:val="single" w:sz="8" w:space="0" w:color="auto"/>
              <w:right w:val="single" w:sz="8" w:space="0" w:color="auto"/>
            </w:tcBorders>
            <w:vAlign w:val="center"/>
          </w:tcPr>
          <w:p w14:paraId="6487959F" w14:textId="77777777" w:rsidR="00797AA9" w:rsidRPr="00BC523A" w:rsidRDefault="00797AA9" w:rsidP="008D15DB">
            <w:pPr>
              <w:jc w:val="right"/>
              <w:rPr>
                <w:color w:val="000000"/>
                <w:sz w:val="22"/>
                <w:szCs w:val="22"/>
                <w:lang w:eastAsia="cs-CZ"/>
              </w:rPr>
            </w:pPr>
            <w:r w:rsidRPr="00BC523A">
              <w:rPr>
                <w:color w:val="000000"/>
                <w:sz w:val="22"/>
                <w:szCs w:val="22"/>
                <w:lang w:eastAsia="cs-CZ"/>
              </w:rPr>
              <w:t>770</w:t>
            </w:r>
          </w:p>
        </w:tc>
        <w:tc>
          <w:tcPr>
            <w:tcW w:w="990" w:type="dxa"/>
            <w:tcBorders>
              <w:top w:val="single" w:sz="8" w:space="0" w:color="auto"/>
              <w:left w:val="nil"/>
              <w:bottom w:val="single" w:sz="8" w:space="0" w:color="auto"/>
              <w:right w:val="single" w:sz="8" w:space="0" w:color="auto"/>
            </w:tcBorders>
            <w:vAlign w:val="center"/>
          </w:tcPr>
          <w:p w14:paraId="4083D711" w14:textId="77777777" w:rsidR="00797AA9" w:rsidRPr="00BC523A" w:rsidRDefault="00797AA9" w:rsidP="008D15DB">
            <w:pPr>
              <w:jc w:val="right"/>
              <w:rPr>
                <w:color w:val="000000"/>
                <w:sz w:val="22"/>
                <w:szCs w:val="22"/>
                <w:lang w:eastAsia="cs-CZ"/>
              </w:rPr>
            </w:pPr>
            <w:r w:rsidRPr="00BC523A">
              <w:rPr>
                <w:color w:val="000000"/>
                <w:sz w:val="22"/>
                <w:szCs w:val="22"/>
                <w:lang w:eastAsia="cs-CZ"/>
              </w:rPr>
              <w:t>6 561</w:t>
            </w:r>
          </w:p>
        </w:tc>
        <w:tc>
          <w:tcPr>
            <w:tcW w:w="990" w:type="dxa"/>
            <w:tcBorders>
              <w:top w:val="single" w:sz="8" w:space="0" w:color="auto"/>
              <w:left w:val="nil"/>
              <w:bottom w:val="single" w:sz="8" w:space="0" w:color="auto"/>
              <w:right w:val="single" w:sz="8" w:space="0" w:color="auto"/>
            </w:tcBorders>
            <w:vAlign w:val="center"/>
          </w:tcPr>
          <w:p w14:paraId="1CDE8D01"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20D4336F"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7C5FB86" w14:textId="77777777" w:rsidR="00797AA9" w:rsidRPr="00BC523A" w:rsidRDefault="00797AA9" w:rsidP="008D15DB">
            <w:pPr>
              <w:jc w:val="right"/>
              <w:rPr>
                <w:color w:val="000000"/>
                <w:sz w:val="22"/>
                <w:szCs w:val="22"/>
                <w:lang w:eastAsia="cs-CZ"/>
              </w:rPr>
            </w:pPr>
            <w:r w:rsidRPr="00BC523A">
              <w:rPr>
                <w:color w:val="000000"/>
                <w:sz w:val="22"/>
                <w:szCs w:val="22"/>
                <w:lang w:eastAsia="cs-CZ"/>
              </w:rPr>
              <w:t>7 331</w:t>
            </w:r>
          </w:p>
        </w:tc>
        <w:tc>
          <w:tcPr>
            <w:tcW w:w="1280" w:type="dxa"/>
            <w:tcBorders>
              <w:top w:val="single" w:sz="8" w:space="0" w:color="auto"/>
              <w:left w:val="nil"/>
              <w:bottom w:val="single" w:sz="8" w:space="0" w:color="auto"/>
              <w:right w:val="single" w:sz="8" w:space="0" w:color="000000"/>
            </w:tcBorders>
            <w:vAlign w:val="center"/>
          </w:tcPr>
          <w:p w14:paraId="514F011F"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xml:space="preserve">SK </w:t>
            </w:r>
          </w:p>
        </w:tc>
      </w:tr>
      <w:tr w:rsidR="00797AA9" w:rsidRPr="00BC523A" w14:paraId="5B23A036" w14:textId="77777777" w:rsidTr="008D15DB">
        <w:trPr>
          <w:trHeight w:val="532"/>
        </w:trPr>
        <w:tc>
          <w:tcPr>
            <w:tcW w:w="554" w:type="dxa"/>
            <w:vMerge/>
            <w:tcBorders>
              <w:left w:val="single" w:sz="8" w:space="0" w:color="auto"/>
              <w:right w:val="single" w:sz="8" w:space="0" w:color="auto"/>
            </w:tcBorders>
            <w:vAlign w:val="center"/>
          </w:tcPr>
          <w:p w14:paraId="72BA26BC"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6A6CFA59"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71CD1281"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634BC776" w14:textId="77777777" w:rsidR="00797AA9" w:rsidRPr="00BC523A" w:rsidRDefault="00797AA9" w:rsidP="008D15DB">
            <w:pPr>
              <w:jc w:val="right"/>
              <w:rPr>
                <w:color w:val="000000"/>
                <w:sz w:val="22"/>
                <w:szCs w:val="22"/>
                <w:lang w:eastAsia="cs-CZ"/>
              </w:rPr>
            </w:pPr>
            <w:r w:rsidRPr="00BC523A">
              <w:rPr>
                <w:color w:val="000000"/>
                <w:sz w:val="22"/>
                <w:szCs w:val="22"/>
                <w:lang w:eastAsia="cs-CZ"/>
              </w:rPr>
              <w:t>8 212</w:t>
            </w:r>
          </w:p>
        </w:tc>
        <w:tc>
          <w:tcPr>
            <w:tcW w:w="990" w:type="dxa"/>
            <w:tcBorders>
              <w:top w:val="single" w:sz="8" w:space="0" w:color="auto"/>
              <w:left w:val="nil"/>
              <w:bottom w:val="single" w:sz="8" w:space="0" w:color="auto"/>
              <w:right w:val="single" w:sz="8" w:space="0" w:color="auto"/>
            </w:tcBorders>
            <w:vAlign w:val="center"/>
          </w:tcPr>
          <w:p w14:paraId="6D2FE995"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220F2A9"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250A2F10" w14:textId="77777777" w:rsidR="00797AA9" w:rsidRPr="00BC523A" w:rsidRDefault="00797AA9" w:rsidP="008D15DB">
            <w:pPr>
              <w:jc w:val="right"/>
              <w:rPr>
                <w:color w:val="000000"/>
                <w:sz w:val="22"/>
                <w:szCs w:val="22"/>
                <w:lang w:eastAsia="cs-CZ"/>
              </w:rPr>
            </w:pPr>
            <w:r w:rsidRPr="00BC523A">
              <w:rPr>
                <w:color w:val="000000"/>
                <w:sz w:val="22"/>
                <w:szCs w:val="22"/>
                <w:lang w:eastAsia="cs-CZ"/>
              </w:rPr>
              <w:t>8 212</w:t>
            </w:r>
          </w:p>
        </w:tc>
        <w:tc>
          <w:tcPr>
            <w:tcW w:w="1280" w:type="dxa"/>
            <w:tcBorders>
              <w:top w:val="single" w:sz="8" w:space="0" w:color="auto"/>
              <w:left w:val="nil"/>
              <w:bottom w:val="single" w:sz="8" w:space="0" w:color="auto"/>
              <w:right w:val="single" w:sz="8" w:space="0" w:color="000000"/>
            </w:tcBorders>
            <w:vAlign w:val="center"/>
          </w:tcPr>
          <w:p w14:paraId="12BC4159"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FAI</w:t>
            </w:r>
          </w:p>
        </w:tc>
      </w:tr>
      <w:tr w:rsidR="00797AA9" w:rsidRPr="00BC523A" w14:paraId="2846629A" w14:textId="77777777" w:rsidTr="008D15DB">
        <w:trPr>
          <w:trHeight w:val="553"/>
        </w:trPr>
        <w:tc>
          <w:tcPr>
            <w:tcW w:w="554" w:type="dxa"/>
            <w:vMerge/>
            <w:tcBorders>
              <w:left w:val="single" w:sz="8" w:space="0" w:color="auto"/>
              <w:bottom w:val="single" w:sz="8" w:space="0" w:color="000000"/>
              <w:right w:val="single" w:sz="8" w:space="0" w:color="auto"/>
            </w:tcBorders>
            <w:vAlign w:val="center"/>
          </w:tcPr>
          <w:p w14:paraId="00C63042"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4E35F206"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0692A3CE"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42A2C9B0" w14:textId="77777777" w:rsidR="00797AA9" w:rsidRPr="00BC523A" w:rsidRDefault="00797AA9" w:rsidP="008D15DB">
            <w:pPr>
              <w:jc w:val="right"/>
              <w:rPr>
                <w:color w:val="000000"/>
                <w:sz w:val="22"/>
                <w:szCs w:val="22"/>
                <w:lang w:eastAsia="cs-CZ"/>
              </w:rPr>
            </w:pPr>
            <w:r w:rsidRPr="00BC523A">
              <w:rPr>
                <w:color w:val="000000"/>
                <w:sz w:val="22"/>
                <w:szCs w:val="22"/>
                <w:lang w:eastAsia="cs-CZ"/>
              </w:rPr>
              <w:t>300</w:t>
            </w:r>
          </w:p>
        </w:tc>
        <w:tc>
          <w:tcPr>
            <w:tcW w:w="990" w:type="dxa"/>
            <w:tcBorders>
              <w:top w:val="single" w:sz="8" w:space="0" w:color="auto"/>
              <w:left w:val="nil"/>
              <w:bottom w:val="single" w:sz="8" w:space="0" w:color="auto"/>
              <w:right w:val="single" w:sz="8" w:space="0" w:color="auto"/>
            </w:tcBorders>
            <w:vAlign w:val="center"/>
          </w:tcPr>
          <w:p w14:paraId="7A203316"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054BE24"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E0F3B2E" w14:textId="77777777" w:rsidR="00797AA9" w:rsidRPr="00BC523A" w:rsidRDefault="00797AA9" w:rsidP="008D15DB">
            <w:pPr>
              <w:jc w:val="right"/>
              <w:rPr>
                <w:color w:val="000000"/>
                <w:sz w:val="22"/>
                <w:szCs w:val="22"/>
                <w:lang w:eastAsia="cs-CZ"/>
              </w:rPr>
            </w:pPr>
            <w:r w:rsidRPr="00BC523A">
              <w:rPr>
                <w:color w:val="000000"/>
                <w:sz w:val="22"/>
                <w:szCs w:val="22"/>
                <w:lang w:eastAsia="cs-CZ"/>
              </w:rPr>
              <w:t>300</w:t>
            </w:r>
          </w:p>
        </w:tc>
        <w:tc>
          <w:tcPr>
            <w:tcW w:w="1280" w:type="dxa"/>
            <w:tcBorders>
              <w:top w:val="single" w:sz="8" w:space="0" w:color="auto"/>
              <w:left w:val="nil"/>
              <w:bottom w:val="single" w:sz="8" w:space="0" w:color="auto"/>
              <w:right w:val="single" w:sz="8" w:space="0" w:color="000000"/>
            </w:tcBorders>
            <w:vAlign w:val="center"/>
          </w:tcPr>
          <w:p w14:paraId="795E0DDA"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FMK</w:t>
            </w:r>
          </w:p>
        </w:tc>
      </w:tr>
      <w:tr w:rsidR="00797AA9" w:rsidRPr="00BC523A" w14:paraId="7B23E7C6" w14:textId="77777777" w:rsidTr="008D15DB">
        <w:trPr>
          <w:trHeight w:val="547"/>
        </w:trPr>
        <w:tc>
          <w:tcPr>
            <w:tcW w:w="554" w:type="dxa"/>
            <w:vMerge w:val="restart"/>
            <w:tcBorders>
              <w:top w:val="single" w:sz="8" w:space="0" w:color="auto"/>
              <w:left w:val="single" w:sz="8" w:space="0" w:color="auto"/>
              <w:right w:val="single" w:sz="8" w:space="0" w:color="auto"/>
            </w:tcBorders>
            <w:vAlign w:val="center"/>
          </w:tcPr>
          <w:p w14:paraId="2F4171E8"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27.</w:t>
            </w:r>
          </w:p>
        </w:tc>
        <w:tc>
          <w:tcPr>
            <w:tcW w:w="2697" w:type="dxa"/>
            <w:vMerge w:val="restart"/>
            <w:tcBorders>
              <w:top w:val="single" w:sz="8" w:space="0" w:color="auto"/>
              <w:left w:val="single" w:sz="8" w:space="0" w:color="auto"/>
              <w:right w:val="single" w:sz="8" w:space="0" w:color="auto"/>
            </w:tcBorders>
            <w:vAlign w:val="center"/>
          </w:tcPr>
          <w:p w14:paraId="7CBBA173" w14:textId="77777777" w:rsidR="00797AA9" w:rsidRPr="00BC523A" w:rsidRDefault="00797AA9" w:rsidP="008D15DB">
            <w:pPr>
              <w:rPr>
                <w:color w:val="000000"/>
                <w:sz w:val="22"/>
                <w:szCs w:val="22"/>
                <w:lang w:eastAsia="cs-CZ"/>
              </w:rPr>
            </w:pPr>
            <w:r w:rsidRPr="00BC523A">
              <w:rPr>
                <w:color w:val="000000"/>
                <w:sz w:val="22"/>
                <w:szCs w:val="22"/>
                <w:lang w:eastAsia="cs-CZ"/>
              </w:rPr>
              <w:t xml:space="preserve">Obnova stavebních částí budov </w:t>
            </w:r>
          </w:p>
        </w:tc>
        <w:tc>
          <w:tcPr>
            <w:tcW w:w="988" w:type="dxa"/>
            <w:tcBorders>
              <w:top w:val="single" w:sz="8" w:space="0" w:color="auto"/>
              <w:left w:val="nil"/>
              <w:bottom w:val="single" w:sz="8" w:space="0" w:color="auto"/>
              <w:right w:val="single" w:sz="8" w:space="0" w:color="auto"/>
            </w:tcBorders>
            <w:vAlign w:val="center"/>
          </w:tcPr>
          <w:p w14:paraId="452DC69E"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3 542</w:t>
            </w:r>
          </w:p>
        </w:tc>
        <w:tc>
          <w:tcPr>
            <w:tcW w:w="990" w:type="dxa"/>
            <w:tcBorders>
              <w:top w:val="single" w:sz="8" w:space="0" w:color="auto"/>
              <w:left w:val="nil"/>
              <w:bottom w:val="single" w:sz="8" w:space="0" w:color="auto"/>
              <w:right w:val="single" w:sz="8" w:space="0" w:color="auto"/>
            </w:tcBorders>
            <w:vAlign w:val="center"/>
          </w:tcPr>
          <w:p w14:paraId="08296F66" w14:textId="77777777" w:rsidR="00797AA9" w:rsidRPr="00BC523A" w:rsidRDefault="00797AA9" w:rsidP="008D15DB">
            <w:pPr>
              <w:jc w:val="right"/>
              <w:rPr>
                <w:color w:val="000000"/>
                <w:sz w:val="22"/>
                <w:szCs w:val="22"/>
                <w:lang w:eastAsia="cs-CZ"/>
              </w:rPr>
            </w:pPr>
            <w:r w:rsidRPr="00BC523A">
              <w:rPr>
                <w:color w:val="000000"/>
                <w:sz w:val="22"/>
                <w:szCs w:val="22"/>
                <w:lang w:eastAsia="cs-CZ"/>
              </w:rPr>
              <w:t>13 147</w:t>
            </w:r>
          </w:p>
        </w:tc>
        <w:tc>
          <w:tcPr>
            <w:tcW w:w="990" w:type="dxa"/>
            <w:tcBorders>
              <w:top w:val="single" w:sz="8" w:space="0" w:color="auto"/>
              <w:left w:val="nil"/>
              <w:bottom w:val="single" w:sz="8" w:space="0" w:color="auto"/>
              <w:right w:val="single" w:sz="8" w:space="0" w:color="auto"/>
            </w:tcBorders>
            <w:vAlign w:val="center"/>
          </w:tcPr>
          <w:p w14:paraId="38A340EC"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9FE5F4B"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E9ABDF9" w14:textId="77777777" w:rsidR="00797AA9" w:rsidRPr="00BC523A" w:rsidRDefault="00797AA9" w:rsidP="008D15DB">
            <w:pPr>
              <w:jc w:val="right"/>
              <w:rPr>
                <w:color w:val="000000"/>
                <w:sz w:val="22"/>
                <w:szCs w:val="22"/>
                <w:lang w:eastAsia="cs-CZ"/>
              </w:rPr>
            </w:pPr>
            <w:r w:rsidRPr="00BC523A">
              <w:rPr>
                <w:color w:val="000000"/>
                <w:sz w:val="22"/>
                <w:szCs w:val="22"/>
                <w:lang w:eastAsia="cs-CZ"/>
              </w:rPr>
              <w:t>16 690</w:t>
            </w:r>
          </w:p>
        </w:tc>
        <w:tc>
          <w:tcPr>
            <w:tcW w:w="1280" w:type="dxa"/>
            <w:tcBorders>
              <w:top w:val="single" w:sz="8" w:space="0" w:color="auto"/>
              <w:left w:val="nil"/>
              <w:bottom w:val="single" w:sz="8" w:space="0" w:color="auto"/>
              <w:right w:val="single" w:sz="8" w:space="0" w:color="000000"/>
            </w:tcBorders>
            <w:vAlign w:val="center"/>
          </w:tcPr>
          <w:p w14:paraId="7176F1B7"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708FEE6C" w14:textId="77777777" w:rsidTr="008D15DB">
        <w:trPr>
          <w:trHeight w:val="555"/>
        </w:trPr>
        <w:tc>
          <w:tcPr>
            <w:tcW w:w="554" w:type="dxa"/>
            <w:vMerge/>
            <w:tcBorders>
              <w:left w:val="single" w:sz="8" w:space="0" w:color="auto"/>
              <w:right w:val="single" w:sz="8" w:space="0" w:color="auto"/>
            </w:tcBorders>
            <w:vAlign w:val="center"/>
          </w:tcPr>
          <w:p w14:paraId="2B7F7F28"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553DEE7B"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3F2D36D"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55A5E845" w14:textId="77777777" w:rsidR="00797AA9" w:rsidRPr="00BC523A" w:rsidRDefault="00797AA9" w:rsidP="008D15DB">
            <w:pPr>
              <w:jc w:val="right"/>
              <w:rPr>
                <w:color w:val="000000"/>
                <w:sz w:val="22"/>
                <w:szCs w:val="22"/>
                <w:lang w:eastAsia="cs-CZ"/>
              </w:rPr>
            </w:pPr>
            <w:r w:rsidRPr="00BC523A">
              <w:rPr>
                <w:color w:val="000000"/>
                <w:sz w:val="22"/>
                <w:szCs w:val="22"/>
                <w:lang w:eastAsia="cs-CZ"/>
              </w:rPr>
              <w:t>818</w:t>
            </w:r>
          </w:p>
        </w:tc>
        <w:tc>
          <w:tcPr>
            <w:tcW w:w="990" w:type="dxa"/>
            <w:tcBorders>
              <w:top w:val="single" w:sz="8" w:space="0" w:color="auto"/>
              <w:left w:val="nil"/>
              <w:bottom w:val="single" w:sz="8" w:space="0" w:color="auto"/>
              <w:right w:val="single" w:sz="8" w:space="0" w:color="auto"/>
            </w:tcBorders>
            <w:vAlign w:val="center"/>
          </w:tcPr>
          <w:p w14:paraId="58CC7994"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7610CCA"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21347C0C" w14:textId="77777777" w:rsidR="00797AA9" w:rsidRPr="00BC523A" w:rsidRDefault="00797AA9" w:rsidP="008D15DB">
            <w:pPr>
              <w:jc w:val="right"/>
              <w:rPr>
                <w:color w:val="000000"/>
                <w:sz w:val="22"/>
                <w:szCs w:val="22"/>
                <w:lang w:eastAsia="cs-CZ"/>
              </w:rPr>
            </w:pPr>
            <w:r w:rsidRPr="00BC523A">
              <w:rPr>
                <w:color w:val="000000"/>
                <w:sz w:val="22"/>
                <w:szCs w:val="22"/>
                <w:lang w:eastAsia="cs-CZ"/>
              </w:rPr>
              <w:t>818</w:t>
            </w:r>
          </w:p>
        </w:tc>
        <w:tc>
          <w:tcPr>
            <w:tcW w:w="1280" w:type="dxa"/>
            <w:tcBorders>
              <w:top w:val="single" w:sz="8" w:space="0" w:color="auto"/>
              <w:left w:val="nil"/>
              <w:bottom w:val="single" w:sz="8" w:space="0" w:color="auto"/>
              <w:right w:val="single" w:sz="8" w:space="0" w:color="000000"/>
            </w:tcBorders>
            <w:vAlign w:val="center"/>
          </w:tcPr>
          <w:p w14:paraId="7587A9F4"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FT</w:t>
            </w:r>
          </w:p>
        </w:tc>
      </w:tr>
      <w:tr w:rsidR="00797AA9" w:rsidRPr="00BC523A" w14:paraId="1C5A1060" w14:textId="77777777" w:rsidTr="008D15DB">
        <w:trPr>
          <w:trHeight w:val="536"/>
        </w:trPr>
        <w:tc>
          <w:tcPr>
            <w:tcW w:w="554" w:type="dxa"/>
            <w:vMerge/>
            <w:tcBorders>
              <w:left w:val="single" w:sz="8" w:space="0" w:color="auto"/>
              <w:right w:val="single" w:sz="8" w:space="0" w:color="auto"/>
            </w:tcBorders>
            <w:vAlign w:val="center"/>
          </w:tcPr>
          <w:p w14:paraId="5CBA9DF1"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7E4A185D"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7B95A49D"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36D90C67"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1 150</w:t>
            </w:r>
          </w:p>
        </w:tc>
        <w:tc>
          <w:tcPr>
            <w:tcW w:w="990" w:type="dxa"/>
            <w:tcBorders>
              <w:top w:val="single" w:sz="8" w:space="0" w:color="auto"/>
              <w:left w:val="nil"/>
              <w:bottom w:val="single" w:sz="8" w:space="0" w:color="auto"/>
              <w:right w:val="single" w:sz="8" w:space="0" w:color="auto"/>
            </w:tcBorders>
            <w:vAlign w:val="center"/>
          </w:tcPr>
          <w:p w14:paraId="3FBD9E84"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6876F249"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3639CD89"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1 150</w:t>
            </w:r>
          </w:p>
        </w:tc>
        <w:tc>
          <w:tcPr>
            <w:tcW w:w="1280" w:type="dxa"/>
            <w:tcBorders>
              <w:top w:val="single" w:sz="8" w:space="0" w:color="auto"/>
              <w:left w:val="nil"/>
              <w:bottom w:val="single" w:sz="8" w:space="0" w:color="auto"/>
              <w:right w:val="single" w:sz="8" w:space="0" w:color="000000"/>
            </w:tcBorders>
            <w:vAlign w:val="center"/>
          </w:tcPr>
          <w:p w14:paraId="628ED3A3"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FAI</w:t>
            </w:r>
          </w:p>
        </w:tc>
      </w:tr>
      <w:tr w:rsidR="00797AA9" w:rsidRPr="00BC523A" w14:paraId="75B5B352" w14:textId="77777777" w:rsidTr="008D15DB">
        <w:trPr>
          <w:trHeight w:val="557"/>
        </w:trPr>
        <w:tc>
          <w:tcPr>
            <w:tcW w:w="554" w:type="dxa"/>
            <w:vMerge/>
            <w:tcBorders>
              <w:left w:val="single" w:sz="8" w:space="0" w:color="auto"/>
              <w:right w:val="single" w:sz="8" w:space="0" w:color="auto"/>
            </w:tcBorders>
            <w:vAlign w:val="center"/>
          </w:tcPr>
          <w:p w14:paraId="4632E587"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299C3DCB"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69FB4EBD" w14:textId="77777777" w:rsidR="00797AA9" w:rsidRPr="00BC523A" w:rsidRDefault="00797AA9" w:rsidP="008D15DB">
            <w:pPr>
              <w:jc w:val="right"/>
              <w:rPr>
                <w:color w:val="000000"/>
                <w:sz w:val="22"/>
                <w:szCs w:val="22"/>
                <w:lang w:eastAsia="cs-CZ"/>
              </w:rPr>
            </w:pPr>
            <w:r w:rsidRPr="00BC523A">
              <w:rPr>
                <w:color w:val="000000"/>
                <w:sz w:val="22"/>
                <w:szCs w:val="22"/>
                <w:lang w:eastAsia="cs-CZ"/>
              </w:rPr>
              <w:t>250</w:t>
            </w:r>
          </w:p>
        </w:tc>
        <w:tc>
          <w:tcPr>
            <w:tcW w:w="990" w:type="dxa"/>
            <w:tcBorders>
              <w:top w:val="single" w:sz="8" w:space="0" w:color="auto"/>
              <w:left w:val="nil"/>
              <w:bottom w:val="single" w:sz="8" w:space="0" w:color="auto"/>
              <w:right w:val="single" w:sz="8" w:space="0" w:color="auto"/>
            </w:tcBorders>
            <w:vAlign w:val="center"/>
          </w:tcPr>
          <w:p w14:paraId="69089920" w14:textId="77777777" w:rsidR="00797AA9" w:rsidRPr="00BC523A" w:rsidRDefault="00797AA9" w:rsidP="008D15DB">
            <w:pPr>
              <w:jc w:val="right"/>
              <w:rPr>
                <w:color w:val="000000"/>
                <w:sz w:val="22"/>
                <w:szCs w:val="22"/>
                <w:lang w:eastAsia="cs-CZ"/>
              </w:rPr>
            </w:pPr>
            <w:r w:rsidRPr="00BC523A">
              <w:rPr>
                <w:color w:val="000000"/>
                <w:sz w:val="22"/>
                <w:szCs w:val="22"/>
                <w:lang w:eastAsia="cs-CZ"/>
              </w:rPr>
              <w:t>150</w:t>
            </w:r>
          </w:p>
        </w:tc>
        <w:tc>
          <w:tcPr>
            <w:tcW w:w="990" w:type="dxa"/>
            <w:tcBorders>
              <w:top w:val="single" w:sz="8" w:space="0" w:color="auto"/>
              <w:left w:val="nil"/>
              <w:bottom w:val="single" w:sz="8" w:space="0" w:color="auto"/>
              <w:right w:val="single" w:sz="8" w:space="0" w:color="auto"/>
            </w:tcBorders>
            <w:vAlign w:val="center"/>
          </w:tcPr>
          <w:p w14:paraId="09E7531E"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A6C6E5C"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7CD26555" w14:textId="77777777" w:rsidR="00797AA9" w:rsidRPr="00BC523A" w:rsidRDefault="00797AA9" w:rsidP="008D15DB">
            <w:pPr>
              <w:jc w:val="right"/>
              <w:rPr>
                <w:color w:val="000000"/>
                <w:sz w:val="22"/>
                <w:szCs w:val="22"/>
                <w:lang w:eastAsia="cs-CZ"/>
              </w:rPr>
            </w:pPr>
            <w:r w:rsidRPr="00BC523A">
              <w:rPr>
                <w:color w:val="000000"/>
                <w:sz w:val="22"/>
                <w:szCs w:val="22"/>
                <w:lang w:eastAsia="cs-CZ"/>
              </w:rPr>
              <w:t>400</w:t>
            </w:r>
          </w:p>
        </w:tc>
        <w:tc>
          <w:tcPr>
            <w:tcW w:w="1280" w:type="dxa"/>
            <w:tcBorders>
              <w:top w:val="single" w:sz="8" w:space="0" w:color="auto"/>
              <w:left w:val="nil"/>
              <w:bottom w:val="single" w:sz="8" w:space="0" w:color="auto"/>
              <w:right w:val="single" w:sz="8" w:space="0" w:color="000000"/>
            </w:tcBorders>
            <w:vAlign w:val="center"/>
          </w:tcPr>
          <w:p w14:paraId="2E866AA3"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FHS</w:t>
            </w:r>
          </w:p>
        </w:tc>
      </w:tr>
      <w:tr w:rsidR="00797AA9" w:rsidRPr="00BC523A" w14:paraId="045E2EA6" w14:textId="77777777" w:rsidTr="008D15DB">
        <w:trPr>
          <w:trHeight w:val="538"/>
        </w:trPr>
        <w:tc>
          <w:tcPr>
            <w:tcW w:w="554" w:type="dxa"/>
            <w:vMerge/>
            <w:tcBorders>
              <w:left w:val="single" w:sz="8" w:space="0" w:color="auto"/>
              <w:right w:val="single" w:sz="8" w:space="0" w:color="auto"/>
            </w:tcBorders>
            <w:vAlign w:val="center"/>
          </w:tcPr>
          <w:p w14:paraId="56AD5543"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52ACCA93"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9E43E12"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542E1C1E"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1 585</w:t>
            </w:r>
          </w:p>
        </w:tc>
        <w:tc>
          <w:tcPr>
            <w:tcW w:w="990" w:type="dxa"/>
            <w:tcBorders>
              <w:top w:val="single" w:sz="8" w:space="0" w:color="auto"/>
              <w:left w:val="nil"/>
              <w:bottom w:val="single" w:sz="8" w:space="0" w:color="auto"/>
              <w:right w:val="single" w:sz="8" w:space="0" w:color="auto"/>
            </w:tcBorders>
            <w:vAlign w:val="center"/>
          </w:tcPr>
          <w:p w14:paraId="07F9941A"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CB35DD3"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82319DA"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1 585</w:t>
            </w:r>
          </w:p>
        </w:tc>
        <w:tc>
          <w:tcPr>
            <w:tcW w:w="1280" w:type="dxa"/>
            <w:tcBorders>
              <w:top w:val="single" w:sz="8" w:space="0" w:color="auto"/>
              <w:left w:val="nil"/>
              <w:bottom w:val="single" w:sz="8" w:space="0" w:color="auto"/>
              <w:right w:val="single" w:sz="8" w:space="0" w:color="000000"/>
            </w:tcBorders>
            <w:vAlign w:val="center"/>
          </w:tcPr>
          <w:p w14:paraId="55A3B4DC"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FLKŘ</w:t>
            </w:r>
          </w:p>
        </w:tc>
      </w:tr>
      <w:tr w:rsidR="00797AA9" w:rsidRPr="00BC523A" w14:paraId="7E1A7BB9" w14:textId="77777777" w:rsidTr="008D15DB">
        <w:trPr>
          <w:trHeight w:val="559"/>
        </w:trPr>
        <w:tc>
          <w:tcPr>
            <w:tcW w:w="554" w:type="dxa"/>
            <w:vMerge/>
            <w:tcBorders>
              <w:left w:val="single" w:sz="8" w:space="0" w:color="auto"/>
              <w:right w:val="single" w:sz="8" w:space="0" w:color="auto"/>
            </w:tcBorders>
            <w:vAlign w:val="center"/>
          </w:tcPr>
          <w:p w14:paraId="2C3037CD"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right w:val="single" w:sz="8" w:space="0" w:color="auto"/>
            </w:tcBorders>
            <w:vAlign w:val="center"/>
          </w:tcPr>
          <w:p w14:paraId="50D96E5E"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06BDD25"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050FBBD9" w14:textId="77777777" w:rsidR="00797AA9" w:rsidRPr="00BC523A" w:rsidRDefault="00797AA9" w:rsidP="008D15DB">
            <w:pPr>
              <w:jc w:val="right"/>
              <w:rPr>
                <w:color w:val="000000"/>
                <w:sz w:val="22"/>
                <w:szCs w:val="22"/>
                <w:lang w:eastAsia="cs-CZ"/>
              </w:rPr>
            </w:pPr>
            <w:r w:rsidRPr="00BC523A">
              <w:rPr>
                <w:color w:val="000000"/>
                <w:sz w:val="22"/>
                <w:szCs w:val="22"/>
                <w:lang w:eastAsia="cs-CZ"/>
              </w:rPr>
              <w:t>250</w:t>
            </w:r>
          </w:p>
        </w:tc>
        <w:tc>
          <w:tcPr>
            <w:tcW w:w="990" w:type="dxa"/>
            <w:tcBorders>
              <w:top w:val="single" w:sz="8" w:space="0" w:color="auto"/>
              <w:left w:val="nil"/>
              <w:bottom w:val="single" w:sz="8" w:space="0" w:color="auto"/>
              <w:right w:val="single" w:sz="8" w:space="0" w:color="auto"/>
            </w:tcBorders>
            <w:vAlign w:val="center"/>
          </w:tcPr>
          <w:p w14:paraId="47A61A6C"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A50699D"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9F097B6" w14:textId="77777777" w:rsidR="00797AA9" w:rsidRPr="00BC523A" w:rsidRDefault="00797AA9" w:rsidP="008D15DB">
            <w:pPr>
              <w:jc w:val="right"/>
              <w:rPr>
                <w:color w:val="000000"/>
                <w:sz w:val="22"/>
                <w:szCs w:val="22"/>
                <w:lang w:eastAsia="cs-CZ"/>
              </w:rPr>
            </w:pPr>
            <w:r w:rsidRPr="00BC523A">
              <w:rPr>
                <w:color w:val="000000"/>
                <w:sz w:val="22"/>
                <w:szCs w:val="22"/>
                <w:lang w:eastAsia="cs-CZ"/>
              </w:rPr>
              <w:t>250</w:t>
            </w:r>
          </w:p>
        </w:tc>
        <w:tc>
          <w:tcPr>
            <w:tcW w:w="1280" w:type="dxa"/>
            <w:tcBorders>
              <w:top w:val="single" w:sz="8" w:space="0" w:color="auto"/>
              <w:left w:val="nil"/>
              <w:bottom w:val="single" w:sz="8" w:space="0" w:color="auto"/>
              <w:right w:val="single" w:sz="8" w:space="0" w:color="000000"/>
            </w:tcBorders>
            <w:vAlign w:val="center"/>
          </w:tcPr>
          <w:p w14:paraId="6DF8D544" w14:textId="77777777" w:rsidR="00797AA9" w:rsidRPr="00BC523A" w:rsidRDefault="00797AA9" w:rsidP="008D15DB">
            <w:pPr>
              <w:jc w:val="center"/>
              <w:rPr>
                <w:color w:val="000000"/>
                <w:sz w:val="22"/>
                <w:szCs w:val="22"/>
                <w:lang w:eastAsia="cs-CZ"/>
              </w:rPr>
            </w:pPr>
            <w:r w:rsidRPr="00BC523A">
              <w:rPr>
                <w:color w:val="000000"/>
                <w:sz w:val="22"/>
                <w:szCs w:val="22"/>
                <w:lang w:eastAsia="cs-CZ"/>
              </w:rPr>
              <w:t>FaME</w:t>
            </w:r>
          </w:p>
        </w:tc>
      </w:tr>
      <w:tr w:rsidR="00797AA9" w:rsidRPr="00BC523A" w14:paraId="4FF97908" w14:textId="77777777" w:rsidTr="008D15DB">
        <w:trPr>
          <w:trHeight w:val="540"/>
        </w:trPr>
        <w:tc>
          <w:tcPr>
            <w:tcW w:w="554" w:type="dxa"/>
            <w:vMerge/>
            <w:tcBorders>
              <w:left w:val="single" w:sz="8" w:space="0" w:color="auto"/>
              <w:bottom w:val="single" w:sz="8" w:space="0" w:color="000000"/>
              <w:right w:val="single" w:sz="8" w:space="0" w:color="auto"/>
            </w:tcBorders>
            <w:vAlign w:val="center"/>
          </w:tcPr>
          <w:p w14:paraId="5909694F"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5919D457"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4EF3E2E0" w14:textId="77777777" w:rsidR="00797AA9" w:rsidRPr="00BC523A" w:rsidRDefault="00797AA9" w:rsidP="008D15DB">
            <w:pPr>
              <w:jc w:val="right"/>
              <w:rPr>
                <w:color w:val="000000"/>
                <w:sz w:val="22"/>
                <w:szCs w:val="22"/>
                <w:lang w:eastAsia="cs-CZ"/>
              </w:rPr>
            </w:pPr>
            <w:r w:rsidRPr="00BC523A">
              <w:rPr>
                <w:color w:val="000000"/>
                <w:sz w:val="22"/>
                <w:szCs w:val="22"/>
                <w:lang w:eastAsia="cs-CZ"/>
              </w:rPr>
              <w:t>419</w:t>
            </w:r>
          </w:p>
        </w:tc>
        <w:tc>
          <w:tcPr>
            <w:tcW w:w="990" w:type="dxa"/>
            <w:tcBorders>
              <w:top w:val="single" w:sz="8" w:space="0" w:color="auto"/>
              <w:left w:val="nil"/>
              <w:bottom w:val="single" w:sz="8" w:space="0" w:color="auto"/>
              <w:right w:val="single" w:sz="8" w:space="0" w:color="auto"/>
            </w:tcBorders>
            <w:vAlign w:val="center"/>
          </w:tcPr>
          <w:p w14:paraId="7D5379F9" w14:textId="77777777" w:rsidR="00797AA9" w:rsidRPr="00BC523A" w:rsidRDefault="00797AA9" w:rsidP="008D15DB">
            <w:pPr>
              <w:jc w:val="right"/>
              <w:rPr>
                <w:color w:val="000000"/>
                <w:sz w:val="22"/>
                <w:szCs w:val="22"/>
                <w:lang w:eastAsia="cs-CZ"/>
              </w:rPr>
            </w:pPr>
            <w:r w:rsidRPr="00BC523A">
              <w:rPr>
                <w:color w:val="000000"/>
                <w:sz w:val="22"/>
                <w:szCs w:val="22"/>
                <w:lang w:eastAsia="cs-CZ"/>
              </w:rPr>
              <w:t>786</w:t>
            </w:r>
          </w:p>
        </w:tc>
        <w:tc>
          <w:tcPr>
            <w:tcW w:w="990" w:type="dxa"/>
            <w:tcBorders>
              <w:top w:val="single" w:sz="8" w:space="0" w:color="auto"/>
              <w:left w:val="nil"/>
              <w:bottom w:val="single" w:sz="8" w:space="0" w:color="auto"/>
              <w:right w:val="single" w:sz="8" w:space="0" w:color="auto"/>
            </w:tcBorders>
            <w:vAlign w:val="center"/>
          </w:tcPr>
          <w:p w14:paraId="067B340E"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F88B475"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7A7FCF42"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1 206</w:t>
            </w:r>
          </w:p>
        </w:tc>
        <w:tc>
          <w:tcPr>
            <w:tcW w:w="1280" w:type="dxa"/>
            <w:tcBorders>
              <w:top w:val="single" w:sz="8" w:space="0" w:color="auto"/>
              <w:left w:val="nil"/>
              <w:bottom w:val="single" w:sz="8" w:space="0" w:color="auto"/>
              <w:right w:val="single" w:sz="8" w:space="0" w:color="000000"/>
            </w:tcBorders>
            <w:vAlign w:val="center"/>
          </w:tcPr>
          <w:p w14:paraId="143F0041" w14:textId="77777777" w:rsidR="00797AA9" w:rsidRPr="00BC523A" w:rsidRDefault="00797AA9" w:rsidP="008D15DB">
            <w:pPr>
              <w:jc w:val="center"/>
              <w:rPr>
                <w:color w:val="000000"/>
                <w:sz w:val="22"/>
                <w:szCs w:val="22"/>
                <w:lang w:eastAsia="cs-CZ"/>
              </w:rPr>
            </w:pPr>
            <w:r w:rsidRPr="00BC523A">
              <w:rPr>
                <w:color w:val="000000"/>
                <w:sz w:val="22"/>
                <w:szCs w:val="22"/>
                <w:lang w:eastAsia="cs-CZ"/>
              </w:rPr>
              <w:t>Re</w:t>
            </w:r>
          </w:p>
        </w:tc>
      </w:tr>
      <w:tr w:rsidR="00797AA9" w:rsidRPr="00BC523A" w14:paraId="01F0B6AC" w14:textId="77777777" w:rsidTr="008D15DB">
        <w:trPr>
          <w:trHeight w:val="557"/>
        </w:trPr>
        <w:tc>
          <w:tcPr>
            <w:tcW w:w="554" w:type="dxa"/>
            <w:vMerge w:val="restart"/>
            <w:tcBorders>
              <w:top w:val="single" w:sz="8" w:space="0" w:color="auto"/>
              <w:left w:val="single" w:sz="8" w:space="0" w:color="auto"/>
              <w:right w:val="single" w:sz="8" w:space="0" w:color="auto"/>
            </w:tcBorders>
            <w:vAlign w:val="center"/>
          </w:tcPr>
          <w:p w14:paraId="30A50352" w14:textId="77777777" w:rsidR="00797AA9" w:rsidRPr="00BC523A" w:rsidRDefault="00797AA9" w:rsidP="008D15DB">
            <w:pPr>
              <w:jc w:val="center"/>
              <w:rPr>
                <w:color w:val="000000"/>
                <w:sz w:val="22"/>
                <w:szCs w:val="22"/>
                <w:lang w:eastAsia="cs-CZ"/>
              </w:rPr>
            </w:pPr>
            <w:r>
              <w:rPr>
                <w:color w:val="000000"/>
                <w:sz w:val="22"/>
                <w:szCs w:val="22"/>
                <w:lang w:eastAsia="cs-CZ"/>
              </w:rPr>
              <w:t>28</w:t>
            </w:r>
            <w:r w:rsidRPr="00BC523A">
              <w:rPr>
                <w:color w:val="000000"/>
                <w:sz w:val="22"/>
                <w:szCs w:val="22"/>
                <w:lang w:eastAsia="cs-CZ"/>
              </w:rPr>
              <w:t>.</w:t>
            </w:r>
          </w:p>
        </w:tc>
        <w:tc>
          <w:tcPr>
            <w:tcW w:w="2697" w:type="dxa"/>
            <w:vMerge w:val="restart"/>
            <w:tcBorders>
              <w:top w:val="single" w:sz="8" w:space="0" w:color="auto"/>
              <w:left w:val="single" w:sz="8" w:space="0" w:color="auto"/>
              <w:right w:val="single" w:sz="8" w:space="0" w:color="auto"/>
            </w:tcBorders>
            <w:vAlign w:val="center"/>
          </w:tcPr>
          <w:p w14:paraId="457D2B58" w14:textId="77777777" w:rsidR="00797AA9" w:rsidRPr="00BC523A" w:rsidRDefault="00797AA9" w:rsidP="008D15DB">
            <w:pPr>
              <w:rPr>
                <w:color w:val="000000"/>
                <w:sz w:val="22"/>
                <w:szCs w:val="22"/>
                <w:lang w:eastAsia="cs-CZ"/>
              </w:rPr>
            </w:pPr>
            <w:r w:rsidRPr="00BC523A">
              <w:rPr>
                <w:color w:val="000000"/>
                <w:sz w:val="22"/>
                <w:szCs w:val="22"/>
                <w:lang w:eastAsia="cs-CZ"/>
              </w:rPr>
              <w:t>Projekčně inženýrské činnosti</w:t>
            </w:r>
          </w:p>
        </w:tc>
        <w:tc>
          <w:tcPr>
            <w:tcW w:w="988" w:type="dxa"/>
            <w:tcBorders>
              <w:top w:val="single" w:sz="8" w:space="0" w:color="auto"/>
              <w:left w:val="nil"/>
              <w:bottom w:val="single" w:sz="8" w:space="0" w:color="auto"/>
              <w:right w:val="single" w:sz="8" w:space="0" w:color="auto"/>
            </w:tcBorders>
            <w:vAlign w:val="center"/>
          </w:tcPr>
          <w:p w14:paraId="6DF49E8A"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5C731096"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3 763</w:t>
            </w:r>
          </w:p>
        </w:tc>
        <w:tc>
          <w:tcPr>
            <w:tcW w:w="990" w:type="dxa"/>
            <w:tcBorders>
              <w:top w:val="single" w:sz="8" w:space="0" w:color="auto"/>
              <w:left w:val="nil"/>
              <w:bottom w:val="single" w:sz="8" w:space="0" w:color="auto"/>
              <w:right w:val="single" w:sz="8" w:space="0" w:color="auto"/>
            </w:tcBorders>
            <w:vAlign w:val="center"/>
          </w:tcPr>
          <w:p w14:paraId="45503F75"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29F33BC"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20909109"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3 763</w:t>
            </w:r>
          </w:p>
        </w:tc>
        <w:tc>
          <w:tcPr>
            <w:tcW w:w="1280" w:type="dxa"/>
            <w:tcBorders>
              <w:top w:val="single" w:sz="8" w:space="0" w:color="auto"/>
              <w:left w:val="nil"/>
              <w:bottom w:val="single" w:sz="8" w:space="0" w:color="auto"/>
              <w:right w:val="single" w:sz="8" w:space="0" w:color="000000"/>
            </w:tcBorders>
            <w:vAlign w:val="center"/>
          </w:tcPr>
          <w:p w14:paraId="6518C2A9"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26B7A538" w14:textId="77777777" w:rsidTr="008D15DB">
        <w:trPr>
          <w:trHeight w:val="537"/>
        </w:trPr>
        <w:tc>
          <w:tcPr>
            <w:tcW w:w="554" w:type="dxa"/>
            <w:vMerge/>
            <w:tcBorders>
              <w:left w:val="single" w:sz="8" w:space="0" w:color="auto"/>
              <w:bottom w:val="single" w:sz="8" w:space="0" w:color="000000"/>
              <w:right w:val="single" w:sz="8" w:space="0" w:color="auto"/>
            </w:tcBorders>
            <w:vAlign w:val="center"/>
          </w:tcPr>
          <w:p w14:paraId="0A9C9FD5"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35AC5C77"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vAlign w:val="center"/>
          </w:tcPr>
          <w:p w14:paraId="30640089"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077564FC" w14:textId="77777777" w:rsidR="00797AA9" w:rsidRPr="00BC523A" w:rsidRDefault="00797AA9" w:rsidP="008D15DB">
            <w:pPr>
              <w:jc w:val="right"/>
              <w:rPr>
                <w:color w:val="000000"/>
                <w:sz w:val="22"/>
                <w:szCs w:val="22"/>
                <w:lang w:eastAsia="cs-CZ"/>
              </w:rPr>
            </w:pPr>
            <w:r w:rsidRPr="00BC523A">
              <w:rPr>
                <w:color w:val="000000"/>
                <w:sz w:val="22"/>
                <w:szCs w:val="22"/>
                <w:lang w:eastAsia="cs-CZ"/>
              </w:rPr>
              <w:t>390</w:t>
            </w:r>
          </w:p>
        </w:tc>
        <w:tc>
          <w:tcPr>
            <w:tcW w:w="990" w:type="dxa"/>
            <w:tcBorders>
              <w:top w:val="single" w:sz="8" w:space="0" w:color="auto"/>
              <w:left w:val="nil"/>
              <w:bottom w:val="single" w:sz="8" w:space="0" w:color="auto"/>
              <w:right w:val="single" w:sz="8" w:space="0" w:color="auto"/>
            </w:tcBorders>
            <w:vAlign w:val="center"/>
          </w:tcPr>
          <w:p w14:paraId="3DAFC986"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1BD2F971"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7B81CC6" w14:textId="77777777" w:rsidR="00797AA9" w:rsidRPr="00BC523A" w:rsidRDefault="00797AA9" w:rsidP="008D15DB">
            <w:pPr>
              <w:jc w:val="right"/>
              <w:rPr>
                <w:color w:val="000000"/>
                <w:sz w:val="22"/>
                <w:szCs w:val="22"/>
                <w:lang w:eastAsia="cs-CZ"/>
              </w:rPr>
            </w:pPr>
            <w:r w:rsidRPr="00BC523A">
              <w:rPr>
                <w:color w:val="000000"/>
                <w:sz w:val="22"/>
                <w:szCs w:val="22"/>
                <w:lang w:eastAsia="cs-CZ"/>
              </w:rPr>
              <w:t>390</w:t>
            </w:r>
          </w:p>
        </w:tc>
        <w:tc>
          <w:tcPr>
            <w:tcW w:w="1280" w:type="dxa"/>
            <w:tcBorders>
              <w:top w:val="single" w:sz="8" w:space="0" w:color="auto"/>
              <w:left w:val="nil"/>
              <w:bottom w:val="single" w:sz="8" w:space="0" w:color="auto"/>
              <w:right w:val="single" w:sz="8" w:space="0" w:color="000000"/>
            </w:tcBorders>
            <w:vAlign w:val="center"/>
          </w:tcPr>
          <w:p w14:paraId="3D349EAA" w14:textId="77777777" w:rsidR="00797AA9" w:rsidRPr="00BC523A" w:rsidRDefault="00797AA9" w:rsidP="008D15DB">
            <w:pPr>
              <w:jc w:val="center"/>
              <w:rPr>
                <w:color w:val="000000"/>
                <w:sz w:val="22"/>
                <w:szCs w:val="22"/>
                <w:lang w:eastAsia="cs-CZ"/>
              </w:rPr>
            </w:pPr>
            <w:r w:rsidRPr="00BC523A">
              <w:rPr>
                <w:color w:val="000000"/>
                <w:sz w:val="22"/>
                <w:szCs w:val="22"/>
                <w:lang w:eastAsia="cs-CZ"/>
              </w:rPr>
              <w:t>KMZ</w:t>
            </w:r>
          </w:p>
        </w:tc>
      </w:tr>
      <w:tr w:rsidR="00797AA9" w:rsidRPr="00BC523A" w14:paraId="4E319B6E" w14:textId="77777777" w:rsidTr="008D15DB">
        <w:trPr>
          <w:trHeight w:val="757"/>
        </w:trPr>
        <w:tc>
          <w:tcPr>
            <w:tcW w:w="554" w:type="dxa"/>
            <w:tcBorders>
              <w:top w:val="nil"/>
              <w:left w:val="nil"/>
              <w:bottom w:val="single" w:sz="8" w:space="0" w:color="auto"/>
              <w:right w:val="nil"/>
            </w:tcBorders>
            <w:noWrap/>
            <w:vAlign w:val="bottom"/>
            <w:hideMark/>
          </w:tcPr>
          <w:p w14:paraId="6E4A176E" w14:textId="77777777" w:rsidR="00797AA9" w:rsidRPr="00BC523A" w:rsidRDefault="00797AA9" w:rsidP="008D15D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2B71B8BE"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ENERGETIKA, BEZPEČNOST, POŽÁRNÍ OCHRANA</w:t>
            </w:r>
          </w:p>
        </w:tc>
        <w:tc>
          <w:tcPr>
            <w:tcW w:w="988" w:type="dxa"/>
            <w:tcBorders>
              <w:top w:val="nil"/>
              <w:left w:val="nil"/>
              <w:bottom w:val="single" w:sz="8" w:space="0" w:color="auto"/>
              <w:right w:val="nil"/>
            </w:tcBorders>
            <w:noWrap/>
            <w:vAlign w:val="bottom"/>
            <w:hideMark/>
          </w:tcPr>
          <w:p w14:paraId="44C92C83"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74BD6F1C"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225C76FD" w14:textId="77777777" w:rsidR="00797AA9" w:rsidRPr="00BC523A" w:rsidRDefault="00797AA9" w:rsidP="008D15D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504D9E74" w14:textId="77777777" w:rsidR="00797AA9" w:rsidRPr="00BC523A" w:rsidRDefault="00797AA9" w:rsidP="008D15D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4CC49A1D" w14:textId="77777777" w:rsidR="00797AA9" w:rsidRPr="00BC523A" w:rsidRDefault="00797AA9" w:rsidP="008D15D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2D591970"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 </w:t>
            </w:r>
          </w:p>
        </w:tc>
      </w:tr>
      <w:tr w:rsidR="00797AA9" w:rsidRPr="00BC523A" w14:paraId="4078AD97" w14:textId="77777777" w:rsidTr="008D15DB">
        <w:trPr>
          <w:trHeight w:val="583"/>
        </w:trPr>
        <w:tc>
          <w:tcPr>
            <w:tcW w:w="554" w:type="dxa"/>
            <w:tcBorders>
              <w:top w:val="single" w:sz="8" w:space="0" w:color="auto"/>
              <w:left w:val="single" w:sz="8" w:space="0" w:color="auto"/>
              <w:bottom w:val="single" w:sz="8" w:space="0" w:color="000000"/>
              <w:right w:val="single" w:sz="8" w:space="0" w:color="auto"/>
            </w:tcBorders>
            <w:vAlign w:val="center"/>
          </w:tcPr>
          <w:p w14:paraId="60249836" w14:textId="77777777" w:rsidR="00797AA9" w:rsidRPr="00BC523A" w:rsidRDefault="00797AA9" w:rsidP="008D15DB">
            <w:pPr>
              <w:jc w:val="center"/>
              <w:rPr>
                <w:color w:val="000000"/>
                <w:sz w:val="22"/>
                <w:szCs w:val="22"/>
                <w:lang w:eastAsia="cs-CZ"/>
              </w:rPr>
            </w:pPr>
            <w:r w:rsidRPr="00BC523A">
              <w:rPr>
                <w:color w:val="000000"/>
                <w:sz w:val="22"/>
                <w:szCs w:val="22"/>
                <w:lang w:eastAsia="cs-CZ"/>
              </w:rPr>
              <w:t>31.</w:t>
            </w:r>
          </w:p>
        </w:tc>
        <w:tc>
          <w:tcPr>
            <w:tcW w:w="2697" w:type="dxa"/>
            <w:tcBorders>
              <w:top w:val="single" w:sz="8" w:space="0" w:color="auto"/>
              <w:left w:val="single" w:sz="8" w:space="0" w:color="auto"/>
              <w:bottom w:val="single" w:sz="8" w:space="0" w:color="000000"/>
              <w:right w:val="single" w:sz="8" w:space="0" w:color="auto"/>
            </w:tcBorders>
            <w:vAlign w:val="center"/>
          </w:tcPr>
          <w:p w14:paraId="76F033DE" w14:textId="77777777" w:rsidR="00797AA9" w:rsidRPr="00BC523A" w:rsidRDefault="00797AA9" w:rsidP="008D15DB">
            <w:pPr>
              <w:rPr>
                <w:color w:val="000000"/>
                <w:sz w:val="22"/>
                <w:szCs w:val="22"/>
                <w:lang w:eastAsia="cs-CZ"/>
              </w:rPr>
            </w:pPr>
            <w:r w:rsidRPr="00BC523A">
              <w:rPr>
                <w:color w:val="000000"/>
                <w:sz w:val="22"/>
                <w:szCs w:val="22"/>
                <w:lang w:eastAsia="cs-CZ"/>
              </w:rPr>
              <w:t>Energetika, optimalizace spotřeb energií</w:t>
            </w:r>
          </w:p>
        </w:tc>
        <w:tc>
          <w:tcPr>
            <w:tcW w:w="988" w:type="dxa"/>
            <w:tcBorders>
              <w:top w:val="single" w:sz="8" w:space="0" w:color="auto"/>
              <w:left w:val="nil"/>
              <w:bottom w:val="single" w:sz="8" w:space="0" w:color="auto"/>
              <w:right w:val="single" w:sz="8" w:space="0" w:color="auto"/>
            </w:tcBorders>
            <w:vAlign w:val="center"/>
          </w:tcPr>
          <w:p w14:paraId="7802CD32" w14:textId="77777777" w:rsidR="00797AA9" w:rsidRPr="00BC523A" w:rsidRDefault="00797AA9" w:rsidP="008D15DB">
            <w:pPr>
              <w:jc w:val="right"/>
              <w:rPr>
                <w:color w:val="000000"/>
                <w:sz w:val="22"/>
                <w:szCs w:val="22"/>
                <w:lang w:eastAsia="cs-CZ"/>
              </w:rPr>
            </w:pPr>
            <w:r w:rsidRPr="00BC523A">
              <w:rPr>
                <w:color w:val="000000"/>
                <w:sz w:val="22"/>
                <w:szCs w:val="22"/>
                <w:lang w:eastAsia="cs-CZ"/>
              </w:rPr>
              <w:t>2 879</w:t>
            </w:r>
          </w:p>
        </w:tc>
        <w:tc>
          <w:tcPr>
            <w:tcW w:w="990" w:type="dxa"/>
            <w:tcBorders>
              <w:top w:val="single" w:sz="8" w:space="0" w:color="auto"/>
              <w:left w:val="nil"/>
              <w:bottom w:val="single" w:sz="8" w:space="0" w:color="auto"/>
              <w:right w:val="single" w:sz="8" w:space="0" w:color="auto"/>
            </w:tcBorders>
            <w:vAlign w:val="center"/>
          </w:tcPr>
          <w:p w14:paraId="1E86F99E"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1 200</w:t>
            </w:r>
          </w:p>
        </w:tc>
        <w:tc>
          <w:tcPr>
            <w:tcW w:w="990" w:type="dxa"/>
            <w:tcBorders>
              <w:top w:val="single" w:sz="8" w:space="0" w:color="auto"/>
              <w:left w:val="nil"/>
              <w:bottom w:val="single" w:sz="8" w:space="0" w:color="auto"/>
              <w:right w:val="single" w:sz="8" w:space="0" w:color="auto"/>
            </w:tcBorders>
            <w:vAlign w:val="center"/>
          </w:tcPr>
          <w:p w14:paraId="3B22DF04"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3D27445"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7BC35068" w14:textId="77777777" w:rsidR="00797AA9" w:rsidRPr="00BC523A" w:rsidRDefault="00797AA9" w:rsidP="008D15DB">
            <w:pPr>
              <w:jc w:val="right"/>
              <w:rPr>
                <w:color w:val="000000"/>
                <w:sz w:val="22"/>
                <w:szCs w:val="22"/>
                <w:lang w:eastAsia="cs-CZ"/>
              </w:rPr>
            </w:pPr>
            <w:r w:rsidRPr="00BC523A">
              <w:rPr>
                <w:color w:val="000000"/>
                <w:sz w:val="22"/>
                <w:szCs w:val="22"/>
                <w:lang w:eastAsia="cs-CZ"/>
              </w:rPr>
              <w:t>4 079</w:t>
            </w:r>
          </w:p>
        </w:tc>
        <w:tc>
          <w:tcPr>
            <w:tcW w:w="1280" w:type="dxa"/>
            <w:tcBorders>
              <w:top w:val="single" w:sz="8" w:space="0" w:color="auto"/>
              <w:left w:val="nil"/>
              <w:bottom w:val="single" w:sz="8" w:space="0" w:color="auto"/>
              <w:right w:val="single" w:sz="8" w:space="0" w:color="000000"/>
            </w:tcBorders>
            <w:vAlign w:val="center"/>
          </w:tcPr>
          <w:p w14:paraId="0EF0A1B7"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5D2E61DF" w14:textId="77777777" w:rsidTr="008D15DB">
        <w:trPr>
          <w:trHeight w:val="591"/>
        </w:trPr>
        <w:tc>
          <w:tcPr>
            <w:tcW w:w="554" w:type="dxa"/>
            <w:tcBorders>
              <w:top w:val="single" w:sz="8" w:space="0" w:color="auto"/>
              <w:left w:val="single" w:sz="8" w:space="0" w:color="auto"/>
              <w:bottom w:val="single" w:sz="8" w:space="0" w:color="000000"/>
              <w:right w:val="single" w:sz="8" w:space="0" w:color="auto"/>
            </w:tcBorders>
            <w:vAlign w:val="center"/>
          </w:tcPr>
          <w:p w14:paraId="70A857F6" w14:textId="77777777" w:rsidR="00797AA9" w:rsidRPr="00BC523A" w:rsidRDefault="00797AA9" w:rsidP="008D15DB">
            <w:pPr>
              <w:jc w:val="center"/>
              <w:rPr>
                <w:color w:val="000000"/>
                <w:sz w:val="22"/>
                <w:szCs w:val="22"/>
                <w:lang w:eastAsia="cs-CZ"/>
              </w:rPr>
            </w:pPr>
            <w:r w:rsidRPr="00BC523A">
              <w:rPr>
                <w:color w:val="000000"/>
                <w:sz w:val="22"/>
                <w:szCs w:val="22"/>
                <w:lang w:eastAsia="cs-CZ"/>
              </w:rPr>
              <w:t>32.</w:t>
            </w:r>
          </w:p>
        </w:tc>
        <w:tc>
          <w:tcPr>
            <w:tcW w:w="2697" w:type="dxa"/>
            <w:tcBorders>
              <w:top w:val="single" w:sz="8" w:space="0" w:color="auto"/>
              <w:left w:val="single" w:sz="8" w:space="0" w:color="auto"/>
              <w:bottom w:val="single" w:sz="8" w:space="0" w:color="000000"/>
              <w:right w:val="single" w:sz="8" w:space="0" w:color="auto"/>
            </w:tcBorders>
            <w:vAlign w:val="center"/>
          </w:tcPr>
          <w:p w14:paraId="05437DF8" w14:textId="77777777" w:rsidR="00797AA9" w:rsidRPr="00BC523A" w:rsidRDefault="00797AA9" w:rsidP="008D15DB">
            <w:pPr>
              <w:rPr>
                <w:color w:val="000000"/>
                <w:sz w:val="22"/>
                <w:szCs w:val="22"/>
                <w:lang w:eastAsia="cs-CZ"/>
              </w:rPr>
            </w:pPr>
            <w:r w:rsidRPr="00BC523A">
              <w:rPr>
                <w:color w:val="000000"/>
                <w:sz w:val="22"/>
                <w:szCs w:val="22"/>
                <w:lang w:eastAsia="cs-CZ"/>
              </w:rPr>
              <w:t>BOZP + PO</w:t>
            </w:r>
          </w:p>
        </w:tc>
        <w:tc>
          <w:tcPr>
            <w:tcW w:w="988" w:type="dxa"/>
            <w:tcBorders>
              <w:top w:val="single" w:sz="8" w:space="0" w:color="auto"/>
              <w:left w:val="nil"/>
              <w:bottom w:val="single" w:sz="8" w:space="0" w:color="auto"/>
              <w:right w:val="single" w:sz="8" w:space="0" w:color="auto"/>
            </w:tcBorders>
            <w:vAlign w:val="center"/>
          </w:tcPr>
          <w:p w14:paraId="0944417A"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1A90A982"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3 775</w:t>
            </w:r>
          </w:p>
        </w:tc>
        <w:tc>
          <w:tcPr>
            <w:tcW w:w="990" w:type="dxa"/>
            <w:tcBorders>
              <w:top w:val="single" w:sz="8" w:space="0" w:color="auto"/>
              <w:left w:val="nil"/>
              <w:bottom w:val="single" w:sz="8" w:space="0" w:color="auto"/>
              <w:right w:val="single" w:sz="8" w:space="0" w:color="auto"/>
            </w:tcBorders>
            <w:vAlign w:val="center"/>
          </w:tcPr>
          <w:p w14:paraId="3AC39EF1"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7DB55EA9"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31FD74CD"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3 775</w:t>
            </w:r>
          </w:p>
        </w:tc>
        <w:tc>
          <w:tcPr>
            <w:tcW w:w="1280" w:type="dxa"/>
            <w:tcBorders>
              <w:top w:val="single" w:sz="8" w:space="0" w:color="auto"/>
              <w:left w:val="nil"/>
              <w:bottom w:val="single" w:sz="8" w:space="0" w:color="auto"/>
              <w:right w:val="single" w:sz="8" w:space="0" w:color="000000"/>
            </w:tcBorders>
            <w:vAlign w:val="center"/>
          </w:tcPr>
          <w:p w14:paraId="6376BC9B"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23BB362B" w14:textId="77777777" w:rsidTr="008D15DB">
        <w:trPr>
          <w:trHeight w:val="757"/>
        </w:trPr>
        <w:tc>
          <w:tcPr>
            <w:tcW w:w="554" w:type="dxa"/>
            <w:tcBorders>
              <w:top w:val="nil"/>
              <w:left w:val="nil"/>
              <w:bottom w:val="single" w:sz="8" w:space="0" w:color="auto"/>
              <w:right w:val="nil"/>
            </w:tcBorders>
            <w:noWrap/>
            <w:vAlign w:val="bottom"/>
            <w:hideMark/>
          </w:tcPr>
          <w:p w14:paraId="576D8080" w14:textId="77777777" w:rsidR="00797AA9" w:rsidRPr="00BC523A" w:rsidRDefault="00797AA9" w:rsidP="008D15D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1EE79C33"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DALŠÍ AKCE</w:t>
            </w:r>
          </w:p>
        </w:tc>
        <w:tc>
          <w:tcPr>
            <w:tcW w:w="988" w:type="dxa"/>
            <w:tcBorders>
              <w:top w:val="nil"/>
              <w:left w:val="nil"/>
              <w:bottom w:val="single" w:sz="8" w:space="0" w:color="auto"/>
              <w:right w:val="nil"/>
            </w:tcBorders>
            <w:noWrap/>
            <w:vAlign w:val="bottom"/>
            <w:hideMark/>
          </w:tcPr>
          <w:p w14:paraId="36600102"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1C137136"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30EAE309" w14:textId="77777777" w:rsidR="00797AA9" w:rsidRPr="00BC523A" w:rsidRDefault="00797AA9" w:rsidP="008D15D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3E148F82" w14:textId="77777777" w:rsidR="00797AA9" w:rsidRPr="00BC523A" w:rsidRDefault="00797AA9" w:rsidP="008D15D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35D253C1" w14:textId="77777777" w:rsidR="00797AA9" w:rsidRPr="00BC523A" w:rsidRDefault="00797AA9" w:rsidP="008D15D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60E3F1AC"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 </w:t>
            </w:r>
          </w:p>
        </w:tc>
      </w:tr>
      <w:tr w:rsidR="00797AA9" w:rsidRPr="001D7A4C" w14:paraId="368DFE4D" w14:textId="77777777" w:rsidTr="008D15DB">
        <w:trPr>
          <w:trHeight w:val="569"/>
        </w:trPr>
        <w:tc>
          <w:tcPr>
            <w:tcW w:w="554" w:type="dxa"/>
            <w:tcBorders>
              <w:top w:val="single" w:sz="8" w:space="0" w:color="auto"/>
              <w:left w:val="single" w:sz="8" w:space="0" w:color="auto"/>
              <w:bottom w:val="single" w:sz="8" w:space="0" w:color="000000"/>
              <w:right w:val="single" w:sz="8" w:space="0" w:color="auto"/>
            </w:tcBorders>
            <w:vAlign w:val="center"/>
          </w:tcPr>
          <w:p w14:paraId="6019CB90" w14:textId="77777777" w:rsidR="00797AA9" w:rsidRPr="001D7A4C" w:rsidRDefault="00797AA9" w:rsidP="008D15DB">
            <w:pPr>
              <w:jc w:val="center"/>
              <w:rPr>
                <w:b/>
                <w:bCs/>
                <w:color w:val="000000"/>
                <w:sz w:val="22"/>
                <w:szCs w:val="22"/>
                <w:lang w:eastAsia="cs-CZ"/>
              </w:rPr>
            </w:pPr>
            <w:r w:rsidRPr="00BC523A">
              <w:rPr>
                <w:color w:val="000000"/>
                <w:sz w:val="22"/>
                <w:szCs w:val="22"/>
                <w:lang w:eastAsia="cs-CZ"/>
              </w:rPr>
              <w:t>41.</w:t>
            </w:r>
          </w:p>
        </w:tc>
        <w:tc>
          <w:tcPr>
            <w:tcW w:w="2697" w:type="dxa"/>
            <w:tcBorders>
              <w:top w:val="single" w:sz="8" w:space="0" w:color="auto"/>
              <w:left w:val="single" w:sz="8" w:space="0" w:color="auto"/>
              <w:bottom w:val="single" w:sz="8" w:space="0" w:color="000000"/>
              <w:right w:val="single" w:sz="8" w:space="0" w:color="auto"/>
            </w:tcBorders>
            <w:vAlign w:val="center"/>
          </w:tcPr>
          <w:p w14:paraId="58A33924" w14:textId="77777777" w:rsidR="00797AA9" w:rsidRPr="001D7A4C" w:rsidRDefault="00797AA9" w:rsidP="008D15DB">
            <w:pPr>
              <w:rPr>
                <w:b/>
                <w:bCs/>
                <w:color w:val="000000"/>
                <w:sz w:val="22"/>
                <w:szCs w:val="22"/>
                <w:lang w:eastAsia="cs-CZ"/>
              </w:rPr>
            </w:pPr>
            <w:r w:rsidRPr="00BC523A">
              <w:rPr>
                <w:color w:val="000000"/>
                <w:sz w:val="22"/>
                <w:szCs w:val="22"/>
                <w:lang w:eastAsia="cs-CZ"/>
              </w:rPr>
              <w:t>Drobné předem nespecifikované st. akce</w:t>
            </w:r>
          </w:p>
        </w:tc>
        <w:tc>
          <w:tcPr>
            <w:tcW w:w="988" w:type="dxa"/>
            <w:tcBorders>
              <w:top w:val="single" w:sz="8" w:space="0" w:color="auto"/>
              <w:left w:val="nil"/>
              <w:bottom w:val="single" w:sz="8" w:space="0" w:color="auto"/>
              <w:right w:val="single" w:sz="8" w:space="0" w:color="auto"/>
            </w:tcBorders>
            <w:vAlign w:val="center"/>
          </w:tcPr>
          <w:p w14:paraId="08D3EE27" w14:textId="77777777" w:rsidR="00797AA9" w:rsidRPr="001D7A4C" w:rsidRDefault="00797AA9" w:rsidP="008D15DB">
            <w:pPr>
              <w:jc w:val="right"/>
              <w:rPr>
                <w:b/>
                <w:bCs/>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4563FA00" w14:textId="77777777" w:rsidR="00797AA9" w:rsidRPr="001D7A4C" w:rsidRDefault="00797AA9" w:rsidP="008D15DB">
            <w:pPr>
              <w:jc w:val="right"/>
              <w:rPr>
                <w:b/>
                <w:bCs/>
                <w:color w:val="000000"/>
                <w:sz w:val="22"/>
                <w:szCs w:val="22"/>
                <w:lang w:eastAsia="cs-CZ"/>
              </w:rPr>
            </w:pPr>
            <w:r w:rsidRPr="00BC523A">
              <w:rPr>
                <w:color w:val="000000"/>
                <w:sz w:val="22"/>
                <w:szCs w:val="22"/>
                <w:lang w:eastAsia="cs-CZ"/>
              </w:rPr>
              <w:t>2 000</w:t>
            </w:r>
          </w:p>
        </w:tc>
        <w:tc>
          <w:tcPr>
            <w:tcW w:w="990" w:type="dxa"/>
            <w:tcBorders>
              <w:top w:val="single" w:sz="8" w:space="0" w:color="auto"/>
              <w:left w:val="nil"/>
              <w:bottom w:val="single" w:sz="8" w:space="0" w:color="auto"/>
              <w:right w:val="single" w:sz="8" w:space="0" w:color="auto"/>
            </w:tcBorders>
            <w:vAlign w:val="center"/>
          </w:tcPr>
          <w:p w14:paraId="277AB5CE" w14:textId="77777777" w:rsidR="00797AA9" w:rsidRPr="001D7A4C" w:rsidRDefault="00797AA9" w:rsidP="008D15DB">
            <w:pPr>
              <w:jc w:val="right"/>
              <w:rPr>
                <w:b/>
                <w:bCs/>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299D7794" w14:textId="77777777" w:rsidR="00797AA9" w:rsidRPr="001D7A4C" w:rsidRDefault="00797AA9" w:rsidP="008D15DB">
            <w:pPr>
              <w:jc w:val="right"/>
              <w:rPr>
                <w:b/>
                <w:bCs/>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19013725" w14:textId="77777777" w:rsidR="00797AA9" w:rsidRPr="001D7A4C" w:rsidRDefault="00797AA9" w:rsidP="008D15DB">
            <w:pPr>
              <w:jc w:val="right"/>
              <w:rPr>
                <w:b/>
                <w:bCs/>
                <w:color w:val="000000"/>
                <w:sz w:val="22"/>
                <w:szCs w:val="22"/>
                <w:lang w:eastAsia="cs-CZ"/>
              </w:rPr>
            </w:pPr>
            <w:r w:rsidRPr="00BC523A">
              <w:rPr>
                <w:color w:val="000000"/>
                <w:sz w:val="22"/>
                <w:szCs w:val="22"/>
                <w:lang w:eastAsia="cs-CZ"/>
              </w:rPr>
              <w:t>2 000</w:t>
            </w:r>
          </w:p>
        </w:tc>
        <w:tc>
          <w:tcPr>
            <w:tcW w:w="1280" w:type="dxa"/>
            <w:tcBorders>
              <w:top w:val="single" w:sz="8" w:space="0" w:color="auto"/>
              <w:left w:val="nil"/>
              <w:bottom w:val="single" w:sz="8" w:space="0" w:color="auto"/>
              <w:right w:val="single" w:sz="8" w:space="0" w:color="000000"/>
            </w:tcBorders>
            <w:vAlign w:val="center"/>
          </w:tcPr>
          <w:p w14:paraId="5EAD39C4" w14:textId="77777777" w:rsidR="00797AA9" w:rsidRPr="001D7A4C" w:rsidRDefault="00797AA9" w:rsidP="008D15DB">
            <w:pPr>
              <w:jc w:val="center"/>
              <w:rPr>
                <w:b/>
                <w:bCs/>
                <w:color w:val="000000"/>
                <w:sz w:val="22"/>
                <w:szCs w:val="22"/>
                <w:lang w:eastAsia="cs-CZ"/>
              </w:rPr>
            </w:pPr>
            <w:r w:rsidRPr="00BC523A">
              <w:rPr>
                <w:color w:val="000000"/>
                <w:sz w:val="22"/>
                <w:szCs w:val="22"/>
                <w:lang w:eastAsia="cs-CZ"/>
              </w:rPr>
              <w:t>SK</w:t>
            </w:r>
          </w:p>
        </w:tc>
      </w:tr>
      <w:tr w:rsidR="00797AA9" w:rsidRPr="00BC523A" w14:paraId="7E7D993F"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061B19C" w14:textId="77777777" w:rsidR="00797AA9" w:rsidRPr="00BC523A" w:rsidRDefault="00797AA9" w:rsidP="008D15DB">
            <w:pPr>
              <w:jc w:val="center"/>
              <w:rPr>
                <w:color w:val="000000"/>
                <w:sz w:val="22"/>
                <w:szCs w:val="22"/>
                <w:lang w:eastAsia="cs-CZ"/>
              </w:rPr>
            </w:pPr>
            <w:r w:rsidRPr="00BC523A">
              <w:rPr>
                <w:color w:val="000000"/>
                <w:sz w:val="22"/>
                <w:szCs w:val="22"/>
                <w:lang w:eastAsia="cs-CZ"/>
              </w:rPr>
              <w:t>42.</w:t>
            </w:r>
          </w:p>
        </w:tc>
        <w:tc>
          <w:tcPr>
            <w:tcW w:w="2697" w:type="dxa"/>
            <w:tcBorders>
              <w:top w:val="single" w:sz="8" w:space="0" w:color="auto"/>
              <w:left w:val="single" w:sz="8" w:space="0" w:color="auto"/>
              <w:bottom w:val="single" w:sz="8" w:space="0" w:color="000000"/>
              <w:right w:val="single" w:sz="8" w:space="0" w:color="auto"/>
            </w:tcBorders>
            <w:vAlign w:val="center"/>
          </w:tcPr>
          <w:p w14:paraId="3EE754C9" w14:textId="77777777" w:rsidR="00797AA9" w:rsidRPr="00BC523A" w:rsidRDefault="00797AA9" w:rsidP="008D15DB">
            <w:pPr>
              <w:rPr>
                <w:color w:val="000000"/>
                <w:sz w:val="22"/>
                <w:szCs w:val="22"/>
                <w:lang w:eastAsia="cs-CZ"/>
              </w:rPr>
            </w:pPr>
            <w:r w:rsidRPr="00BC523A">
              <w:rPr>
                <w:color w:val="000000"/>
                <w:sz w:val="22"/>
                <w:szCs w:val="22"/>
                <w:lang w:eastAsia="cs-CZ"/>
              </w:rPr>
              <w:t>Odstranění havarijních stavů na objektech UTB</w:t>
            </w:r>
          </w:p>
        </w:tc>
        <w:tc>
          <w:tcPr>
            <w:tcW w:w="988" w:type="dxa"/>
            <w:tcBorders>
              <w:top w:val="single" w:sz="8" w:space="0" w:color="auto"/>
              <w:left w:val="nil"/>
              <w:bottom w:val="single" w:sz="8" w:space="0" w:color="auto"/>
              <w:right w:val="single" w:sz="8" w:space="0" w:color="auto"/>
            </w:tcBorders>
            <w:vAlign w:val="center"/>
          </w:tcPr>
          <w:p w14:paraId="4BAC75D1"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1 500</w:t>
            </w:r>
          </w:p>
        </w:tc>
        <w:tc>
          <w:tcPr>
            <w:tcW w:w="990" w:type="dxa"/>
            <w:tcBorders>
              <w:top w:val="single" w:sz="8" w:space="0" w:color="auto"/>
              <w:left w:val="nil"/>
              <w:bottom w:val="single" w:sz="8" w:space="0" w:color="auto"/>
              <w:right w:val="single" w:sz="8" w:space="0" w:color="auto"/>
            </w:tcBorders>
            <w:vAlign w:val="center"/>
          </w:tcPr>
          <w:p w14:paraId="3230B023"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10E2070F"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4A3583D8"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020FD48F"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1 500</w:t>
            </w:r>
          </w:p>
        </w:tc>
        <w:tc>
          <w:tcPr>
            <w:tcW w:w="1280" w:type="dxa"/>
            <w:tcBorders>
              <w:top w:val="single" w:sz="8" w:space="0" w:color="auto"/>
              <w:left w:val="nil"/>
              <w:bottom w:val="single" w:sz="8" w:space="0" w:color="auto"/>
              <w:right w:val="single" w:sz="8" w:space="0" w:color="000000"/>
            </w:tcBorders>
            <w:vAlign w:val="center"/>
          </w:tcPr>
          <w:p w14:paraId="345A1252"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012CB3D7"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36D0557" w14:textId="77777777" w:rsidR="00797AA9" w:rsidRPr="00BC523A" w:rsidRDefault="00797AA9" w:rsidP="008D15DB">
            <w:pPr>
              <w:jc w:val="center"/>
              <w:rPr>
                <w:color w:val="000000"/>
                <w:sz w:val="22"/>
                <w:szCs w:val="22"/>
                <w:lang w:eastAsia="cs-CZ"/>
              </w:rPr>
            </w:pPr>
            <w:r w:rsidRPr="00BC523A">
              <w:rPr>
                <w:color w:val="000000"/>
                <w:sz w:val="22"/>
                <w:szCs w:val="22"/>
                <w:lang w:eastAsia="cs-CZ"/>
              </w:rPr>
              <w:t>43.</w:t>
            </w:r>
          </w:p>
        </w:tc>
        <w:tc>
          <w:tcPr>
            <w:tcW w:w="2697" w:type="dxa"/>
            <w:tcBorders>
              <w:top w:val="single" w:sz="8" w:space="0" w:color="auto"/>
              <w:left w:val="single" w:sz="8" w:space="0" w:color="auto"/>
              <w:bottom w:val="single" w:sz="8" w:space="0" w:color="000000"/>
              <w:right w:val="single" w:sz="8" w:space="0" w:color="auto"/>
            </w:tcBorders>
            <w:vAlign w:val="center"/>
          </w:tcPr>
          <w:p w14:paraId="7872B364" w14:textId="77777777" w:rsidR="00797AA9" w:rsidRPr="00BC523A" w:rsidRDefault="00797AA9" w:rsidP="008D15DB">
            <w:pPr>
              <w:rPr>
                <w:color w:val="000000"/>
                <w:sz w:val="22"/>
                <w:szCs w:val="22"/>
                <w:lang w:eastAsia="cs-CZ"/>
              </w:rPr>
            </w:pPr>
            <w:r w:rsidRPr="00BC523A">
              <w:rPr>
                <w:color w:val="000000"/>
                <w:sz w:val="22"/>
                <w:szCs w:val="22"/>
                <w:lang w:eastAsia="cs-CZ"/>
              </w:rPr>
              <w:t>Komplexní řešení technických požadavků</w:t>
            </w:r>
          </w:p>
        </w:tc>
        <w:tc>
          <w:tcPr>
            <w:tcW w:w="988" w:type="dxa"/>
            <w:tcBorders>
              <w:top w:val="single" w:sz="8" w:space="0" w:color="auto"/>
              <w:left w:val="nil"/>
              <w:bottom w:val="single" w:sz="8" w:space="0" w:color="auto"/>
              <w:right w:val="single" w:sz="8" w:space="0" w:color="auto"/>
            </w:tcBorders>
            <w:vAlign w:val="center"/>
          </w:tcPr>
          <w:p w14:paraId="63590CE5" w14:textId="77777777" w:rsidR="00797AA9" w:rsidRPr="00BC523A" w:rsidRDefault="00797AA9" w:rsidP="008D15DB">
            <w:pPr>
              <w:jc w:val="right"/>
              <w:rPr>
                <w:color w:val="000000"/>
                <w:sz w:val="22"/>
                <w:szCs w:val="22"/>
                <w:lang w:eastAsia="cs-CZ"/>
              </w:rPr>
            </w:pPr>
            <w:r w:rsidRPr="00BC523A">
              <w:rPr>
                <w:color w:val="000000"/>
                <w:sz w:val="22"/>
                <w:szCs w:val="22"/>
                <w:lang w:eastAsia="cs-CZ"/>
              </w:rPr>
              <w:t>750</w:t>
            </w:r>
          </w:p>
        </w:tc>
        <w:tc>
          <w:tcPr>
            <w:tcW w:w="990" w:type="dxa"/>
            <w:tcBorders>
              <w:top w:val="single" w:sz="8" w:space="0" w:color="auto"/>
              <w:left w:val="nil"/>
              <w:bottom w:val="single" w:sz="8" w:space="0" w:color="auto"/>
              <w:right w:val="single" w:sz="8" w:space="0" w:color="auto"/>
            </w:tcBorders>
            <w:vAlign w:val="center"/>
          </w:tcPr>
          <w:p w14:paraId="6A5099E9" w14:textId="77777777" w:rsidR="00797AA9" w:rsidRPr="00BC523A" w:rsidRDefault="00797AA9" w:rsidP="008D15DB">
            <w:pPr>
              <w:jc w:val="right"/>
              <w:rPr>
                <w:color w:val="000000"/>
                <w:sz w:val="22"/>
                <w:szCs w:val="22"/>
                <w:lang w:eastAsia="cs-CZ"/>
              </w:rPr>
            </w:pPr>
            <w:r w:rsidRPr="00BC523A">
              <w:rPr>
                <w:color w:val="000000"/>
                <w:sz w:val="22"/>
                <w:szCs w:val="22"/>
                <w:lang w:eastAsia="cs-CZ"/>
              </w:rPr>
              <w:t>850</w:t>
            </w:r>
          </w:p>
        </w:tc>
        <w:tc>
          <w:tcPr>
            <w:tcW w:w="990" w:type="dxa"/>
            <w:tcBorders>
              <w:top w:val="single" w:sz="8" w:space="0" w:color="auto"/>
              <w:left w:val="nil"/>
              <w:bottom w:val="single" w:sz="8" w:space="0" w:color="auto"/>
              <w:right w:val="single" w:sz="8" w:space="0" w:color="auto"/>
            </w:tcBorders>
            <w:vAlign w:val="center"/>
          </w:tcPr>
          <w:p w14:paraId="312D6EFD"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3707B69A"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3DF511DB"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1 500</w:t>
            </w:r>
          </w:p>
        </w:tc>
        <w:tc>
          <w:tcPr>
            <w:tcW w:w="1280" w:type="dxa"/>
            <w:tcBorders>
              <w:top w:val="single" w:sz="8" w:space="0" w:color="auto"/>
              <w:left w:val="nil"/>
              <w:bottom w:val="single" w:sz="8" w:space="0" w:color="auto"/>
              <w:right w:val="single" w:sz="8" w:space="0" w:color="000000"/>
            </w:tcBorders>
            <w:vAlign w:val="center"/>
          </w:tcPr>
          <w:p w14:paraId="7DBAC536"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4D495F23"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AFBDEF4" w14:textId="77777777" w:rsidR="00797AA9" w:rsidRPr="00BC523A" w:rsidRDefault="00797AA9" w:rsidP="008D15DB">
            <w:pPr>
              <w:jc w:val="center"/>
              <w:rPr>
                <w:color w:val="000000"/>
                <w:sz w:val="22"/>
                <w:szCs w:val="22"/>
                <w:lang w:eastAsia="cs-CZ"/>
              </w:rPr>
            </w:pPr>
            <w:r w:rsidRPr="00BC523A">
              <w:rPr>
                <w:color w:val="000000"/>
                <w:sz w:val="22"/>
                <w:szCs w:val="22"/>
                <w:lang w:eastAsia="cs-CZ"/>
              </w:rPr>
              <w:t>44.</w:t>
            </w:r>
          </w:p>
        </w:tc>
        <w:tc>
          <w:tcPr>
            <w:tcW w:w="2697" w:type="dxa"/>
            <w:tcBorders>
              <w:top w:val="single" w:sz="8" w:space="0" w:color="auto"/>
              <w:left w:val="single" w:sz="8" w:space="0" w:color="auto"/>
              <w:bottom w:val="single" w:sz="8" w:space="0" w:color="000000"/>
              <w:right w:val="single" w:sz="8" w:space="0" w:color="auto"/>
            </w:tcBorders>
            <w:vAlign w:val="center"/>
          </w:tcPr>
          <w:p w14:paraId="1BA4F1B0" w14:textId="77777777" w:rsidR="00797AA9" w:rsidRPr="00BC523A" w:rsidRDefault="00797AA9" w:rsidP="008D15DB">
            <w:pPr>
              <w:rPr>
                <w:color w:val="000000"/>
                <w:sz w:val="22"/>
                <w:szCs w:val="22"/>
                <w:lang w:eastAsia="cs-CZ"/>
              </w:rPr>
            </w:pPr>
            <w:r w:rsidRPr="00BC523A">
              <w:rPr>
                <w:color w:val="000000"/>
                <w:sz w:val="22"/>
                <w:szCs w:val="22"/>
                <w:lang w:eastAsia="cs-CZ"/>
              </w:rPr>
              <w:t xml:space="preserve">Vypracování studií, posudků a rešerší ke stavebním akcím </w:t>
            </w:r>
          </w:p>
        </w:tc>
        <w:tc>
          <w:tcPr>
            <w:tcW w:w="988" w:type="dxa"/>
            <w:tcBorders>
              <w:top w:val="single" w:sz="8" w:space="0" w:color="auto"/>
              <w:left w:val="nil"/>
              <w:bottom w:val="single" w:sz="8" w:space="0" w:color="auto"/>
              <w:right w:val="single" w:sz="8" w:space="0" w:color="auto"/>
            </w:tcBorders>
            <w:vAlign w:val="center"/>
          </w:tcPr>
          <w:p w14:paraId="21D8B103"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110B878A" w14:textId="77777777" w:rsidR="00797AA9" w:rsidRPr="00BC523A" w:rsidRDefault="00797AA9" w:rsidP="008D15DB">
            <w:pPr>
              <w:jc w:val="right"/>
              <w:rPr>
                <w:color w:val="000000"/>
                <w:sz w:val="22"/>
                <w:szCs w:val="22"/>
                <w:lang w:eastAsia="cs-CZ"/>
              </w:rPr>
            </w:pPr>
            <w:r w:rsidRPr="00BC523A">
              <w:rPr>
                <w:color w:val="000000"/>
                <w:sz w:val="22"/>
                <w:szCs w:val="22"/>
                <w:lang w:eastAsia="cs-CZ"/>
              </w:rPr>
              <w:t>250</w:t>
            </w:r>
          </w:p>
        </w:tc>
        <w:tc>
          <w:tcPr>
            <w:tcW w:w="990" w:type="dxa"/>
            <w:tcBorders>
              <w:top w:val="single" w:sz="8" w:space="0" w:color="auto"/>
              <w:left w:val="nil"/>
              <w:bottom w:val="single" w:sz="8" w:space="0" w:color="auto"/>
              <w:right w:val="single" w:sz="8" w:space="0" w:color="auto"/>
            </w:tcBorders>
            <w:vAlign w:val="center"/>
          </w:tcPr>
          <w:p w14:paraId="025B60E3"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6A09296"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9244378" w14:textId="77777777" w:rsidR="00797AA9" w:rsidRPr="00BC523A" w:rsidRDefault="00797AA9" w:rsidP="008D15DB">
            <w:pPr>
              <w:jc w:val="right"/>
              <w:rPr>
                <w:color w:val="000000"/>
                <w:sz w:val="22"/>
                <w:szCs w:val="22"/>
                <w:lang w:eastAsia="cs-CZ"/>
              </w:rPr>
            </w:pPr>
            <w:r w:rsidRPr="00BC523A">
              <w:rPr>
                <w:color w:val="000000"/>
                <w:sz w:val="22"/>
                <w:szCs w:val="22"/>
                <w:lang w:eastAsia="cs-CZ"/>
              </w:rPr>
              <w:t>250</w:t>
            </w:r>
          </w:p>
        </w:tc>
        <w:tc>
          <w:tcPr>
            <w:tcW w:w="1280" w:type="dxa"/>
            <w:tcBorders>
              <w:top w:val="single" w:sz="8" w:space="0" w:color="auto"/>
              <w:left w:val="nil"/>
              <w:bottom w:val="single" w:sz="8" w:space="0" w:color="auto"/>
              <w:right w:val="single" w:sz="8" w:space="0" w:color="000000"/>
            </w:tcBorders>
            <w:vAlign w:val="center"/>
          </w:tcPr>
          <w:p w14:paraId="5F3D49E9"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4AFEAB9E" w14:textId="77777777" w:rsidTr="008D15DB">
        <w:trPr>
          <w:trHeight w:val="757"/>
        </w:trPr>
        <w:tc>
          <w:tcPr>
            <w:tcW w:w="554" w:type="dxa"/>
            <w:tcBorders>
              <w:top w:val="nil"/>
              <w:left w:val="nil"/>
              <w:bottom w:val="single" w:sz="8" w:space="0" w:color="auto"/>
              <w:right w:val="nil"/>
            </w:tcBorders>
            <w:noWrap/>
            <w:vAlign w:val="bottom"/>
            <w:hideMark/>
          </w:tcPr>
          <w:p w14:paraId="12D3A659" w14:textId="77777777" w:rsidR="00797AA9" w:rsidRPr="00BC523A" w:rsidRDefault="00797AA9" w:rsidP="008D15D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5CA155A2"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SZNN</w:t>
            </w:r>
          </w:p>
        </w:tc>
        <w:tc>
          <w:tcPr>
            <w:tcW w:w="988" w:type="dxa"/>
            <w:tcBorders>
              <w:top w:val="nil"/>
              <w:left w:val="nil"/>
              <w:bottom w:val="single" w:sz="8" w:space="0" w:color="auto"/>
              <w:right w:val="nil"/>
            </w:tcBorders>
            <w:noWrap/>
            <w:vAlign w:val="bottom"/>
            <w:hideMark/>
          </w:tcPr>
          <w:p w14:paraId="345F159F"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3ECD5293"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65E594C3" w14:textId="77777777" w:rsidR="00797AA9" w:rsidRPr="00BC523A" w:rsidRDefault="00797AA9" w:rsidP="008D15D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3388E1FE" w14:textId="77777777" w:rsidR="00797AA9" w:rsidRPr="00BC523A" w:rsidRDefault="00797AA9" w:rsidP="008D15D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2552AF5B" w14:textId="77777777" w:rsidR="00797AA9" w:rsidRPr="00BC523A" w:rsidRDefault="00797AA9" w:rsidP="008D15DB">
            <w:pPr>
              <w:rPr>
                <w:b/>
                <w:bCs/>
                <w:color w:val="000000"/>
                <w:sz w:val="22"/>
                <w:szCs w:val="22"/>
                <w:lang w:eastAsia="cs-CZ"/>
              </w:rPr>
            </w:pPr>
          </w:p>
        </w:tc>
        <w:tc>
          <w:tcPr>
            <w:tcW w:w="1280" w:type="dxa"/>
            <w:tcBorders>
              <w:top w:val="single" w:sz="8" w:space="0" w:color="auto"/>
              <w:left w:val="nil"/>
              <w:bottom w:val="single" w:sz="8" w:space="0" w:color="auto"/>
              <w:right w:val="nil"/>
            </w:tcBorders>
            <w:noWrap/>
            <w:vAlign w:val="bottom"/>
            <w:hideMark/>
          </w:tcPr>
          <w:p w14:paraId="701E06FB"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 </w:t>
            </w:r>
          </w:p>
        </w:tc>
      </w:tr>
      <w:tr w:rsidR="00797AA9" w:rsidRPr="00BC523A" w14:paraId="1C1DB3B5" w14:textId="77777777" w:rsidTr="008D15DB">
        <w:trPr>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70A9D8C" w14:textId="77777777" w:rsidR="00797AA9" w:rsidRPr="00BC523A" w:rsidRDefault="00797AA9" w:rsidP="008D15DB">
            <w:pPr>
              <w:jc w:val="center"/>
              <w:rPr>
                <w:color w:val="000000"/>
                <w:sz w:val="22"/>
                <w:szCs w:val="22"/>
                <w:lang w:eastAsia="cs-CZ"/>
              </w:rPr>
            </w:pPr>
            <w:r w:rsidRPr="00BC523A">
              <w:rPr>
                <w:color w:val="000000"/>
                <w:sz w:val="22"/>
                <w:szCs w:val="22"/>
                <w:lang w:eastAsia="cs-CZ"/>
              </w:rPr>
              <w:t>51.</w:t>
            </w:r>
          </w:p>
        </w:tc>
        <w:tc>
          <w:tcPr>
            <w:tcW w:w="2697" w:type="dxa"/>
            <w:tcBorders>
              <w:top w:val="single" w:sz="8" w:space="0" w:color="auto"/>
              <w:left w:val="single" w:sz="8" w:space="0" w:color="auto"/>
              <w:bottom w:val="single" w:sz="8" w:space="0" w:color="000000"/>
              <w:right w:val="single" w:sz="8" w:space="0" w:color="auto"/>
            </w:tcBorders>
            <w:vAlign w:val="center"/>
          </w:tcPr>
          <w:p w14:paraId="5D4AD2D5" w14:textId="77777777" w:rsidR="00797AA9" w:rsidRPr="00BC523A" w:rsidRDefault="00797AA9" w:rsidP="008D15DB">
            <w:pPr>
              <w:rPr>
                <w:color w:val="000000"/>
                <w:sz w:val="22"/>
                <w:szCs w:val="22"/>
                <w:lang w:eastAsia="cs-CZ"/>
              </w:rPr>
            </w:pPr>
            <w:r w:rsidRPr="00BC523A">
              <w:rPr>
                <w:color w:val="000000"/>
                <w:sz w:val="22"/>
                <w:szCs w:val="22"/>
                <w:lang w:eastAsia="cs-CZ"/>
              </w:rPr>
              <w:t>Nákup strojů a zařízení pro celouniverzitní účely</w:t>
            </w:r>
          </w:p>
        </w:tc>
        <w:tc>
          <w:tcPr>
            <w:tcW w:w="988" w:type="dxa"/>
            <w:tcBorders>
              <w:top w:val="single" w:sz="8" w:space="0" w:color="auto"/>
              <w:left w:val="nil"/>
              <w:bottom w:val="single" w:sz="8" w:space="0" w:color="auto"/>
              <w:right w:val="single" w:sz="8" w:space="0" w:color="auto"/>
            </w:tcBorders>
            <w:vAlign w:val="center"/>
          </w:tcPr>
          <w:p w14:paraId="1A872074"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990" w:type="dxa"/>
            <w:tcBorders>
              <w:top w:val="single" w:sz="8" w:space="0" w:color="auto"/>
              <w:left w:val="nil"/>
              <w:bottom w:val="single" w:sz="8" w:space="0" w:color="auto"/>
              <w:right w:val="single" w:sz="8" w:space="0" w:color="auto"/>
            </w:tcBorders>
            <w:vAlign w:val="center"/>
          </w:tcPr>
          <w:p w14:paraId="4CF4CB45"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1 500</w:t>
            </w:r>
          </w:p>
        </w:tc>
        <w:tc>
          <w:tcPr>
            <w:tcW w:w="990" w:type="dxa"/>
            <w:tcBorders>
              <w:top w:val="single" w:sz="8" w:space="0" w:color="auto"/>
              <w:left w:val="nil"/>
              <w:bottom w:val="single" w:sz="8" w:space="0" w:color="auto"/>
              <w:right w:val="single" w:sz="8" w:space="0" w:color="auto"/>
            </w:tcBorders>
            <w:vAlign w:val="center"/>
          </w:tcPr>
          <w:p w14:paraId="6626FAB1"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31" w:type="dxa"/>
            <w:tcBorders>
              <w:top w:val="single" w:sz="8" w:space="0" w:color="auto"/>
              <w:left w:val="nil"/>
              <w:bottom w:val="single" w:sz="8" w:space="0" w:color="auto"/>
              <w:right w:val="single" w:sz="8" w:space="0" w:color="auto"/>
            </w:tcBorders>
            <w:vAlign w:val="center"/>
          </w:tcPr>
          <w:p w14:paraId="006C5656" w14:textId="77777777" w:rsidR="00797AA9" w:rsidRPr="00BC523A" w:rsidRDefault="00797AA9" w:rsidP="008D15DB">
            <w:pPr>
              <w:jc w:val="right"/>
              <w:rPr>
                <w:color w:val="000000"/>
                <w:sz w:val="22"/>
                <w:szCs w:val="22"/>
                <w:lang w:eastAsia="cs-CZ"/>
              </w:rPr>
            </w:pPr>
            <w:r w:rsidRPr="00BC523A">
              <w:rPr>
                <w:color w:val="000000"/>
                <w:sz w:val="22"/>
                <w:szCs w:val="22"/>
                <w:lang w:eastAsia="cs-CZ"/>
              </w:rPr>
              <w:t> </w:t>
            </w:r>
          </w:p>
        </w:tc>
        <w:tc>
          <w:tcPr>
            <w:tcW w:w="1155" w:type="dxa"/>
            <w:tcBorders>
              <w:top w:val="single" w:sz="8" w:space="0" w:color="auto"/>
              <w:left w:val="nil"/>
              <w:bottom w:val="single" w:sz="8" w:space="0" w:color="auto"/>
              <w:right w:val="single" w:sz="8" w:space="0" w:color="auto"/>
            </w:tcBorders>
            <w:vAlign w:val="center"/>
          </w:tcPr>
          <w:p w14:paraId="5738C249"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1 500</w:t>
            </w:r>
          </w:p>
        </w:tc>
        <w:tc>
          <w:tcPr>
            <w:tcW w:w="1280" w:type="dxa"/>
            <w:tcBorders>
              <w:top w:val="single" w:sz="8" w:space="0" w:color="auto"/>
              <w:left w:val="nil"/>
              <w:bottom w:val="single" w:sz="8" w:space="0" w:color="auto"/>
              <w:right w:val="single" w:sz="8" w:space="0" w:color="000000"/>
            </w:tcBorders>
            <w:vAlign w:val="center"/>
          </w:tcPr>
          <w:p w14:paraId="37824855" w14:textId="77777777" w:rsidR="00797AA9" w:rsidRPr="00BC523A" w:rsidRDefault="00797AA9" w:rsidP="008D15DB">
            <w:pPr>
              <w:jc w:val="center"/>
              <w:rPr>
                <w:color w:val="000000"/>
                <w:sz w:val="22"/>
                <w:szCs w:val="22"/>
                <w:lang w:eastAsia="cs-CZ"/>
              </w:rPr>
            </w:pPr>
            <w:r w:rsidRPr="00BC523A">
              <w:rPr>
                <w:color w:val="000000"/>
                <w:sz w:val="22"/>
                <w:szCs w:val="22"/>
                <w:lang w:eastAsia="cs-CZ"/>
              </w:rPr>
              <w:t>SK</w:t>
            </w:r>
          </w:p>
        </w:tc>
      </w:tr>
      <w:tr w:rsidR="00797AA9" w:rsidRPr="00BC523A" w14:paraId="54EBF039" w14:textId="77777777" w:rsidTr="008D15DB">
        <w:trPr>
          <w:gridAfter w:val="1"/>
          <w:wAfter w:w="1280" w:type="dxa"/>
          <w:trHeight w:val="757"/>
        </w:trPr>
        <w:tc>
          <w:tcPr>
            <w:tcW w:w="554" w:type="dxa"/>
            <w:tcBorders>
              <w:top w:val="nil"/>
              <w:left w:val="nil"/>
              <w:bottom w:val="single" w:sz="8" w:space="0" w:color="auto"/>
              <w:right w:val="nil"/>
            </w:tcBorders>
            <w:noWrap/>
            <w:vAlign w:val="bottom"/>
            <w:hideMark/>
          </w:tcPr>
          <w:p w14:paraId="3A83DD87" w14:textId="77777777" w:rsidR="00797AA9" w:rsidRPr="00BC523A" w:rsidRDefault="00797AA9" w:rsidP="008D15DB">
            <w:pPr>
              <w:rPr>
                <w:b/>
                <w:bCs/>
                <w:color w:val="000000"/>
                <w:sz w:val="22"/>
                <w:szCs w:val="22"/>
                <w:lang w:eastAsia="cs-CZ"/>
              </w:rPr>
            </w:pPr>
          </w:p>
        </w:tc>
        <w:tc>
          <w:tcPr>
            <w:tcW w:w="2697" w:type="dxa"/>
            <w:tcBorders>
              <w:top w:val="nil"/>
              <w:left w:val="nil"/>
              <w:bottom w:val="single" w:sz="8" w:space="0" w:color="auto"/>
              <w:right w:val="nil"/>
            </w:tcBorders>
            <w:vAlign w:val="bottom"/>
            <w:hideMark/>
          </w:tcPr>
          <w:p w14:paraId="6FD6556A" w14:textId="77777777" w:rsidR="00797AA9" w:rsidRPr="00BC523A" w:rsidRDefault="00797AA9" w:rsidP="008D15DB">
            <w:pPr>
              <w:rPr>
                <w:b/>
                <w:bCs/>
                <w:color w:val="000000"/>
                <w:sz w:val="22"/>
                <w:szCs w:val="22"/>
                <w:lang w:eastAsia="cs-CZ"/>
              </w:rPr>
            </w:pPr>
          </w:p>
        </w:tc>
        <w:tc>
          <w:tcPr>
            <w:tcW w:w="988" w:type="dxa"/>
            <w:tcBorders>
              <w:top w:val="nil"/>
              <w:left w:val="nil"/>
              <w:bottom w:val="single" w:sz="8" w:space="0" w:color="auto"/>
              <w:right w:val="nil"/>
            </w:tcBorders>
            <w:noWrap/>
            <w:vAlign w:val="bottom"/>
            <w:hideMark/>
          </w:tcPr>
          <w:p w14:paraId="0C97A764"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30FD5FC0" w14:textId="77777777" w:rsidR="00797AA9" w:rsidRPr="00BC523A" w:rsidRDefault="00797AA9" w:rsidP="008D15DB">
            <w:pPr>
              <w:rPr>
                <w:b/>
                <w:bCs/>
                <w:color w:val="000000"/>
                <w:sz w:val="22"/>
                <w:szCs w:val="22"/>
                <w:lang w:eastAsia="cs-CZ"/>
              </w:rPr>
            </w:pPr>
          </w:p>
        </w:tc>
        <w:tc>
          <w:tcPr>
            <w:tcW w:w="990" w:type="dxa"/>
            <w:tcBorders>
              <w:top w:val="nil"/>
              <w:left w:val="nil"/>
              <w:bottom w:val="single" w:sz="8" w:space="0" w:color="auto"/>
              <w:right w:val="nil"/>
            </w:tcBorders>
            <w:noWrap/>
            <w:vAlign w:val="bottom"/>
            <w:hideMark/>
          </w:tcPr>
          <w:p w14:paraId="034F19FA" w14:textId="77777777" w:rsidR="00797AA9" w:rsidRPr="00BC523A" w:rsidRDefault="00797AA9" w:rsidP="008D15DB">
            <w:pPr>
              <w:rPr>
                <w:b/>
                <w:bCs/>
                <w:color w:val="000000"/>
                <w:sz w:val="22"/>
                <w:szCs w:val="22"/>
                <w:lang w:eastAsia="cs-CZ"/>
              </w:rPr>
            </w:pPr>
          </w:p>
        </w:tc>
        <w:tc>
          <w:tcPr>
            <w:tcW w:w="1131" w:type="dxa"/>
            <w:tcBorders>
              <w:top w:val="nil"/>
              <w:left w:val="nil"/>
              <w:bottom w:val="single" w:sz="8" w:space="0" w:color="auto"/>
              <w:right w:val="nil"/>
            </w:tcBorders>
            <w:noWrap/>
            <w:vAlign w:val="bottom"/>
            <w:hideMark/>
          </w:tcPr>
          <w:p w14:paraId="0CA43B67" w14:textId="77777777" w:rsidR="00797AA9" w:rsidRPr="00BC523A" w:rsidRDefault="00797AA9" w:rsidP="008D15DB">
            <w:pPr>
              <w:rPr>
                <w:b/>
                <w:bCs/>
                <w:color w:val="000000"/>
                <w:sz w:val="22"/>
                <w:szCs w:val="22"/>
                <w:lang w:eastAsia="cs-CZ"/>
              </w:rPr>
            </w:pPr>
          </w:p>
        </w:tc>
        <w:tc>
          <w:tcPr>
            <w:tcW w:w="1155" w:type="dxa"/>
            <w:tcBorders>
              <w:top w:val="nil"/>
              <w:left w:val="nil"/>
              <w:bottom w:val="single" w:sz="8" w:space="0" w:color="auto"/>
              <w:right w:val="nil"/>
            </w:tcBorders>
            <w:noWrap/>
            <w:vAlign w:val="bottom"/>
            <w:hideMark/>
          </w:tcPr>
          <w:p w14:paraId="13879F03" w14:textId="77777777" w:rsidR="00797AA9" w:rsidRPr="00BC523A" w:rsidRDefault="00797AA9" w:rsidP="008D15DB">
            <w:pPr>
              <w:rPr>
                <w:b/>
                <w:bCs/>
                <w:color w:val="000000"/>
                <w:sz w:val="22"/>
                <w:szCs w:val="22"/>
                <w:lang w:eastAsia="cs-CZ"/>
              </w:rPr>
            </w:pPr>
          </w:p>
        </w:tc>
      </w:tr>
      <w:tr w:rsidR="00797AA9" w:rsidRPr="00BC523A" w14:paraId="6018D377" w14:textId="77777777" w:rsidTr="008D15DB">
        <w:trPr>
          <w:gridAfter w:val="1"/>
          <w:wAfter w:w="1280" w:type="dxa"/>
          <w:trHeight w:val="465"/>
        </w:trPr>
        <w:tc>
          <w:tcPr>
            <w:tcW w:w="554"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7A6BA9DC" w14:textId="77777777" w:rsidR="00797AA9" w:rsidRPr="001D7A4C" w:rsidRDefault="00797AA9" w:rsidP="008D15DB">
            <w:pPr>
              <w:jc w:val="center"/>
              <w:rPr>
                <w:color w:val="000000"/>
                <w:sz w:val="22"/>
                <w:szCs w:val="22"/>
                <w:lang w:eastAsia="cs-CZ"/>
              </w:rPr>
            </w:pPr>
          </w:p>
        </w:tc>
        <w:tc>
          <w:tcPr>
            <w:tcW w:w="2697"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F605BC7" w14:textId="20D08C0C" w:rsidR="00797AA9" w:rsidRPr="001D7A4C" w:rsidRDefault="00797AA9" w:rsidP="008D15DB">
            <w:pPr>
              <w:rPr>
                <w:color w:val="000000"/>
                <w:sz w:val="22"/>
                <w:szCs w:val="22"/>
                <w:lang w:eastAsia="cs-CZ"/>
              </w:rPr>
            </w:pPr>
            <w:r w:rsidRPr="001D7A4C">
              <w:rPr>
                <w:rFonts w:cstheme="minorHAnsi"/>
                <w:b/>
                <w:bCs/>
                <w:sz w:val="22"/>
                <w:szCs w:val="22"/>
                <w:lang w:eastAsia="cs-CZ"/>
              </w:rPr>
              <w:t>CELKEM – hrazeno z fondu SK</w:t>
            </w:r>
            <w:r w:rsidR="00B52986">
              <w:rPr>
                <w:rFonts w:cstheme="minorHAnsi"/>
                <w:b/>
                <w:bCs/>
                <w:sz w:val="22"/>
                <w:szCs w:val="22"/>
                <w:lang w:eastAsia="cs-CZ"/>
              </w:rPr>
              <w:t xml:space="preserve"> + PU10</w:t>
            </w:r>
          </w:p>
        </w:tc>
        <w:tc>
          <w:tcPr>
            <w:tcW w:w="4099" w:type="dxa"/>
            <w:gridSpan w:val="4"/>
            <w:tcBorders>
              <w:top w:val="single" w:sz="8" w:space="0" w:color="auto"/>
              <w:left w:val="nil"/>
              <w:bottom w:val="single" w:sz="8" w:space="0" w:color="auto"/>
              <w:right w:val="single" w:sz="8" w:space="0" w:color="auto"/>
            </w:tcBorders>
            <w:shd w:val="clear" w:color="auto" w:fill="F2F2F2" w:themeFill="background1" w:themeFillShade="F2"/>
            <w:vAlign w:val="center"/>
          </w:tcPr>
          <w:p w14:paraId="7EADA8B2" w14:textId="77777777" w:rsidR="00797AA9" w:rsidRPr="001D7A4C" w:rsidRDefault="00797AA9" w:rsidP="008D15DB">
            <w:pPr>
              <w:jc w:val="center"/>
              <w:rPr>
                <w:color w:val="000000"/>
                <w:sz w:val="22"/>
                <w:szCs w:val="22"/>
                <w:lang w:eastAsia="cs-CZ"/>
              </w:rPr>
            </w:pPr>
            <w:r w:rsidRPr="001D7A4C">
              <w:rPr>
                <w:rFonts w:cstheme="minorHAnsi"/>
                <w:b/>
                <w:bCs/>
                <w:sz w:val="22"/>
                <w:szCs w:val="22"/>
                <w:lang w:eastAsia="cs-CZ"/>
              </w:rPr>
              <w:t>Financování v tis. Kč</w:t>
            </w:r>
          </w:p>
        </w:tc>
        <w:tc>
          <w:tcPr>
            <w:tcW w:w="1155" w:type="dxa"/>
            <w:vMerge w:val="restart"/>
            <w:tcBorders>
              <w:top w:val="single" w:sz="8" w:space="0" w:color="auto"/>
              <w:left w:val="nil"/>
              <w:right w:val="single" w:sz="8" w:space="0" w:color="auto"/>
            </w:tcBorders>
            <w:shd w:val="clear" w:color="auto" w:fill="F2F2F2" w:themeFill="background1" w:themeFillShade="F2"/>
            <w:vAlign w:val="center"/>
          </w:tcPr>
          <w:p w14:paraId="672DB8D6" w14:textId="77777777" w:rsidR="00797AA9" w:rsidRPr="001D7A4C" w:rsidRDefault="00797AA9" w:rsidP="008D15DB">
            <w:pPr>
              <w:jc w:val="right"/>
              <w:rPr>
                <w:color w:val="000000"/>
                <w:sz w:val="22"/>
                <w:szCs w:val="22"/>
                <w:lang w:eastAsia="cs-CZ"/>
              </w:rPr>
            </w:pPr>
            <w:r w:rsidRPr="001D7A4C">
              <w:rPr>
                <w:b/>
                <w:bCs/>
                <w:color w:val="000000"/>
                <w:sz w:val="22"/>
                <w:szCs w:val="22"/>
                <w:lang w:eastAsia="cs-CZ"/>
              </w:rPr>
              <w:t xml:space="preserve">celkem </w:t>
            </w:r>
          </w:p>
        </w:tc>
      </w:tr>
      <w:tr w:rsidR="00797AA9" w:rsidRPr="00BC523A" w14:paraId="4B265875" w14:textId="77777777" w:rsidTr="008D15DB">
        <w:trPr>
          <w:gridAfter w:val="1"/>
          <w:wAfter w:w="1280" w:type="dxa"/>
          <w:trHeight w:val="344"/>
        </w:trPr>
        <w:tc>
          <w:tcPr>
            <w:tcW w:w="554" w:type="dxa"/>
            <w:vMerge/>
            <w:tcBorders>
              <w:left w:val="single" w:sz="8" w:space="0" w:color="auto"/>
              <w:bottom w:val="single" w:sz="8" w:space="0" w:color="000000"/>
              <w:right w:val="single" w:sz="8" w:space="0" w:color="auto"/>
            </w:tcBorders>
            <w:vAlign w:val="center"/>
          </w:tcPr>
          <w:p w14:paraId="33756162"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3925CEAF"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7A76E07E"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NINV   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3D8F4892"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INV</w:t>
            </w:r>
          </w:p>
          <w:p w14:paraId="3CDFDA30"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72C23269"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NINV dotační</w:t>
            </w:r>
          </w:p>
        </w:tc>
        <w:tc>
          <w:tcPr>
            <w:tcW w:w="113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F14D138"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auto"/>
              <w:right w:val="single" w:sz="8" w:space="0" w:color="auto"/>
            </w:tcBorders>
            <w:vAlign w:val="center"/>
          </w:tcPr>
          <w:p w14:paraId="7CAB1A8C" w14:textId="77777777" w:rsidR="00797AA9" w:rsidRPr="00BC523A" w:rsidRDefault="00797AA9" w:rsidP="008D15DB">
            <w:pPr>
              <w:jc w:val="right"/>
              <w:rPr>
                <w:color w:val="000000"/>
                <w:sz w:val="22"/>
                <w:szCs w:val="22"/>
                <w:lang w:eastAsia="cs-CZ"/>
              </w:rPr>
            </w:pPr>
          </w:p>
        </w:tc>
      </w:tr>
      <w:tr w:rsidR="00797AA9" w:rsidRPr="00BC523A" w14:paraId="4433928C"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191C540D" w14:textId="77777777" w:rsidR="00797AA9" w:rsidRPr="00BC523A" w:rsidRDefault="00797AA9" w:rsidP="008D15DB">
            <w:pPr>
              <w:jc w:val="center"/>
              <w:rPr>
                <w:color w:val="000000"/>
                <w:sz w:val="22"/>
                <w:szCs w:val="22"/>
                <w:lang w:eastAsia="cs-CZ"/>
              </w:rPr>
            </w:pPr>
            <w:r w:rsidRPr="00BC523A">
              <w:rPr>
                <w:color w:val="000000"/>
                <w:sz w:val="22"/>
                <w:szCs w:val="22"/>
                <w:lang w:eastAsia="cs-CZ"/>
              </w:rPr>
              <w:t>1</w:t>
            </w:r>
          </w:p>
        </w:tc>
        <w:tc>
          <w:tcPr>
            <w:tcW w:w="2697" w:type="dxa"/>
            <w:tcBorders>
              <w:top w:val="single" w:sz="8" w:space="0" w:color="auto"/>
              <w:left w:val="single" w:sz="8" w:space="0" w:color="auto"/>
              <w:bottom w:val="single" w:sz="8" w:space="0" w:color="000000"/>
              <w:right w:val="single" w:sz="8" w:space="0" w:color="auto"/>
            </w:tcBorders>
            <w:vAlign w:val="center"/>
          </w:tcPr>
          <w:p w14:paraId="6ED13E80" w14:textId="77777777" w:rsidR="00797AA9" w:rsidRPr="00BC523A" w:rsidRDefault="00797AA9" w:rsidP="008D15DB">
            <w:pPr>
              <w:rPr>
                <w:color w:val="000000"/>
                <w:sz w:val="22"/>
                <w:szCs w:val="22"/>
                <w:lang w:eastAsia="cs-CZ"/>
              </w:rPr>
            </w:pPr>
            <w:r w:rsidRPr="00BC523A">
              <w:rPr>
                <w:color w:val="000000"/>
                <w:sz w:val="22"/>
                <w:szCs w:val="22"/>
                <w:lang w:eastAsia="cs-CZ"/>
              </w:rPr>
              <w:t>STRATEGICKÉ AKCE</w:t>
            </w:r>
          </w:p>
        </w:tc>
        <w:tc>
          <w:tcPr>
            <w:tcW w:w="988" w:type="dxa"/>
            <w:tcBorders>
              <w:top w:val="single" w:sz="8" w:space="0" w:color="auto"/>
              <w:left w:val="nil"/>
              <w:bottom w:val="single" w:sz="8" w:space="0" w:color="auto"/>
              <w:right w:val="single" w:sz="8" w:space="0" w:color="auto"/>
            </w:tcBorders>
            <w:vAlign w:val="center"/>
          </w:tcPr>
          <w:p w14:paraId="6C57B526"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7BCD6E5C" w14:textId="77777777" w:rsidR="00797AA9" w:rsidRPr="0083536A" w:rsidRDefault="00797AA9" w:rsidP="008D15DB">
            <w:pPr>
              <w:jc w:val="right"/>
              <w:rPr>
                <w:rFonts w:ascii="Aptos" w:hAnsi="Aptos"/>
                <w:color w:val="000000"/>
                <w:sz w:val="22"/>
                <w:szCs w:val="22"/>
              </w:rPr>
            </w:pPr>
            <w:r w:rsidRPr="0083536A">
              <w:rPr>
                <w:color w:val="000000"/>
                <w:sz w:val="22"/>
                <w:szCs w:val="22"/>
                <w:lang w:eastAsia="cs-CZ"/>
              </w:rPr>
              <w:t>125</w:t>
            </w:r>
            <w:r>
              <w:rPr>
                <w:rFonts w:ascii="Aptos" w:hAnsi="Aptos"/>
                <w:color w:val="000000"/>
                <w:sz w:val="22"/>
                <w:szCs w:val="22"/>
              </w:rPr>
              <w:t> 000</w:t>
            </w:r>
          </w:p>
        </w:tc>
        <w:tc>
          <w:tcPr>
            <w:tcW w:w="990" w:type="dxa"/>
            <w:tcBorders>
              <w:top w:val="single" w:sz="8" w:space="0" w:color="auto"/>
              <w:left w:val="nil"/>
              <w:bottom w:val="single" w:sz="8" w:space="0" w:color="auto"/>
              <w:right w:val="single" w:sz="8" w:space="0" w:color="auto"/>
            </w:tcBorders>
            <w:vAlign w:val="center"/>
          </w:tcPr>
          <w:p w14:paraId="130FAD7F"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5B7F8E2B" w14:textId="77777777" w:rsidR="00797AA9" w:rsidRPr="00BC523A" w:rsidRDefault="00797AA9" w:rsidP="008D15DB">
            <w:pPr>
              <w:jc w:val="right"/>
              <w:rPr>
                <w:color w:val="000000"/>
                <w:sz w:val="22"/>
                <w:szCs w:val="22"/>
                <w:lang w:eastAsia="cs-CZ"/>
              </w:rPr>
            </w:pPr>
            <w:r w:rsidRPr="00BC523A">
              <w:rPr>
                <w:color w:val="000000"/>
                <w:sz w:val="22"/>
                <w:szCs w:val="22"/>
                <w:lang w:eastAsia="cs-CZ"/>
              </w:rPr>
              <w:t>305 844</w:t>
            </w:r>
          </w:p>
        </w:tc>
        <w:tc>
          <w:tcPr>
            <w:tcW w:w="1155" w:type="dxa"/>
            <w:tcBorders>
              <w:top w:val="single" w:sz="8" w:space="0" w:color="auto"/>
              <w:left w:val="nil"/>
              <w:bottom w:val="single" w:sz="8" w:space="0" w:color="auto"/>
              <w:right w:val="single" w:sz="8" w:space="0" w:color="auto"/>
            </w:tcBorders>
            <w:vAlign w:val="center"/>
          </w:tcPr>
          <w:p w14:paraId="477DE7D4" w14:textId="77777777" w:rsidR="00797AA9" w:rsidRPr="00BC523A" w:rsidRDefault="00797AA9" w:rsidP="008D15DB">
            <w:pPr>
              <w:jc w:val="right"/>
              <w:rPr>
                <w:color w:val="000000"/>
                <w:sz w:val="22"/>
                <w:szCs w:val="22"/>
                <w:lang w:eastAsia="cs-CZ"/>
              </w:rPr>
            </w:pPr>
            <w:r w:rsidRPr="00BC523A">
              <w:rPr>
                <w:color w:val="000000"/>
                <w:sz w:val="22"/>
                <w:szCs w:val="22"/>
                <w:lang w:eastAsia="cs-CZ"/>
              </w:rPr>
              <w:t>430 844</w:t>
            </w:r>
          </w:p>
        </w:tc>
      </w:tr>
      <w:tr w:rsidR="00797AA9" w:rsidRPr="00BC523A" w14:paraId="4B033F93"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989D93B"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w:t>
            </w:r>
          </w:p>
        </w:tc>
        <w:tc>
          <w:tcPr>
            <w:tcW w:w="2697" w:type="dxa"/>
            <w:tcBorders>
              <w:top w:val="single" w:sz="8" w:space="0" w:color="auto"/>
              <w:left w:val="single" w:sz="8" w:space="0" w:color="auto"/>
              <w:bottom w:val="single" w:sz="8" w:space="0" w:color="000000"/>
              <w:right w:val="single" w:sz="8" w:space="0" w:color="auto"/>
            </w:tcBorders>
            <w:vAlign w:val="center"/>
          </w:tcPr>
          <w:p w14:paraId="085F7425" w14:textId="77777777" w:rsidR="00797AA9" w:rsidRPr="00BC523A" w:rsidRDefault="00797AA9" w:rsidP="008D15DB">
            <w:pPr>
              <w:rPr>
                <w:color w:val="000000"/>
                <w:sz w:val="22"/>
                <w:szCs w:val="22"/>
                <w:lang w:eastAsia="cs-CZ"/>
              </w:rPr>
            </w:pPr>
            <w:r w:rsidRPr="00BC523A">
              <w:rPr>
                <w:color w:val="000000"/>
                <w:sz w:val="22"/>
                <w:szCs w:val="22"/>
                <w:lang w:eastAsia="cs-CZ"/>
              </w:rPr>
              <w:t>PRIORITNÍ AKCE</w:t>
            </w:r>
          </w:p>
        </w:tc>
        <w:tc>
          <w:tcPr>
            <w:tcW w:w="988" w:type="dxa"/>
            <w:tcBorders>
              <w:top w:val="single" w:sz="8" w:space="0" w:color="auto"/>
              <w:left w:val="nil"/>
              <w:bottom w:val="single" w:sz="8" w:space="0" w:color="auto"/>
              <w:right w:val="single" w:sz="8" w:space="0" w:color="auto"/>
            </w:tcBorders>
            <w:vAlign w:val="center"/>
          </w:tcPr>
          <w:p w14:paraId="50F75C66" w14:textId="77777777" w:rsidR="00797AA9" w:rsidRPr="00BC523A" w:rsidRDefault="00797AA9" w:rsidP="008D15DB">
            <w:pPr>
              <w:jc w:val="right"/>
              <w:rPr>
                <w:color w:val="000000"/>
                <w:sz w:val="22"/>
                <w:szCs w:val="22"/>
                <w:lang w:eastAsia="cs-CZ"/>
              </w:rPr>
            </w:pPr>
            <w:r w:rsidRPr="00BC523A">
              <w:rPr>
                <w:color w:val="000000"/>
                <w:sz w:val="22"/>
                <w:szCs w:val="22"/>
                <w:lang w:eastAsia="cs-CZ"/>
              </w:rPr>
              <w:t>5 100</w:t>
            </w:r>
          </w:p>
        </w:tc>
        <w:tc>
          <w:tcPr>
            <w:tcW w:w="990" w:type="dxa"/>
            <w:tcBorders>
              <w:top w:val="single" w:sz="8" w:space="0" w:color="auto"/>
              <w:left w:val="nil"/>
              <w:bottom w:val="single" w:sz="8" w:space="0" w:color="auto"/>
              <w:right w:val="single" w:sz="8" w:space="0" w:color="auto"/>
            </w:tcBorders>
            <w:vAlign w:val="center"/>
          </w:tcPr>
          <w:p w14:paraId="3CA08E4B" w14:textId="77777777" w:rsidR="00797AA9" w:rsidRPr="00BC523A" w:rsidRDefault="00797AA9" w:rsidP="008D15DB">
            <w:pPr>
              <w:jc w:val="right"/>
              <w:rPr>
                <w:color w:val="000000"/>
                <w:sz w:val="22"/>
                <w:szCs w:val="22"/>
                <w:lang w:eastAsia="cs-CZ"/>
              </w:rPr>
            </w:pPr>
            <w:r w:rsidRPr="00BC523A">
              <w:rPr>
                <w:color w:val="000000"/>
                <w:sz w:val="22"/>
                <w:szCs w:val="22"/>
                <w:lang w:eastAsia="cs-CZ"/>
              </w:rPr>
              <w:t>41 860</w:t>
            </w:r>
          </w:p>
        </w:tc>
        <w:tc>
          <w:tcPr>
            <w:tcW w:w="990" w:type="dxa"/>
            <w:tcBorders>
              <w:top w:val="single" w:sz="8" w:space="0" w:color="auto"/>
              <w:left w:val="nil"/>
              <w:bottom w:val="single" w:sz="8" w:space="0" w:color="auto"/>
              <w:right w:val="single" w:sz="8" w:space="0" w:color="auto"/>
            </w:tcBorders>
            <w:vAlign w:val="center"/>
          </w:tcPr>
          <w:p w14:paraId="767FB9E5" w14:textId="77777777" w:rsidR="00797AA9" w:rsidRPr="00BC523A" w:rsidRDefault="00797AA9" w:rsidP="008D15DB">
            <w:pPr>
              <w:jc w:val="right"/>
              <w:rPr>
                <w:color w:val="000000"/>
                <w:sz w:val="22"/>
                <w:szCs w:val="22"/>
                <w:lang w:eastAsia="cs-CZ"/>
              </w:rPr>
            </w:pPr>
            <w:r w:rsidRPr="00BC523A">
              <w:rPr>
                <w:color w:val="000000"/>
                <w:sz w:val="22"/>
                <w:szCs w:val="22"/>
                <w:lang w:eastAsia="cs-CZ"/>
              </w:rPr>
              <w:t>733</w:t>
            </w:r>
          </w:p>
        </w:tc>
        <w:tc>
          <w:tcPr>
            <w:tcW w:w="1131" w:type="dxa"/>
            <w:tcBorders>
              <w:top w:val="single" w:sz="8" w:space="0" w:color="auto"/>
              <w:left w:val="nil"/>
              <w:bottom w:val="single" w:sz="8" w:space="0" w:color="auto"/>
              <w:right w:val="single" w:sz="8" w:space="0" w:color="auto"/>
            </w:tcBorders>
            <w:vAlign w:val="center"/>
          </w:tcPr>
          <w:p w14:paraId="1D0B808D" w14:textId="77777777" w:rsidR="00797AA9" w:rsidRPr="00BC523A" w:rsidRDefault="00797AA9" w:rsidP="008D15DB">
            <w:pPr>
              <w:jc w:val="right"/>
              <w:rPr>
                <w:color w:val="000000"/>
                <w:sz w:val="22"/>
                <w:szCs w:val="22"/>
                <w:lang w:eastAsia="cs-CZ"/>
              </w:rPr>
            </w:pPr>
            <w:r w:rsidRPr="00BC523A">
              <w:rPr>
                <w:color w:val="000000"/>
                <w:sz w:val="22"/>
                <w:szCs w:val="22"/>
                <w:lang w:eastAsia="cs-CZ"/>
              </w:rPr>
              <w:t>21 795</w:t>
            </w:r>
          </w:p>
        </w:tc>
        <w:tc>
          <w:tcPr>
            <w:tcW w:w="1155" w:type="dxa"/>
            <w:tcBorders>
              <w:top w:val="single" w:sz="8" w:space="0" w:color="auto"/>
              <w:left w:val="nil"/>
              <w:bottom w:val="single" w:sz="8" w:space="0" w:color="auto"/>
              <w:right w:val="single" w:sz="8" w:space="0" w:color="auto"/>
            </w:tcBorders>
            <w:vAlign w:val="center"/>
          </w:tcPr>
          <w:p w14:paraId="5D4F6C86" w14:textId="77777777" w:rsidR="00797AA9" w:rsidRPr="00BC523A" w:rsidRDefault="00797AA9" w:rsidP="008D15DB">
            <w:pPr>
              <w:jc w:val="right"/>
              <w:rPr>
                <w:color w:val="000000"/>
                <w:sz w:val="22"/>
                <w:szCs w:val="22"/>
                <w:lang w:eastAsia="cs-CZ"/>
              </w:rPr>
            </w:pPr>
            <w:r w:rsidRPr="00BC523A">
              <w:rPr>
                <w:color w:val="000000"/>
                <w:sz w:val="22"/>
                <w:szCs w:val="22"/>
                <w:lang w:eastAsia="cs-CZ"/>
              </w:rPr>
              <w:t>69 488</w:t>
            </w:r>
          </w:p>
        </w:tc>
      </w:tr>
      <w:tr w:rsidR="00797AA9" w:rsidRPr="00BC523A" w14:paraId="6EBECEA0"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56AABDA6" w14:textId="77777777" w:rsidR="00797AA9" w:rsidRPr="00BC523A" w:rsidRDefault="00797AA9" w:rsidP="008D15DB">
            <w:pPr>
              <w:jc w:val="center"/>
              <w:rPr>
                <w:color w:val="000000"/>
                <w:sz w:val="22"/>
                <w:szCs w:val="22"/>
                <w:lang w:eastAsia="cs-CZ"/>
              </w:rPr>
            </w:pPr>
            <w:r w:rsidRPr="00BC523A">
              <w:rPr>
                <w:color w:val="000000"/>
                <w:sz w:val="22"/>
                <w:szCs w:val="22"/>
                <w:lang w:eastAsia="cs-CZ"/>
              </w:rPr>
              <w:t>3</w:t>
            </w:r>
          </w:p>
        </w:tc>
        <w:tc>
          <w:tcPr>
            <w:tcW w:w="2697" w:type="dxa"/>
            <w:tcBorders>
              <w:top w:val="single" w:sz="8" w:space="0" w:color="auto"/>
              <w:left w:val="single" w:sz="8" w:space="0" w:color="auto"/>
              <w:bottom w:val="single" w:sz="8" w:space="0" w:color="000000"/>
              <w:right w:val="single" w:sz="8" w:space="0" w:color="auto"/>
            </w:tcBorders>
            <w:vAlign w:val="center"/>
          </w:tcPr>
          <w:p w14:paraId="6F3A5B93" w14:textId="77777777" w:rsidR="00797AA9" w:rsidRPr="00BC523A" w:rsidRDefault="00797AA9" w:rsidP="008D15DB">
            <w:pPr>
              <w:rPr>
                <w:color w:val="000000"/>
                <w:sz w:val="22"/>
                <w:szCs w:val="22"/>
                <w:lang w:eastAsia="cs-CZ"/>
              </w:rPr>
            </w:pPr>
            <w:r w:rsidRPr="00BC523A">
              <w:rPr>
                <w:color w:val="000000"/>
                <w:sz w:val="22"/>
                <w:szCs w:val="22"/>
                <w:lang w:eastAsia="cs-CZ"/>
              </w:rPr>
              <w:t>Energetika, BOZP + PO</w:t>
            </w:r>
          </w:p>
        </w:tc>
        <w:tc>
          <w:tcPr>
            <w:tcW w:w="988" w:type="dxa"/>
            <w:tcBorders>
              <w:top w:val="single" w:sz="8" w:space="0" w:color="auto"/>
              <w:left w:val="nil"/>
              <w:bottom w:val="single" w:sz="8" w:space="0" w:color="auto"/>
              <w:right w:val="single" w:sz="8" w:space="0" w:color="auto"/>
            </w:tcBorders>
            <w:vAlign w:val="center"/>
          </w:tcPr>
          <w:p w14:paraId="2CD8012D" w14:textId="77777777" w:rsidR="00797AA9" w:rsidRPr="00BC523A" w:rsidRDefault="00797AA9" w:rsidP="008D15DB">
            <w:pPr>
              <w:jc w:val="right"/>
              <w:rPr>
                <w:color w:val="000000"/>
                <w:sz w:val="22"/>
                <w:szCs w:val="22"/>
                <w:lang w:eastAsia="cs-CZ"/>
              </w:rPr>
            </w:pPr>
            <w:r w:rsidRPr="00BC523A">
              <w:rPr>
                <w:color w:val="000000"/>
                <w:sz w:val="22"/>
                <w:szCs w:val="22"/>
                <w:lang w:eastAsia="cs-CZ"/>
              </w:rPr>
              <w:t>2 879</w:t>
            </w:r>
          </w:p>
        </w:tc>
        <w:tc>
          <w:tcPr>
            <w:tcW w:w="990" w:type="dxa"/>
            <w:tcBorders>
              <w:top w:val="single" w:sz="8" w:space="0" w:color="auto"/>
              <w:left w:val="nil"/>
              <w:bottom w:val="single" w:sz="8" w:space="0" w:color="auto"/>
              <w:right w:val="single" w:sz="8" w:space="0" w:color="auto"/>
            </w:tcBorders>
            <w:vAlign w:val="center"/>
          </w:tcPr>
          <w:p w14:paraId="75B1EF0A" w14:textId="77777777" w:rsidR="00797AA9" w:rsidRPr="00BC523A" w:rsidRDefault="00797AA9" w:rsidP="008D15DB">
            <w:pPr>
              <w:jc w:val="right"/>
              <w:rPr>
                <w:color w:val="000000"/>
                <w:sz w:val="22"/>
                <w:szCs w:val="22"/>
                <w:lang w:eastAsia="cs-CZ"/>
              </w:rPr>
            </w:pPr>
            <w:r w:rsidRPr="00BC523A">
              <w:rPr>
                <w:color w:val="000000"/>
                <w:sz w:val="22"/>
                <w:szCs w:val="22"/>
                <w:lang w:eastAsia="cs-CZ"/>
              </w:rPr>
              <w:t>4 975</w:t>
            </w:r>
          </w:p>
        </w:tc>
        <w:tc>
          <w:tcPr>
            <w:tcW w:w="990" w:type="dxa"/>
            <w:tcBorders>
              <w:top w:val="single" w:sz="8" w:space="0" w:color="auto"/>
              <w:left w:val="nil"/>
              <w:bottom w:val="single" w:sz="8" w:space="0" w:color="auto"/>
              <w:right w:val="single" w:sz="8" w:space="0" w:color="auto"/>
            </w:tcBorders>
            <w:vAlign w:val="center"/>
          </w:tcPr>
          <w:p w14:paraId="462C4EB7"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2CD49487"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1155" w:type="dxa"/>
            <w:tcBorders>
              <w:top w:val="single" w:sz="8" w:space="0" w:color="auto"/>
              <w:left w:val="nil"/>
              <w:bottom w:val="single" w:sz="8" w:space="0" w:color="auto"/>
              <w:right w:val="single" w:sz="8" w:space="0" w:color="auto"/>
            </w:tcBorders>
            <w:vAlign w:val="center"/>
          </w:tcPr>
          <w:p w14:paraId="7252D4E8" w14:textId="77777777" w:rsidR="00797AA9" w:rsidRPr="00BC523A" w:rsidRDefault="00797AA9" w:rsidP="008D15DB">
            <w:pPr>
              <w:jc w:val="right"/>
              <w:rPr>
                <w:color w:val="000000"/>
                <w:sz w:val="22"/>
                <w:szCs w:val="22"/>
                <w:lang w:eastAsia="cs-CZ"/>
              </w:rPr>
            </w:pPr>
            <w:r w:rsidRPr="00BC523A">
              <w:rPr>
                <w:color w:val="000000"/>
                <w:sz w:val="22"/>
                <w:szCs w:val="22"/>
                <w:lang w:eastAsia="cs-CZ"/>
              </w:rPr>
              <w:t>7 854</w:t>
            </w:r>
          </w:p>
        </w:tc>
      </w:tr>
      <w:tr w:rsidR="00797AA9" w:rsidRPr="00BC523A" w14:paraId="583462C7"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909C431" w14:textId="77777777" w:rsidR="00797AA9" w:rsidRPr="00BC523A" w:rsidRDefault="00797AA9" w:rsidP="008D15DB">
            <w:pPr>
              <w:jc w:val="center"/>
              <w:rPr>
                <w:color w:val="000000"/>
                <w:sz w:val="22"/>
                <w:szCs w:val="22"/>
                <w:lang w:eastAsia="cs-CZ"/>
              </w:rPr>
            </w:pPr>
            <w:r w:rsidRPr="00BC523A">
              <w:rPr>
                <w:color w:val="000000"/>
                <w:sz w:val="22"/>
                <w:szCs w:val="22"/>
                <w:lang w:eastAsia="cs-CZ"/>
              </w:rPr>
              <w:t>4</w:t>
            </w:r>
          </w:p>
        </w:tc>
        <w:tc>
          <w:tcPr>
            <w:tcW w:w="2697" w:type="dxa"/>
            <w:tcBorders>
              <w:top w:val="single" w:sz="8" w:space="0" w:color="auto"/>
              <w:left w:val="single" w:sz="8" w:space="0" w:color="auto"/>
              <w:bottom w:val="single" w:sz="8" w:space="0" w:color="000000"/>
              <w:right w:val="single" w:sz="8" w:space="0" w:color="auto"/>
            </w:tcBorders>
            <w:vAlign w:val="center"/>
          </w:tcPr>
          <w:p w14:paraId="76B84D36" w14:textId="77777777" w:rsidR="00797AA9" w:rsidRPr="00BC523A" w:rsidRDefault="00797AA9" w:rsidP="008D15DB">
            <w:pPr>
              <w:rPr>
                <w:color w:val="000000"/>
                <w:sz w:val="22"/>
                <w:szCs w:val="22"/>
                <w:lang w:eastAsia="cs-CZ"/>
              </w:rPr>
            </w:pPr>
            <w:r w:rsidRPr="00BC523A">
              <w:rPr>
                <w:color w:val="000000"/>
                <w:sz w:val="22"/>
                <w:szCs w:val="22"/>
                <w:lang w:eastAsia="cs-CZ"/>
              </w:rPr>
              <w:t>DALŠÍ AKCE</w:t>
            </w:r>
          </w:p>
        </w:tc>
        <w:tc>
          <w:tcPr>
            <w:tcW w:w="988" w:type="dxa"/>
            <w:tcBorders>
              <w:top w:val="single" w:sz="8" w:space="0" w:color="auto"/>
              <w:left w:val="nil"/>
              <w:bottom w:val="single" w:sz="8" w:space="0" w:color="auto"/>
              <w:right w:val="single" w:sz="8" w:space="0" w:color="auto"/>
            </w:tcBorders>
            <w:vAlign w:val="center"/>
          </w:tcPr>
          <w:p w14:paraId="1777006A" w14:textId="77777777" w:rsidR="00797AA9" w:rsidRPr="00BC523A" w:rsidRDefault="00797AA9" w:rsidP="008D15DB">
            <w:pPr>
              <w:jc w:val="right"/>
              <w:rPr>
                <w:color w:val="000000"/>
                <w:sz w:val="22"/>
                <w:szCs w:val="22"/>
                <w:lang w:eastAsia="cs-CZ"/>
              </w:rPr>
            </w:pPr>
            <w:r w:rsidRPr="00BC523A">
              <w:rPr>
                <w:color w:val="000000"/>
                <w:sz w:val="22"/>
                <w:szCs w:val="22"/>
                <w:lang w:eastAsia="cs-CZ"/>
              </w:rPr>
              <w:t>2 250</w:t>
            </w:r>
          </w:p>
        </w:tc>
        <w:tc>
          <w:tcPr>
            <w:tcW w:w="990" w:type="dxa"/>
            <w:tcBorders>
              <w:top w:val="single" w:sz="8" w:space="0" w:color="auto"/>
              <w:left w:val="nil"/>
              <w:bottom w:val="single" w:sz="8" w:space="0" w:color="auto"/>
              <w:right w:val="single" w:sz="8" w:space="0" w:color="auto"/>
            </w:tcBorders>
            <w:vAlign w:val="center"/>
          </w:tcPr>
          <w:p w14:paraId="4B579648" w14:textId="77777777" w:rsidR="00797AA9" w:rsidRPr="00BC523A" w:rsidRDefault="00797AA9" w:rsidP="008D15DB">
            <w:pPr>
              <w:jc w:val="right"/>
              <w:rPr>
                <w:color w:val="000000"/>
                <w:sz w:val="22"/>
                <w:szCs w:val="22"/>
                <w:lang w:eastAsia="cs-CZ"/>
              </w:rPr>
            </w:pPr>
            <w:r w:rsidRPr="00BC523A">
              <w:rPr>
                <w:color w:val="000000"/>
                <w:sz w:val="22"/>
                <w:szCs w:val="22"/>
                <w:lang w:eastAsia="cs-CZ"/>
              </w:rPr>
              <w:t>3 000</w:t>
            </w:r>
          </w:p>
        </w:tc>
        <w:tc>
          <w:tcPr>
            <w:tcW w:w="990" w:type="dxa"/>
            <w:tcBorders>
              <w:top w:val="single" w:sz="8" w:space="0" w:color="auto"/>
              <w:left w:val="nil"/>
              <w:bottom w:val="single" w:sz="8" w:space="0" w:color="auto"/>
              <w:right w:val="single" w:sz="8" w:space="0" w:color="auto"/>
            </w:tcBorders>
            <w:vAlign w:val="center"/>
          </w:tcPr>
          <w:p w14:paraId="7A2D35B3"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3372034C"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1155" w:type="dxa"/>
            <w:tcBorders>
              <w:top w:val="single" w:sz="8" w:space="0" w:color="auto"/>
              <w:left w:val="nil"/>
              <w:bottom w:val="single" w:sz="8" w:space="0" w:color="auto"/>
              <w:right w:val="single" w:sz="8" w:space="0" w:color="auto"/>
            </w:tcBorders>
            <w:vAlign w:val="center"/>
          </w:tcPr>
          <w:p w14:paraId="37F54A69" w14:textId="77777777" w:rsidR="00797AA9" w:rsidRPr="00BC523A" w:rsidRDefault="00797AA9" w:rsidP="008D15DB">
            <w:pPr>
              <w:jc w:val="right"/>
              <w:rPr>
                <w:color w:val="000000"/>
                <w:sz w:val="22"/>
                <w:szCs w:val="22"/>
                <w:lang w:eastAsia="cs-CZ"/>
              </w:rPr>
            </w:pPr>
            <w:r w:rsidRPr="00BC523A">
              <w:rPr>
                <w:color w:val="000000"/>
                <w:sz w:val="22"/>
                <w:szCs w:val="22"/>
                <w:lang w:eastAsia="cs-CZ"/>
              </w:rPr>
              <w:t>5 250</w:t>
            </w:r>
          </w:p>
        </w:tc>
      </w:tr>
      <w:tr w:rsidR="00797AA9" w:rsidRPr="00BC523A" w14:paraId="7830D11F"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6CBE54D1" w14:textId="77777777" w:rsidR="00797AA9" w:rsidRPr="00BC523A" w:rsidRDefault="00797AA9" w:rsidP="008D15DB">
            <w:pPr>
              <w:jc w:val="center"/>
              <w:rPr>
                <w:color w:val="000000"/>
                <w:sz w:val="22"/>
                <w:szCs w:val="22"/>
                <w:lang w:eastAsia="cs-CZ"/>
              </w:rPr>
            </w:pPr>
            <w:r w:rsidRPr="00BC523A">
              <w:rPr>
                <w:color w:val="000000"/>
                <w:sz w:val="22"/>
                <w:szCs w:val="22"/>
                <w:lang w:eastAsia="cs-CZ"/>
              </w:rPr>
              <w:t>5</w:t>
            </w:r>
          </w:p>
        </w:tc>
        <w:tc>
          <w:tcPr>
            <w:tcW w:w="2697" w:type="dxa"/>
            <w:tcBorders>
              <w:top w:val="single" w:sz="8" w:space="0" w:color="auto"/>
              <w:left w:val="single" w:sz="8" w:space="0" w:color="auto"/>
              <w:bottom w:val="single" w:sz="8" w:space="0" w:color="000000"/>
              <w:right w:val="single" w:sz="8" w:space="0" w:color="auto"/>
            </w:tcBorders>
            <w:vAlign w:val="center"/>
          </w:tcPr>
          <w:p w14:paraId="5CC8BEAD" w14:textId="77777777" w:rsidR="00797AA9" w:rsidRPr="00BC523A" w:rsidRDefault="00797AA9" w:rsidP="008D15DB">
            <w:pPr>
              <w:rPr>
                <w:color w:val="000000"/>
                <w:sz w:val="22"/>
                <w:szCs w:val="22"/>
                <w:lang w:eastAsia="cs-CZ"/>
              </w:rPr>
            </w:pPr>
            <w:r w:rsidRPr="00BC523A">
              <w:rPr>
                <w:color w:val="000000"/>
                <w:sz w:val="22"/>
                <w:szCs w:val="22"/>
                <w:lang w:eastAsia="cs-CZ"/>
              </w:rPr>
              <w:t>SZNN</w:t>
            </w:r>
          </w:p>
        </w:tc>
        <w:tc>
          <w:tcPr>
            <w:tcW w:w="988" w:type="dxa"/>
            <w:tcBorders>
              <w:top w:val="single" w:sz="8" w:space="0" w:color="auto"/>
              <w:left w:val="nil"/>
              <w:bottom w:val="single" w:sz="8" w:space="0" w:color="auto"/>
              <w:right w:val="single" w:sz="8" w:space="0" w:color="auto"/>
            </w:tcBorders>
            <w:vAlign w:val="center"/>
          </w:tcPr>
          <w:p w14:paraId="1C47CA24"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990" w:type="dxa"/>
            <w:tcBorders>
              <w:top w:val="single" w:sz="8" w:space="0" w:color="auto"/>
              <w:left w:val="nil"/>
              <w:bottom w:val="single" w:sz="8" w:space="0" w:color="auto"/>
              <w:right w:val="single" w:sz="8" w:space="0" w:color="auto"/>
            </w:tcBorders>
            <w:vAlign w:val="center"/>
          </w:tcPr>
          <w:p w14:paraId="09229203"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1 500</w:t>
            </w:r>
          </w:p>
        </w:tc>
        <w:tc>
          <w:tcPr>
            <w:tcW w:w="990" w:type="dxa"/>
            <w:tcBorders>
              <w:top w:val="single" w:sz="8" w:space="0" w:color="auto"/>
              <w:left w:val="nil"/>
              <w:bottom w:val="single" w:sz="8" w:space="0" w:color="auto"/>
              <w:right w:val="single" w:sz="8" w:space="0" w:color="auto"/>
            </w:tcBorders>
            <w:vAlign w:val="center"/>
          </w:tcPr>
          <w:p w14:paraId="0E4822C8"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1131" w:type="dxa"/>
            <w:tcBorders>
              <w:top w:val="single" w:sz="8" w:space="0" w:color="auto"/>
              <w:left w:val="nil"/>
              <w:bottom w:val="single" w:sz="8" w:space="0" w:color="auto"/>
              <w:right w:val="single" w:sz="8" w:space="0" w:color="auto"/>
            </w:tcBorders>
            <w:vAlign w:val="center"/>
          </w:tcPr>
          <w:p w14:paraId="006B1426" w14:textId="77777777" w:rsidR="00797AA9" w:rsidRPr="00BC523A" w:rsidRDefault="00797AA9" w:rsidP="008D15DB">
            <w:pPr>
              <w:jc w:val="right"/>
              <w:rPr>
                <w:color w:val="000000"/>
                <w:sz w:val="22"/>
                <w:szCs w:val="22"/>
                <w:lang w:eastAsia="cs-CZ"/>
              </w:rPr>
            </w:pPr>
            <w:r w:rsidRPr="00BC523A">
              <w:rPr>
                <w:color w:val="000000"/>
                <w:sz w:val="22"/>
                <w:szCs w:val="22"/>
                <w:lang w:eastAsia="cs-CZ"/>
              </w:rPr>
              <w:t>0</w:t>
            </w:r>
          </w:p>
        </w:tc>
        <w:tc>
          <w:tcPr>
            <w:tcW w:w="1155" w:type="dxa"/>
            <w:tcBorders>
              <w:top w:val="single" w:sz="8" w:space="0" w:color="auto"/>
              <w:left w:val="nil"/>
              <w:bottom w:val="single" w:sz="8" w:space="0" w:color="auto"/>
              <w:right w:val="single" w:sz="8" w:space="0" w:color="auto"/>
            </w:tcBorders>
            <w:vAlign w:val="center"/>
          </w:tcPr>
          <w:p w14:paraId="26F09FD7" w14:textId="77777777" w:rsidR="00797AA9" w:rsidRPr="00BC523A" w:rsidRDefault="00797AA9" w:rsidP="008D15DB">
            <w:pPr>
              <w:jc w:val="right"/>
              <w:rPr>
                <w:color w:val="000000"/>
                <w:sz w:val="22"/>
                <w:szCs w:val="22"/>
                <w:lang w:eastAsia="cs-CZ"/>
              </w:rPr>
            </w:pPr>
            <w:r w:rsidRPr="00BC523A">
              <w:rPr>
                <w:color w:val="000000"/>
                <w:sz w:val="22"/>
                <w:szCs w:val="22"/>
                <w:lang w:eastAsia="cs-CZ"/>
              </w:rPr>
              <w:t>1 500</w:t>
            </w:r>
          </w:p>
        </w:tc>
      </w:tr>
      <w:tr w:rsidR="00797AA9" w:rsidRPr="00BC523A" w14:paraId="386BC87F"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3D38BB0"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w:t>
            </w:r>
          </w:p>
        </w:tc>
        <w:tc>
          <w:tcPr>
            <w:tcW w:w="2697" w:type="dxa"/>
            <w:tcBorders>
              <w:top w:val="single" w:sz="8" w:space="0" w:color="auto"/>
              <w:left w:val="single" w:sz="8" w:space="0" w:color="auto"/>
              <w:bottom w:val="single" w:sz="8" w:space="0" w:color="000000"/>
              <w:right w:val="single" w:sz="8" w:space="0" w:color="auto"/>
            </w:tcBorders>
            <w:vAlign w:val="center"/>
          </w:tcPr>
          <w:p w14:paraId="65A28C91" w14:textId="77777777" w:rsidR="00797AA9" w:rsidRPr="00BC523A" w:rsidRDefault="00797AA9" w:rsidP="008D15DB">
            <w:pPr>
              <w:rPr>
                <w:color w:val="000000"/>
                <w:sz w:val="22"/>
                <w:szCs w:val="22"/>
                <w:lang w:eastAsia="cs-CZ"/>
              </w:rPr>
            </w:pPr>
            <w:r w:rsidRPr="00BC523A">
              <w:rPr>
                <w:b/>
                <w:bCs/>
                <w:color w:val="000000"/>
                <w:sz w:val="22"/>
                <w:szCs w:val="22"/>
                <w:lang w:eastAsia="cs-CZ"/>
              </w:rPr>
              <w:t>CELKEM fond Stavební komise 2026</w:t>
            </w:r>
          </w:p>
        </w:tc>
        <w:tc>
          <w:tcPr>
            <w:tcW w:w="988" w:type="dxa"/>
            <w:tcBorders>
              <w:top w:val="single" w:sz="8" w:space="0" w:color="auto"/>
              <w:left w:val="nil"/>
              <w:bottom w:val="single" w:sz="8" w:space="0" w:color="auto"/>
              <w:right w:val="single" w:sz="8" w:space="0" w:color="auto"/>
            </w:tcBorders>
            <w:vAlign w:val="center"/>
          </w:tcPr>
          <w:p w14:paraId="27F78845" w14:textId="77777777" w:rsidR="00797AA9" w:rsidRPr="00BC523A" w:rsidRDefault="00797AA9" w:rsidP="008D15DB">
            <w:pPr>
              <w:jc w:val="right"/>
              <w:rPr>
                <w:color w:val="000000"/>
                <w:sz w:val="22"/>
                <w:szCs w:val="22"/>
                <w:lang w:eastAsia="cs-CZ"/>
              </w:rPr>
            </w:pPr>
            <w:r w:rsidRPr="00BC523A">
              <w:rPr>
                <w:b/>
                <w:bCs/>
                <w:color w:val="000000"/>
                <w:sz w:val="22"/>
                <w:szCs w:val="22"/>
                <w:lang w:eastAsia="cs-CZ"/>
              </w:rPr>
              <w:t>10 229</w:t>
            </w:r>
          </w:p>
        </w:tc>
        <w:tc>
          <w:tcPr>
            <w:tcW w:w="990" w:type="dxa"/>
            <w:tcBorders>
              <w:top w:val="single" w:sz="8" w:space="0" w:color="auto"/>
              <w:left w:val="nil"/>
              <w:bottom w:val="single" w:sz="8" w:space="0" w:color="auto"/>
              <w:right w:val="single" w:sz="8" w:space="0" w:color="auto"/>
            </w:tcBorders>
            <w:vAlign w:val="center"/>
          </w:tcPr>
          <w:p w14:paraId="5E3380A1" w14:textId="77777777" w:rsidR="00797AA9" w:rsidRPr="00BC523A" w:rsidRDefault="00797AA9" w:rsidP="008D15DB">
            <w:pPr>
              <w:jc w:val="right"/>
              <w:rPr>
                <w:color w:val="000000"/>
                <w:sz w:val="22"/>
                <w:szCs w:val="22"/>
                <w:lang w:eastAsia="cs-CZ"/>
              </w:rPr>
            </w:pPr>
            <w:r w:rsidRPr="00BC523A">
              <w:rPr>
                <w:b/>
                <w:bCs/>
                <w:color w:val="000000"/>
                <w:sz w:val="22"/>
                <w:szCs w:val="22"/>
                <w:lang w:eastAsia="cs-CZ"/>
              </w:rPr>
              <w:t>176 335</w:t>
            </w:r>
          </w:p>
        </w:tc>
        <w:tc>
          <w:tcPr>
            <w:tcW w:w="990" w:type="dxa"/>
            <w:tcBorders>
              <w:top w:val="single" w:sz="8" w:space="0" w:color="auto"/>
              <w:left w:val="nil"/>
              <w:bottom w:val="single" w:sz="8" w:space="0" w:color="auto"/>
              <w:right w:val="single" w:sz="8" w:space="0" w:color="auto"/>
            </w:tcBorders>
            <w:vAlign w:val="center"/>
          </w:tcPr>
          <w:p w14:paraId="78DA77DA" w14:textId="77777777" w:rsidR="00797AA9" w:rsidRPr="00BC523A" w:rsidRDefault="00797AA9" w:rsidP="008D15DB">
            <w:pPr>
              <w:jc w:val="right"/>
              <w:rPr>
                <w:color w:val="000000"/>
                <w:sz w:val="22"/>
                <w:szCs w:val="22"/>
                <w:lang w:eastAsia="cs-CZ"/>
              </w:rPr>
            </w:pPr>
            <w:r w:rsidRPr="00BC523A">
              <w:rPr>
                <w:b/>
                <w:bCs/>
                <w:color w:val="000000"/>
                <w:sz w:val="22"/>
                <w:szCs w:val="22"/>
                <w:lang w:eastAsia="cs-CZ"/>
              </w:rPr>
              <w:t>733</w:t>
            </w:r>
          </w:p>
        </w:tc>
        <w:tc>
          <w:tcPr>
            <w:tcW w:w="1131" w:type="dxa"/>
            <w:tcBorders>
              <w:top w:val="single" w:sz="8" w:space="0" w:color="auto"/>
              <w:left w:val="nil"/>
              <w:bottom w:val="single" w:sz="8" w:space="0" w:color="auto"/>
              <w:right w:val="single" w:sz="8" w:space="0" w:color="auto"/>
            </w:tcBorders>
            <w:vAlign w:val="center"/>
          </w:tcPr>
          <w:p w14:paraId="7034DE74" w14:textId="77777777" w:rsidR="00797AA9" w:rsidRPr="00BC523A" w:rsidRDefault="00797AA9" w:rsidP="008D15DB">
            <w:pPr>
              <w:jc w:val="right"/>
              <w:rPr>
                <w:color w:val="000000"/>
                <w:sz w:val="22"/>
                <w:szCs w:val="22"/>
                <w:lang w:eastAsia="cs-CZ"/>
              </w:rPr>
            </w:pPr>
            <w:r w:rsidRPr="00BC523A">
              <w:rPr>
                <w:b/>
                <w:bCs/>
                <w:color w:val="000000"/>
                <w:sz w:val="22"/>
                <w:szCs w:val="22"/>
                <w:lang w:eastAsia="cs-CZ"/>
              </w:rPr>
              <w:t>327 640</w:t>
            </w:r>
          </w:p>
        </w:tc>
        <w:tc>
          <w:tcPr>
            <w:tcW w:w="1155" w:type="dxa"/>
            <w:tcBorders>
              <w:top w:val="single" w:sz="8" w:space="0" w:color="auto"/>
              <w:left w:val="nil"/>
              <w:bottom w:val="single" w:sz="8" w:space="0" w:color="auto"/>
              <w:right w:val="single" w:sz="8" w:space="0" w:color="auto"/>
            </w:tcBorders>
            <w:vAlign w:val="center"/>
          </w:tcPr>
          <w:p w14:paraId="3746F683" w14:textId="77777777" w:rsidR="00797AA9" w:rsidRPr="00BC523A" w:rsidRDefault="00797AA9" w:rsidP="008D15DB">
            <w:pPr>
              <w:jc w:val="right"/>
              <w:rPr>
                <w:color w:val="000000"/>
                <w:sz w:val="22"/>
                <w:szCs w:val="22"/>
                <w:lang w:eastAsia="cs-CZ"/>
              </w:rPr>
            </w:pPr>
            <w:r w:rsidRPr="00BC523A">
              <w:rPr>
                <w:b/>
                <w:bCs/>
                <w:color w:val="000000"/>
                <w:sz w:val="22"/>
                <w:szCs w:val="22"/>
                <w:lang w:eastAsia="cs-CZ"/>
              </w:rPr>
              <w:t>514 936</w:t>
            </w:r>
          </w:p>
        </w:tc>
      </w:tr>
      <w:tr w:rsidR="00797AA9" w:rsidRPr="0083536A" w14:paraId="508E744B" w14:textId="77777777" w:rsidTr="008D15DB">
        <w:trPr>
          <w:gridAfter w:val="1"/>
          <w:wAfter w:w="1280" w:type="dxa"/>
          <w:trHeight w:val="344"/>
        </w:trPr>
        <w:tc>
          <w:tcPr>
            <w:tcW w:w="554" w:type="dxa"/>
            <w:tcBorders>
              <w:top w:val="single" w:sz="8" w:space="0" w:color="auto"/>
            </w:tcBorders>
            <w:vAlign w:val="center"/>
          </w:tcPr>
          <w:p w14:paraId="19F77FDD" w14:textId="77777777" w:rsidR="00797AA9" w:rsidRPr="0083536A" w:rsidRDefault="00797AA9" w:rsidP="008D15DB">
            <w:pPr>
              <w:rPr>
                <w:b/>
                <w:bCs/>
                <w:color w:val="000000"/>
                <w:sz w:val="22"/>
                <w:szCs w:val="22"/>
                <w:lang w:eastAsia="cs-CZ"/>
              </w:rPr>
            </w:pPr>
          </w:p>
        </w:tc>
        <w:tc>
          <w:tcPr>
            <w:tcW w:w="2697" w:type="dxa"/>
            <w:tcBorders>
              <w:top w:val="single" w:sz="8" w:space="0" w:color="auto"/>
            </w:tcBorders>
            <w:vAlign w:val="center"/>
          </w:tcPr>
          <w:p w14:paraId="46F0FEF3" w14:textId="77777777" w:rsidR="00797AA9" w:rsidRPr="00BC523A" w:rsidRDefault="00797AA9" w:rsidP="008D15DB">
            <w:pPr>
              <w:rPr>
                <w:b/>
                <w:bCs/>
                <w:color w:val="000000"/>
                <w:sz w:val="22"/>
                <w:szCs w:val="22"/>
                <w:lang w:eastAsia="cs-CZ"/>
              </w:rPr>
            </w:pPr>
          </w:p>
        </w:tc>
        <w:tc>
          <w:tcPr>
            <w:tcW w:w="988" w:type="dxa"/>
            <w:tcBorders>
              <w:top w:val="single" w:sz="8" w:space="0" w:color="auto"/>
            </w:tcBorders>
            <w:vAlign w:val="center"/>
          </w:tcPr>
          <w:p w14:paraId="26719CED" w14:textId="77777777" w:rsidR="00797AA9" w:rsidRPr="00BC523A" w:rsidRDefault="00797AA9" w:rsidP="008D15DB">
            <w:pPr>
              <w:rPr>
                <w:b/>
                <w:bCs/>
                <w:color w:val="000000"/>
                <w:sz w:val="22"/>
                <w:szCs w:val="22"/>
                <w:lang w:eastAsia="cs-CZ"/>
              </w:rPr>
            </w:pPr>
          </w:p>
        </w:tc>
        <w:tc>
          <w:tcPr>
            <w:tcW w:w="990" w:type="dxa"/>
            <w:tcBorders>
              <w:top w:val="single" w:sz="8" w:space="0" w:color="auto"/>
            </w:tcBorders>
            <w:vAlign w:val="center"/>
          </w:tcPr>
          <w:p w14:paraId="6F9DF21B" w14:textId="77777777" w:rsidR="00797AA9" w:rsidRPr="00BC523A" w:rsidRDefault="00797AA9" w:rsidP="008D15DB">
            <w:pPr>
              <w:rPr>
                <w:b/>
                <w:bCs/>
                <w:color w:val="000000"/>
                <w:sz w:val="22"/>
                <w:szCs w:val="22"/>
                <w:lang w:eastAsia="cs-CZ"/>
              </w:rPr>
            </w:pPr>
          </w:p>
        </w:tc>
        <w:tc>
          <w:tcPr>
            <w:tcW w:w="990" w:type="dxa"/>
            <w:tcBorders>
              <w:top w:val="single" w:sz="8" w:space="0" w:color="auto"/>
            </w:tcBorders>
            <w:vAlign w:val="center"/>
          </w:tcPr>
          <w:p w14:paraId="195DF6FD" w14:textId="77777777" w:rsidR="00797AA9" w:rsidRPr="00BC523A" w:rsidRDefault="00797AA9" w:rsidP="008D15DB">
            <w:pPr>
              <w:rPr>
                <w:b/>
                <w:bCs/>
                <w:color w:val="000000"/>
                <w:sz w:val="22"/>
                <w:szCs w:val="22"/>
                <w:lang w:eastAsia="cs-CZ"/>
              </w:rPr>
            </w:pPr>
          </w:p>
        </w:tc>
        <w:tc>
          <w:tcPr>
            <w:tcW w:w="1131" w:type="dxa"/>
            <w:tcBorders>
              <w:top w:val="single" w:sz="8" w:space="0" w:color="auto"/>
            </w:tcBorders>
            <w:vAlign w:val="center"/>
          </w:tcPr>
          <w:p w14:paraId="44D90115" w14:textId="77777777" w:rsidR="00797AA9" w:rsidRPr="00BC523A" w:rsidRDefault="00797AA9" w:rsidP="008D15DB">
            <w:pPr>
              <w:rPr>
                <w:b/>
                <w:bCs/>
                <w:color w:val="000000"/>
                <w:sz w:val="22"/>
                <w:szCs w:val="22"/>
                <w:lang w:eastAsia="cs-CZ"/>
              </w:rPr>
            </w:pPr>
          </w:p>
        </w:tc>
        <w:tc>
          <w:tcPr>
            <w:tcW w:w="1155" w:type="dxa"/>
            <w:tcBorders>
              <w:top w:val="single" w:sz="8" w:space="0" w:color="auto"/>
            </w:tcBorders>
            <w:vAlign w:val="center"/>
          </w:tcPr>
          <w:p w14:paraId="540B4CCF" w14:textId="77777777" w:rsidR="00797AA9" w:rsidRPr="00BC523A" w:rsidRDefault="00797AA9" w:rsidP="008D15DB">
            <w:pPr>
              <w:rPr>
                <w:b/>
                <w:bCs/>
                <w:color w:val="000000"/>
                <w:sz w:val="22"/>
                <w:szCs w:val="22"/>
                <w:lang w:eastAsia="cs-CZ"/>
              </w:rPr>
            </w:pPr>
          </w:p>
        </w:tc>
      </w:tr>
      <w:tr w:rsidR="00797AA9" w:rsidRPr="00BC523A" w14:paraId="3137A2B7" w14:textId="77777777" w:rsidTr="008D15DB">
        <w:trPr>
          <w:gridAfter w:val="1"/>
          <w:wAfter w:w="1280" w:type="dxa"/>
          <w:trHeight w:val="344"/>
        </w:trPr>
        <w:tc>
          <w:tcPr>
            <w:tcW w:w="554" w:type="dxa"/>
            <w:tcBorders>
              <w:bottom w:val="single" w:sz="8" w:space="0" w:color="000000"/>
            </w:tcBorders>
            <w:vAlign w:val="center"/>
          </w:tcPr>
          <w:p w14:paraId="04104BF3" w14:textId="77777777" w:rsidR="00797AA9" w:rsidRPr="00BC523A" w:rsidRDefault="00797AA9" w:rsidP="008D15DB">
            <w:pPr>
              <w:jc w:val="center"/>
              <w:rPr>
                <w:color w:val="000000"/>
                <w:sz w:val="22"/>
                <w:szCs w:val="22"/>
                <w:lang w:eastAsia="cs-CZ"/>
              </w:rPr>
            </w:pPr>
          </w:p>
        </w:tc>
        <w:tc>
          <w:tcPr>
            <w:tcW w:w="2697" w:type="dxa"/>
            <w:tcBorders>
              <w:bottom w:val="single" w:sz="8" w:space="0" w:color="000000"/>
            </w:tcBorders>
            <w:vAlign w:val="center"/>
          </w:tcPr>
          <w:p w14:paraId="003E4F92" w14:textId="77777777" w:rsidR="00797AA9" w:rsidRPr="00BC523A" w:rsidRDefault="00797AA9" w:rsidP="008D15DB">
            <w:pPr>
              <w:rPr>
                <w:b/>
                <w:bCs/>
                <w:color w:val="000000"/>
                <w:sz w:val="22"/>
                <w:szCs w:val="22"/>
                <w:lang w:eastAsia="cs-CZ"/>
              </w:rPr>
            </w:pPr>
          </w:p>
        </w:tc>
        <w:tc>
          <w:tcPr>
            <w:tcW w:w="988" w:type="dxa"/>
            <w:tcBorders>
              <w:bottom w:val="single" w:sz="8" w:space="0" w:color="auto"/>
            </w:tcBorders>
            <w:vAlign w:val="center"/>
          </w:tcPr>
          <w:p w14:paraId="717F408B" w14:textId="77777777" w:rsidR="00797AA9" w:rsidRPr="00BC523A" w:rsidRDefault="00797AA9" w:rsidP="008D15DB">
            <w:pPr>
              <w:jc w:val="right"/>
              <w:rPr>
                <w:b/>
                <w:bCs/>
                <w:color w:val="000000"/>
                <w:sz w:val="22"/>
                <w:szCs w:val="22"/>
                <w:lang w:eastAsia="cs-CZ"/>
              </w:rPr>
            </w:pPr>
          </w:p>
        </w:tc>
        <w:tc>
          <w:tcPr>
            <w:tcW w:w="990" w:type="dxa"/>
            <w:tcBorders>
              <w:bottom w:val="single" w:sz="8" w:space="0" w:color="auto"/>
            </w:tcBorders>
            <w:vAlign w:val="center"/>
          </w:tcPr>
          <w:p w14:paraId="39DC10A8" w14:textId="77777777" w:rsidR="00797AA9" w:rsidRPr="00BC523A" w:rsidRDefault="00797AA9" w:rsidP="008D15DB">
            <w:pPr>
              <w:jc w:val="right"/>
              <w:rPr>
                <w:b/>
                <w:bCs/>
                <w:color w:val="000000"/>
                <w:sz w:val="22"/>
                <w:szCs w:val="22"/>
                <w:lang w:eastAsia="cs-CZ"/>
              </w:rPr>
            </w:pPr>
          </w:p>
        </w:tc>
        <w:tc>
          <w:tcPr>
            <w:tcW w:w="990" w:type="dxa"/>
            <w:tcBorders>
              <w:bottom w:val="single" w:sz="8" w:space="0" w:color="auto"/>
            </w:tcBorders>
            <w:vAlign w:val="center"/>
          </w:tcPr>
          <w:p w14:paraId="4A77BDFE" w14:textId="77777777" w:rsidR="00797AA9" w:rsidRPr="00BC523A" w:rsidRDefault="00797AA9" w:rsidP="008D15DB">
            <w:pPr>
              <w:jc w:val="right"/>
              <w:rPr>
                <w:b/>
                <w:bCs/>
                <w:color w:val="000000"/>
                <w:sz w:val="22"/>
                <w:szCs w:val="22"/>
                <w:lang w:eastAsia="cs-CZ"/>
              </w:rPr>
            </w:pPr>
          </w:p>
        </w:tc>
        <w:tc>
          <w:tcPr>
            <w:tcW w:w="1131" w:type="dxa"/>
            <w:tcBorders>
              <w:bottom w:val="single" w:sz="8" w:space="0" w:color="auto"/>
            </w:tcBorders>
            <w:vAlign w:val="center"/>
          </w:tcPr>
          <w:p w14:paraId="6EC0A59E" w14:textId="77777777" w:rsidR="00797AA9" w:rsidRPr="00BC523A" w:rsidRDefault="00797AA9" w:rsidP="008D15DB">
            <w:pPr>
              <w:jc w:val="right"/>
              <w:rPr>
                <w:b/>
                <w:bCs/>
                <w:color w:val="000000"/>
                <w:sz w:val="22"/>
                <w:szCs w:val="22"/>
                <w:lang w:eastAsia="cs-CZ"/>
              </w:rPr>
            </w:pPr>
          </w:p>
        </w:tc>
        <w:tc>
          <w:tcPr>
            <w:tcW w:w="1155" w:type="dxa"/>
            <w:tcBorders>
              <w:bottom w:val="single" w:sz="8" w:space="0" w:color="auto"/>
            </w:tcBorders>
            <w:vAlign w:val="center"/>
          </w:tcPr>
          <w:p w14:paraId="6F9E9143" w14:textId="77777777" w:rsidR="00797AA9" w:rsidRPr="00BC523A" w:rsidRDefault="00797AA9" w:rsidP="008D15DB">
            <w:pPr>
              <w:jc w:val="right"/>
              <w:rPr>
                <w:b/>
                <w:bCs/>
                <w:color w:val="000000"/>
                <w:sz w:val="22"/>
                <w:szCs w:val="22"/>
                <w:lang w:eastAsia="cs-CZ"/>
              </w:rPr>
            </w:pPr>
          </w:p>
        </w:tc>
      </w:tr>
      <w:tr w:rsidR="00797AA9" w:rsidRPr="00BC523A" w14:paraId="4BC92411" w14:textId="77777777" w:rsidTr="008D15DB">
        <w:trPr>
          <w:gridAfter w:val="1"/>
          <w:wAfter w:w="1280" w:type="dxa"/>
          <w:trHeight w:val="465"/>
        </w:trPr>
        <w:tc>
          <w:tcPr>
            <w:tcW w:w="554"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E6A0532" w14:textId="77777777" w:rsidR="00797AA9" w:rsidRPr="001D7A4C" w:rsidRDefault="00797AA9" w:rsidP="008D15DB">
            <w:pPr>
              <w:jc w:val="center"/>
              <w:rPr>
                <w:color w:val="000000"/>
                <w:sz w:val="22"/>
                <w:szCs w:val="22"/>
                <w:lang w:eastAsia="cs-CZ"/>
              </w:rPr>
            </w:pPr>
          </w:p>
        </w:tc>
        <w:tc>
          <w:tcPr>
            <w:tcW w:w="2697"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4562A48" w14:textId="77777777" w:rsidR="00797AA9" w:rsidRPr="001D7A4C" w:rsidRDefault="00797AA9" w:rsidP="008D15DB">
            <w:pPr>
              <w:rPr>
                <w:color w:val="000000"/>
                <w:sz w:val="22"/>
                <w:szCs w:val="22"/>
                <w:lang w:eastAsia="cs-CZ"/>
              </w:rPr>
            </w:pPr>
            <w:r w:rsidRPr="00BC523A">
              <w:rPr>
                <w:b/>
                <w:bCs/>
                <w:color w:val="000000"/>
                <w:sz w:val="22"/>
                <w:szCs w:val="22"/>
                <w:lang w:eastAsia="cs-CZ"/>
              </w:rPr>
              <w:t>CELKEM – hrazeno součástmi</w:t>
            </w:r>
          </w:p>
        </w:tc>
        <w:tc>
          <w:tcPr>
            <w:tcW w:w="4099" w:type="dxa"/>
            <w:gridSpan w:val="4"/>
            <w:tcBorders>
              <w:top w:val="single" w:sz="8" w:space="0" w:color="auto"/>
              <w:left w:val="nil"/>
              <w:bottom w:val="single" w:sz="8" w:space="0" w:color="auto"/>
              <w:right w:val="single" w:sz="8" w:space="0" w:color="auto"/>
            </w:tcBorders>
            <w:shd w:val="clear" w:color="auto" w:fill="F2F2F2" w:themeFill="background1" w:themeFillShade="F2"/>
            <w:vAlign w:val="center"/>
          </w:tcPr>
          <w:p w14:paraId="78A0BAD5" w14:textId="77777777" w:rsidR="00797AA9" w:rsidRPr="001D7A4C" w:rsidRDefault="00797AA9" w:rsidP="008D15DB">
            <w:pPr>
              <w:jc w:val="center"/>
              <w:rPr>
                <w:color w:val="000000"/>
                <w:sz w:val="22"/>
                <w:szCs w:val="22"/>
                <w:lang w:eastAsia="cs-CZ"/>
              </w:rPr>
            </w:pPr>
            <w:r w:rsidRPr="001D7A4C">
              <w:rPr>
                <w:rFonts w:cstheme="minorHAnsi"/>
                <w:b/>
                <w:bCs/>
                <w:sz w:val="22"/>
                <w:szCs w:val="22"/>
                <w:lang w:eastAsia="cs-CZ"/>
              </w:rPr>
              <w:t>Financování v tis. Kč</w:t>
            </w:r>
          </w:p>
        </w:tc>
        <w:tc>
          <w:tcPr>
            <w:tcW w:w="1155" w:type="dxa"/>
            <w:vMerge w:val="restart"/>
            <w:tcBorders>
              <w:top w:val="single" w:sz="8" w:space="0" w:color="auto"/>
              <w:left w:val="nil"/>
              <w:right w:val="single" w:sz="8" w:space="0" w:color="auto"/>
            </w:tcBorders>
            <w:shd w:val="clear" w:color="auto" w:fill="F2F2F2" w:themeFill="background1" w:themeFillShade="F2"/>
            <w:vAlign w:val="center"/>
          </w:tcPr>
          <w:p w14:paraId="492C83CD" w14:textId="77777777" w:rsidR="00797AA9" w:rsidRPr="001D7A4C" w:rsidRDefault="00797AA9" w:rsidP="008D15DB">
            <w:pPr>
              <w:jc w:val="right"/>
              <w:rPr>
                <w:color w:val="000000"/>
                <w:sz w:val="22"/>
                <w:szCs w:val="22"/>
                <w:lang w:eastAsia="cs-CZ"/>
              </w:rPr>
            </w:pPr>
            <w:r w:rsidRPr="001D7A4C">
              <w:rPr>
                <w:b/>
                <w:bCs/>
                <w:color w:val="000000"/>
                <w:sz w:val="22"/>
                <w:szCs w:val="22"/>
                <w:lang w:eastAsia="cs-CZ"/>
              </w:rPr>
              <w:t xml:space="preserve">celkem </w:t>
            </w:r>
          </w:p>
        </w:tc>
      </w:tr>
      <w:tr w:rsidR="00797AA9" w:rsidRPr="00BC523A" w14:paraId="629627D1" w14:textId="77777777" w:rsidTr="008D15DB">
        <w:trPr>
          <w:gridAfter w:val="1"/>
          <w:wAfter w:w="1280" w:type="dxa"/>
          <w:trHeight w:val="344"/>
        </w:trPr>
        <w:tc>
          <w:tcPr>
            <w:tcW w:w="554" w:type="dxa"/>
            <w:vMerge/>
            <w:tcBorders>
              <w:left w:val="single" w:sz="8" w:space="0" w:color="auto"/>
              <w:bottom w:val="single" w:sz="8" w:space="0" w:color="000000"/>
              <w:right w:val="single" w:sz="8" w:space="0" w:color="auto"/>
            </w:tcBorders>
            <w:vAlign w:val="center"/>
          </w:tcPr>
          <w:p w14:paraId="7E797CC9"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15B51858" w14:textId="77777777" w:rsidR="00797AA9" w:rsidRPr="00BC523A" w:rsidRDefault="00797AA9" w:rsidP="008D15DB">
            <w:pPr>
              <w:rPr>
                <w:color w:val="000000"/>
                <w:sz w:val="22"/>
                <w:szCs w:val="22"/>
                <w:lang w:eastAsia="cs-CZ"/>
              </w:rPr>
            </w:pPr>
          </w:p>
        </w:tc>
        <w:tc>
          <w:tcPr>
            <w:tcW w:w="988"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F739C0B"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NINV   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7136350C"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INV</w:t>
            </w:r>
          </w:p>
          <w:p w14:paraId="479E1282"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638D687"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NINV dotační</w:t>
            </w:r>
          </w:p>
        </w:tc>
        <w:tc>
          <w:tcPr>
            <w:tcW w:w="113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D8AAF98" w14:textId="77777777" w:rsidR="00797AA9" w:rsidRPr="00BC523A" w:rsidRDefault="00797AA9" w:rsidP="008D15DB">
            <w:pPr>
              <w:jc w:val="center"/>
              <w:rPr>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auto"/>
              <w:right w:val="single" w:sz="8" w:space="0" w:color="auto"/>
            </w:tcBorders>
            <w:vAlign w:val="center"/>
          </w:tcPr>
          <w:p w14:paraId="6C7F16AF" w14:textId="77777777" w:rsidR="00797AA9" w:rsidRPr="00BC523A" w:rsidRDefault="00797AA9" w:rsidP="008D15DB">
            <w:pPr>
              <w:jc w:val="right"/>
              <w:rPr>
                <w:color w:val="000000"/>
                <w:sz w:val="22"/>
                <w:szCs w:val="22"/>
                <w:lang w:eastAsia="cs-CZ"/>
              </w:rPr>
            </w:pPr>
          </w:p>
        </w:tc>
      </w:tr>
      <w:tr w:rsidR="00797AA9" w:rsidRPr="00BC523A" w14:paraId="65778DB6"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5825A83" w14:textId="77777777" w:rsidR="00797AA9" w:rsidRPr="00BC523A" w:rsidRDefault="00797AA9" w:rsidP="008D15DB">
            <w:pPr>
              <w:jc w:val="center"/>
              <w:rPr>
                <w:color w:val="000000"/>
                <w:sz w:val="22"/>
                <w:szCs w:val="22"/>
                <w:lang w:eastAsia="cs-CZ"/>
              </w:rPr>
            </w:pPr>
            <w:r w:rsidRPr="00BC523A">
              <w:rPr>
                <w:color w:val="000000"/>
                <w:sz w:val="22"/>
                <w:szCs w:val="22"/>
                <w:lang w:eastAsia="cs-CZ"/>
              </w:rPr>
              <w:t>1</w:t>
            </w:r>
          </w:p>
        </w:tc>
        <w:tc>
          <w:tcPr>
            <w:tcW w:w="2697" w:type="dxa"/>
            <w:tcBorders>
              <w:top w:val="single" w:sz="8" w:space="0" w:color="auto"/>
              <w:left w:val="single" w:sz="8" w:space="0" w:color="auto"/>
              <w:bottom w:val="single" w:sz="8" w:space="0" w:color="000000"/>
              <w:right w:val="single" w:sz="8" w:space="0" w:color="auto"/>
            </w:tcBorders>
            <w:vAlign w:val="center"/>
          </w:tcPr>
          <w:p w14:paraId="64D72868" w14:textId="77777777" w:rsidR="00797AA9" w:rsidRPr="00BC523A" w:rsidRDefault="00797AA9" w:rsidP="008D15DB">
            <w:pPr>
              <w:rPr>
                <w:color w:val="000000"/>
                <w:sz w:val="22"/>
                <w:szCs w:val="22"/>
                <w:lang w:eastAsia="cs-CZ"/>
              </w:rPr>
            </w:pPr>
            <w:r w:rsidRPr="00BC523A">
              <w:rPr>
                <w:color w:val="000000"/>
                <w:sz w:val="22"/>
                <w:szCs w:val="22"/>
                <w:lang w:eastAsia="cs-CZ"/>
              </w:rPr>
              <w:t>STRATEGICKÉ AKCE</w:t>
            </w:r>
          </w:p>
        </w:tc>
        <w:tc>
          <w:tcPr>
            <w:tcW w:w="988" w:type="dxa"/>
            <w:tcBorders>
              <w:top w:val="single" w:sz="8" w:space="0" w:color="auto"/>
              <w:left w:val="nil"/>
              <w:bottom w:val="single" w:sz="8" w:space="0" w:color="auto"/>
              <w:right w:val="single" w:sz="8" w:space="0" w:color="auto"/>
            </w:tcBorders>
            <w:vAlign w:val="center"/>
          </w:tcPr>
          <w:p w14:paraId="2D360F4D" w14:textId="77777777" w:rsidR="00797AA9" w:rsidRPr="00BC523A" w:rsidRDefault="00797AA9" w:rsidP="008D15DB">
            <w:pPr>
              <w:jc w:val="right"/>
              <w:rPr>
                <w:color w:val="000000"/>
                <w:sz w:val="22"/>
                <w:szCs w:val="22"/>
                <w:lang w:eastAsia="cs-CZ"/>
              </w:rPr>
            </w:pPr>
            <w:r>
              <w:rPr>
                <w:rFonts w:ascii="Aptos" w:hAnsi="Aptos"/>
                <w:color w:val="000000"/>
                <w:sz w:val="22"/>
                <w:szCs w:val="22"/>
              </w:rPr>
              <w:t>619</w:t>
            </w:r>
          </w:p>
        </w:tc>
        <w:tc>
          <w:tcPr>
            <w:tcW w:w="990" w:type="dxa"/>
            <w:tcBorders>
              <w:top w:val="single" w:sz="8" w:space="0" w:color="auto"/>
              <w:left w:val="nil"/>
              <w:bottom w:val="single" w:sz="8" w:space="0" w:color="auto"/>
              <w:right w:val="single" w:sz="8" w:space="0" w:color="auto"/>
            </w:tcBorders>
            <w:vAlign w:val="center"/>
          </w:tcPr>
          <w:p w14:paraId="0DF5B792" w14:textId="77777777" w:rsidR="00797AA9" w:rsidRPr="0083536A" w:rsidRDefault="00797AA9" w:rsidP="008D15DB">
            <w:pPr>
              <w:jc w:val="right"/>
              <w:rPr>
                <w:rFonts w:ascii="Aptos" w:hAnsi="Aptos"/>
                <w:color w:val="000000"/>
                <w:sz w:val="22"/>
                <w:szCs w:val="22"/>
              </w:rPr>
            </w:pPr>
            <w:r>
              <w:rPr>
                <w:rFonts w:ascii="Aptos" w:hAnsi="Aptos"/>
                <w:color w:val="000000"/>
                <w:sz w:val="22"/>
                <w:szCs w:val="22"/>
              </w:rPr>
              <w:t>3 934</w:t>
            </w:r>
          </w:p>
        </w:tc>
        <w:tc>
          <w:tcPr>
            <w:tcW w:w="990" w:type="dxa"/>
            <w:tcBorders>
              <w:top w:val="single" w:sz="8" w:space="0" w:color="auto"/>
              <w:left w:val="nil"/>
              <w:bottom w:val="single" w:sz="8" w:space="0" w:color="auto"/>
              <w:right w:val="single" w:sz="8" w:space="0" w:color="auto"/>
            </w:tcBorders>
            <w:vAlign w:val="center"/>
          </w:tcPr>
          <w:p w14:paraId="2690112A"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7FEF49C7"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19EE491D" w14:textId="77777777" w:rsidR="00797AA9" w:rsidRPr="00BC523A" w:rsidRDefault="00797AA9" w:rsidP="008D15DB">
            <w:pPr>
              <w:jc w:val="right"/>
              <w:rPr>
                <w:color w:val="000000"/>
                <w:sz w:val="22"/>
                <w:szCs w:val="22"/>
                <w:lang w:eastAsia="cs-CZ"/>
              </w:rPr>
            </w:pPr>
            <w:r>
              <w:rPr>
                <w:rFonts w:ascii="Aptos" w:hAnsi="Aptos"/>
                <w:color w:val="000000"/>
                <w:sz w:val="22"/>
                <w:szCs w:val="22"/>
              </w:rPr>
              <w:t>4 553</w:t>
            </w:r>
          </w:p>
        </w:tc>
      </w:tr>
      <w:tr w:rsidR="00797AA9" w:rsidRPr="00BC523A" w14:paraId="37ADE014"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6847774"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w:t>
            </w:r>
          </w:p>
        </w:tc>
        <w:tc>
          <w:tcPr>
            <w:tcW w:w="2697" w:type="dxa"/>
            <w:tcBorders>
              <w:top w:val="single" w:sz="8" w:space="0" w:color="auto"/>
              <w:left w:val="single" w:sz="8" w:space="0" w:color="auto"/>
              <w:bottom w:val="single" w:sz="8" w:space="0" w:color="000000"/>
              <w:right w:val="single" w:sz="8" w:space="0" w:color="auto"/>
            </w:tcBorders>
            <w:vAlign w:val="center"/>
          </w:tcPr>
          <w:p w14:paraId="12E76C0B" w14:textId="77777777" w:rsidR="00797AA9" w:rsidRPr="00BC523A" w:rsidRDefault="00797AA9" w:rsidP="008D15DB">
            <w:pPr>
              <w:rPr>
                <w:color w:val="000000"/>
                <w:sz w:val="22"/>
                <w:szCs w:val="22"/>
                <w:lang w:eastAsia="cs-CZ"/>
              </w:rPr>
            </w:pPr>
            <w:r w:rsidRPr="00BC523A">
              <w:rPr>
                <w:color w:val="000000"/>
                <w:sz w:val="22"/>
                <w:szCs w:val="22"/>
                <w:lang w:eastAsia="cs-CZ"/>
              </w:rPr>
              <w:t>PRIORITNÍ AKCE</w:t>
            </w:r>
          </w:p>
        </w:tc>
        <w:tc>
          <w:tcPr>
            <w:tcW w:w="988" w:type="dxa"/>
            <w:tcBorders>
              <w:top w:val="single" w:sz="8" w:space="0" w:color="auto"/>
              <w:left w:val="nil"/>
              <w:bottom w:val="single" w:sz="8" w:space="0" w:color="auto"/>
              <w:right w:val="single" w:sz="8" w:space="0" w:color="auto"/>
            </w:tcBorders>
            <w:vAlign w:val="center"/>
          </w:tcPr>
          <w:p w14:paraId="53289FBC" w14:textId="77777777" w:rsidR="00797AA9" w:rsidRPr="00BC523A" w:rsidRDefault="00797AA9" w:rsidP="008D15DB">
            <w:pPr>
              <w:jc w:val="right"/>
              <w:rPr>
                <w:color w:val="000000"/>
                <w:sz w:val="22"/>
                <w:szCs w:val="22"/>
                <w:lang w:eastAsia="cs-CZ"/>
              </w:rPr>
            </w:pPr>
            <w:r>
              <w:rPr>
                <w:rFonts w:ascii="Aptos" w:hAnsi="Aptos"/>
                <w:color w:val="000000"/>
                <w:sz w:val="22"/>
                <w:szCs w:val="22"/>
              </w:rPr>
              <w:t>1 544</w:t>
            </w:r>
          </w:p>
        </w:tc>
        <w:tc>
          <w:tcPr>
            <w:tcW w:w="990" w:type="dxa"/>
            <w:tcBorders>
              <w:top w:val="single" w:sz="8" w:space="0" w:color="auto"/>
              <w:left w:val="nil"/>
              <w:bottom w:val="single" w:sz="8" w:space="0" w:color="auto"/>
              <w:right w:val="single" w:sz="8" w:space="0" w:color="auto"/>
            </w:tcBorders>
            <w:vAlign w:val="center"/>
          </w:tcPr>
          <w:p w14:paraId="5884E2E9" w14:textId="77777777" w:rsidR="00797AA9" w:rsidRPr="00BC523A" w:rsidRDefault="00797AA9" w:rsidP="008D15DB">
            <w:pPr>
              <w:jc w:val="right"/>
              <w:rPr>
                <w:color w:val="000000"/>
                <w:sz w:val="22"/>
                <w:szCs w:val="22"/>
                <w:lang w:eastAsia="cs-CZ"/>
              </w:rPr>
            </w:pPr>
            <w:r>
              <w:rPr>
                <w:rFonts w:ascii="Aptos" w:hAnsi="Aptos"/>
                <w:color w:val="000000"/>
                <w:sz w:val="22"/>
                <w:szCs w:val="22"/>
              </w:rPr>
              <w:t>15 216</w:t>
            </w:r>
          </w:p>
        </w:tc>
        <w:tc>
          <w:tcPr>
            <w:tcW w:w="990" w:type="dxa"/>
            <w:tcBorders>
              <w:top w:val="single" w:sz="8" w:space="0" w:color="auto"/>
              <w:left w:val="nil"/>
              <w:bottom w:val="single" w:sz="8" w:space="0" w:color="auto"/>
              <w:right w:val="single" w:sz="8" w:space="0" w:color="auto"/>
            </w:tcBorders>
            <w:vAlign w:val="center"/>
          </w:tcPr>
          <w:p w14:paraId="7D01E8E5" w14:textId="77777777" w:rsidR="00797AA9" w:rsidRPr="00BC523A" w:rsidRDefault="00797AA9" w:rsidP="008D15DB">
            <w:pPr>
              <w:jc w:val="right"/>
              <w:rPr>
                <w:color w:val="000000"/>
                <w:sz w:val="22"/>
                <w:szCs w:val="22"/>
                <w:lang w:eastAsia="cs-CZ"/>
              </w:rPr>
            </w:pPr>
            <w:r>
              <w:rPr>
                <w:rFonts w:ascii="Aptos" w:hAnsi="Aptos"/>
                <w:color w:val="000000"/>
                <w:sz w:val="22"/>
                <w:szCs w:val="22"/>
              </w:rPr>
              <w:t>16 628</w:t>
            </w:r>
          </w:p>
        </w:tc>
        <w:tc>
          <w:tcPr>
            <w:tcW w:w="1131" w:type="dxa"/>
            <w:tcBorders>
              <w:top w:val="single" w:sz="8" w:space="0" w:color="auto"/>
              <w:left w:val="nil"/>
              <w:bottom w:val="single" w:sz="8" w:space="0" w:color="auto"/>
              <w:right w:val="single" w:sz="8" w:space="0" w:color="auto"/>
            </w:tcBorders>
            <w:vAlign w:val="center"/>
          </w:tcPr>
          <w:p w14:paraId="4D509ABE" w14:textId="77777777" w:rsidR="00797AA9" w:rsidRPr="00BC523A" w:rsidRDefault="00797AA9" w:rsidP="008D15DB">
            <w:pPr>
              <w:jc w:val="right"/>
              <w:rPr>
                <w:color w:val="000000"/>
                <w:sz w:val="22"/>
                <w:szCs w:val="22"/>
                <w:lang w:eastAsia="cs-CZ"/>
              </w:rPr>
            </w:pPr>
            <w:r>
              <w:rPr>
                <w:rFonts w:ascii="Aptos" w:hAnsi="Aptos"/>
                <w:color w:val="000000"/>
                <w:sz w:val="22"/>
                <w:szCs w:val="22"/>
              </w:rPr>
              <w:t>29 936</w:t>
            </w:r>
          </w:p>
        </w:tc>
        <w:tc>
          <w:tcPr>
            <w:tcW w:w="1155" w:type="dxa"/>
            <w:tcBorders>
              <w:top w:val="single" w:sz="8" w:space="0" w:color="auto"/>
              <w:left w:val="nil"/>
              <w:bottom w:val="single" w:sz="8" w:space="0" w:color="auto"/>
              <w:right w:val="single" w:sz="8" w:space="0" w:color="auto"/>
            </w:tcBorders>
            <w:vAlign w:val="center"/>
          </w:tcPr>
          <w:p w14:paraId="284D471D" w14:textId="77777777" w:rsidR="00797AA9" w:rsidRPr="00BC523A" w:rsidRDefault="00797AA9" w:rsidP="008D15DB">
            <w:pPr>
              <w:jc w:val="right"/>
              <w:rPr>
                <w:color w:val="000000"/>
                <w:sz w:val="22"/>
                <w:szCs w:val="22"/>
                <w:lang w:eastAsia="cs-CZ"/>
              </w:rPr>
            </w:pPr>
            <w:r>
              <w:rPr>
                <w:rFonts w:ascii="Aptos" w:hAnsi="Aptos"/>
                <w:color w:val="000000"/>
                <w:sz w:val="22"/>
                <w:szCs w:val="22"/>
              </w:rPr>
              <w:t>63 325</w:t>
            </w:r>
          </w:p>
        </w:tc>
      </w:tr>
      <w:tr w:rsidR="00797AA9" w:rsidRPr="00BC523A" w14:paraId="475DFA38"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247A301E" w14:textId="77777777" w:rsidR="00797AA9" w:rsidRPr="00BC523A" w:rsidRDefault="00797AA9" w:rsidP="008D15DB">
            <w:pPr>
              <w:jc w:val="center"/>
              <w:rPr>
                <w:color w:val="000000"/>
                <w:sz w:val="22"/>
                <w:szCs w:val="22"/>
                <w:lang w:eastAsia="cs-CZ"/>
              </w:rPr>
            </w:pPr>
            <w:r w:rsidRPr="00BC523A">
              <w:rPr>
                <w:color w:val="000000"/>
                <w:sz w:val="22"/>
                <w:szCs w:val="22"/>
                <w:lang w:eastAsia="cs-CZ"/>
              </w:rPr>
              <w:t>3</w:t>
            </w:r>
          </w:p>
        </w:tc>
        <w:tc>
          <w:tcPr>
            <w:tcW w:w="2697" w:type="dxa"/>
            <w:tcBorders>
              <w:top w:val="single" w:sz="8" w:space="0" w:color="auto"/>
              <w:left w:val="single" w:sz="8" w:space="0" w:color="auto"/>
              <w:bottom w:val="single" w:sz="8" w:space="0" w:color="000000"/>
              <w:right w:val="single" w:sz="8" w:space="0" w:color="auto"/>
            </w:tcBorders>
            <w:vAlign w:val="center"/>
          </w:tcPr>
          <w:p w14:paraId="7E94A1FF" w14:textId="77777777" w:rsidR="00797AA9" w:rsidRPr="00BC523A" w:rsidRDefault="00797AA9" w:rsidP="008D15DB">
            <w:pPr>
              <w:rPr>
                <w:color w:val="000000"/>
                <w:sz w:val="22"/>
                <w:szCs w:val="22"/>
                <w:lang w:eastAsia="cs-CZ"/>
              </w:rPr>
            </w:pPr>
            <w:r w:rsidRPr="00BC523A">
              <w:rPr>
                <w:color w:val="000000"/>
                <w:sz w:val="22"/>
                <w:szCs w:val="22"/>
                <w:lang w:eastAsia="cs-CZ"/>
              </w:rPr>
              <w:t>Energetika, BOZP + PO</w:t>
            </w:r>
          </w:p>
        </w:tc>
        <w:tc>
          <w:tcPr>
            <w:tcW w:w="988" w:type="dxa"/>
            <w:tcBorders>
              <w:top w:val="single" w:sz="8" w:space="0" w:color="auto"/>
              <w:left w:val="nil"/>
              <w:bottom w:val="single" w:sz="8" w:space="0" w:color="auto"/>
              <w:right w:val="single" w:sz="8" w:space="0" w:color="auto"/>
            </w:tcBorders>
            <w:vAlign w:val="center"/>
          </w:tcPr>
          <w:p w14:paraId="2717AF32"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52A8D8DF"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3294B655"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0E23B41F"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0AC1C98E"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r>
      <w:tr w:rsidR="00797AA9" w:rsidRPr="00BC523A" w14:paraId="71DE8D29"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7B550192" w14:textId="77777777" w:rsidR="00797AA9" w:rsidRPr="00BC523A" w:rsidRDefault="00797AA9" w:rsidP="008D15DB">
            <w:pPr>
              <w:jc w:val="center"/>
              <w:rPr>
                <w:color w:val="000000"/>
                <w:sz w:val="22"/>
                <w:szCs w:val="22"/>
                <w:lang w:eastAsia="cs-CZ"/>
              </w:rPr>
            </w:pPr>
            <w:r w:rsidRPr="00BC523A">
              <w:rPr>
                <w:color w:val="000000"/>
                <w:sz w:val="22"/>
                <w:szCs w:val="22"/>
                <w:lang w:eastAsia="cs-CZ"/>
              </w:rPr>
              <w:lastRenderedPageBreak/>
              <w:t>4</w:t>
            </w:r>
          </w:p>
        </w:tc>
        <w:tc>
          <w:tcPr>
            <w:tcW w:w="2697" w:type="dxa"/>
            <w:tcBorders>
              <w:top w:val="single" w:sz="8" w:space="0" w:color="auto"/>
              <w:left w:val="single" w:sz="8" w:space="0" w:color="auto"/>
              <w:bottom w:val="single" w:sz="8" w:space="0" w:color="000000"/>
              <w:right w:val="single" w:sz="8" w:space="0" w:color="auto"/>
            </w:tcBorders>
            <w:vAlign w:val="center"/>
          </w:tcPr>
          <w:p w14:paraId="072A25F8" w14:textId="77777777" w:rsidR="00797AA9" w:rsidRPr="00BC523A" w:rsidRDefault="00797AA9" w:rsidP="008D15DB">
            <w:pPr>
              <w:rPr>
                <w:color w:val="000000"/>
                <w:sz w:val="22"/>
                <w:szCs w:val="22"/>
                <w:lang w:eastAsia="cs-CZ"/>
              </w:rPr>
            </w:pPr>
            <w:r w:rsidRPr="00BC523A">
              <w:rPr>
                <w:color w:val="000000"/>
                <w:sz w:val="22"/>
                <w:szCs w:val="22"/>
                <w:lang w:eastAsia="cs-CZ"/>
              </w:rPr>
              <w:t>DALŠÍ AKCE</w:t>
            </w:r>
          </w:p>
        </w:tc>
        <w:tc>
          <w:tcPr>
            <w:tcW w:w="988" w:type="dxa"/>
            <w:tcBorders>
              <w:top w:val="single" w:sz="8" w:space="0" w:color="auto"/>
              <w:left w:val="nil"/>
              <w:bottom w:val="single" w:sz="8" w:space="0" w:color="auto"/>
              <w:right w:val="single" w:sz="8" w:space="0" w:color="auto"/>
            </w:tcBorders>
            <w:vAlign w:val="center"/>
          </w:tcPr>
          <w:p w14:paraId="76FF4C2B"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3B1A0CDA"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716BCB01"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4F57CDF6"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76854615"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r>
      <w:tr w:rsidR="00797AA9" w:rsidRPr="00BC523A" w14:paraId="7D7997CF"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01DA4F91" w14:textId="77777777" w:rsidR="00797AA9" w:rsidRPr="00BC523A" w:rsidRDefault="00797AA9" w:rsidP="008D15DB">
            <w:pPr>
              <w:jc w:val="center"/>
              <w:rPr>
                <w:color w:val="000000"/>
                <w:sz w:val="22"/>
                <w:szCs w:val="22"/>
                <w:lang w:eastAsia="cs-CZ"/>
              </w:rPr>
            </w:pPr>
            <w:r w:rsidRPr="00BC523A">
              <w:rPr>
                <w:color w:val="000000"/>
                <w:sz w:val="22"/>
                <w:szCs w:val="22"/>
                <w:lang w:eastAsia="cs-CZ"/>
              </w:rPr>
              <w:t>5</w:t>
            </w:r>
          </w:p>
        </w:tc>
        <w:tc>
          <w:tcPr>
            <w:tcW w:w="2697" w:type="dxa"/>
            <w:tcBorders>
              <w:top w:val="single" w:sz="8" w:space="0" w:color="auto"/>
              <w:left w:val="single" w:sz="8" w:space="0" w:color="auto"/>
              <w:bottom w:val="single" w:sz="8" w:space="0" w:color="000000"/>
              <w:right w:val="single" w:sz="8" w:space="0" w:color="auto"/>
            </w:tcBorders>
            <w:vAlign w:val="center"/>
          </w:tcPr>
          <w:p w14:paraId="2F2B0FEB" w14:textId="77777777" w:rsidR="00797AA9" w:rsidRPr="00BC523A" w:rsidRDefault="00797AA9" w:rsidP="008D15DB">
            <w:pPr>
              <w:rPr>
                <w:color w:val="000000"/>
                <w:sz w:val="22"/>
                <w:szCs w:val="22"/>
                <w:lang w:eastAsia="cs-CZ"/>
              </w:rPr>
            </w:pPr>
            <w:r w:rsidRPr="00BC523A">
              <w:rPr>
                <w:color w:val="000000"/>
                <w:sz w:val="22"/>
                <w:szCs w:val="22"/>
                <w:lang w:eastAsia="cs-CZ"/>
              </w:rPr>
              <w:t>SZNN</w:t>
            </w:r>
          </w:p>
        </w:tc>
        <w:tc>
          <w:tcPr>
            <w:tcW w:w="988" w:type="dxa"/>
            <w:tcBorders>
              <w:top w:val="single" w:sz="8" w:space="0" w:color="auto"/>
              <w:left w:val="nil"/>
              <w:bottom w:val="single" w:sz="8" w:space="0" w:color="auto"/>
              <w:right w:val="single" w:sz="8" w:space="0" w:color="auto"/>
            </w:tcBorders>
            <w:vAlign w:val="center"/>
          </w:tcPr>
          <w:p w14:paraId="220E8497"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220153A6"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27F2C306"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27308E1B"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0CC85BE2" w14:textId="77777777" w:rsidR="00797AA9" w:rsidRPr="00BC523A" w:rsidRDefault="00797AA9" w:rsidP="008D15DB">
            <w:pPr>
              <w:jc w:val="right"/>
              <w:rPr>
                <w:color w:val="000000"/>
                <w:sz w:val="22"/>
                <w:szCs w:val="22"/>
                <w:lang w:eastAsia="cs-CZ"/>
              </w:rPr>
            </w:pPr>
            <w:r>
              <w:rPr>
                <w:rFonts w:ascii="Aptos" w:hAnsi="Aptos"/>
                <w:color w:val="000000"/>
                <w:sz w:val="22"/>
                <w:szCs w:val="22"/>
              </w:rPr>
              <w:t>0</w:t>
            </w:r>
          </w:p>
        </w:tc>
      </w:tr>
      <w:tr w:rsidR="00797AA9" w:rsidRPr="00BC523A" w14:paraId="0F1C3B2F"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3CC1CE92"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w:t>
            </w:r>
          </w:p>
        </w:tc>
        <w:tc>
          <w:tcPr>
            <w:tcW w:w="2697" w:type="dxa"/>
            <w:tcBorders>
              <w:top w:val="single" w:sz="8" w:space="0" w:color="auto"/>
              <w:left w:val="single" w:sz="8" w:space="0" w:color="auto"/>
              <w:bottom w:val="single" w:sz="8" w:space="0" w:color="000000"/>
              <w:right w:val="single" w:sz="8" w:space="0" w:color="auto"/>
            </w:tcBorders>
            <w:vAlign w:val="center"/>
          </w:tcPr>
          <w:p w14:paraId="721E7FF1" w14:textId="77777777" w:rsidR="00797AA9" w:rsidRPr="00BC523A" w:rsidRDefault="00797AA9" w:rsidP="008D15DB">
            <w:pPr>
              <w:rPr>
                <w:color w:val="000000"/>
                <w:sz w:val="22"/>
                <w:szCs w:val="22"/>
                <w:lang w:eastAsia="cs-CZ"/>
              </w:rPr>
            </w:pPr>
            <w:r w:rsidRPr="00BC523A">
              <w:rPr>
                <w:b/>
                <w:bCs/>
                <w:color w:val="000000"/>
                <w:sz w:val="22"/>
                <w:szCs w:val="22"/>
                <w:lang w:eastAsia="cs-CZ"/>
              </w:rPr>
              <w:t>CELKEM součásti 2026</w:t>
            </w:r>
          </w:p>
        </w:tc>
        <w:tc>
          <w:tcPr>
            <w:tcW w:w="988" w:type="dxa"/>
            <w:tcBorders>
              <w:top w:val="single" w:sz="8" w:space="0" w:color="auto"/>
              <w:left w:val="nil"/>
              <w:bottom w:val="single" w:sz="8" w:space="0" w:color="auto"/>
              <w:right w:val="single" w:sz="8" w:space="0" w:color="auto"/>
            </w:tcBorders>
            <w:vAlign w:val="center"/>
          </w:tcPr>
          <w:p w14:paraId="171F36A4" w14:textId="77777777" w:rsidR="00797AA9" w:rsidRPr="00BC523A" w:rsidRDefault="00797AA9" w:rsidP="008D15DB">
            <w:pPr>
              <w:jc w:val="right"/>
              <w:rPr>
                <w:color w:val="000000"/>
                <w:sz w:val="22"/>
                <w:szCs w:val="22"/>
                <w:lang w:eastAsia="cs-CZ"/>
              </w:rPr>
            </w:pPr>
            <w:r>
              <w:rPr>
                <w:rFonts w:ascii="Aptos" w:hAnsi="Aptos"/>
                <w:b/>
                <w:bCs/>
                <w:color w:val="000000"/>
                <w:sz w:val="22"/>
                <w:szCs w:val="22"/>
              </w:rPr>
              <w:t>2 163</w:t>
            </w:r>
          </w:p>
        </w:tc>
        <w:tc>
          <w:tcPr>
            <w:tcW w:w="990" w:type="dxa"/>
            <w:tcBorders>
              <w:top w:val="single" w:sz="8" w:space="0" w:color="auto"/>
              <w:left w:val="nil"/>
              <w:bottom w:val="single" w:sz="8" w:space="0" w:color="auto"/>
              <w:right w:val="single" w:sz="8" w:space="0" w:color="auto"/>
            </w:tcBorders>
            <w:vAlign w:val="center"/>
          </w:tcPr>
          <w:p w14:paraId="237FEF3F" w14:textId="77777777" w:rsidR="00797AA9" w:rsidRPr="00BC523A" w:rsidRDefault="00797AA9" w:rsidP="008D15DB">
            <w:pPr>
              <w:jc w:val="right"/>
              <w:rPr>
                <w:color w:val="000000"/>
                <w:sz w:val="22"/>
                <w:szCs w:val="22"/>
                <w:lang w:eastAsia="cs-CZ"/>
              </w:rPr>
            </w:pPr>
            <w:r>
              <w:rPr>
                <w:rFonts w:ascii="Aptos" w:hAnsi="Aptos"/>
                <w:b/>
                <w:bCs/>
                <w:color w:val="000000"/>
                <w:sz w:val="22"/>
                <w:szCs w:val="22"/>
              </w:rPr>
              <w:t>19 150</w:t>
            </w:r>
          </w:p>
        </w:tc>
        <w:tc>
          <w:tcPr>
            <w:tcW w:w="990" w:type="dxa"/>
            <w:tcBorders>
              <w:top w:val="single" w:sz="8" w:space="0" w:color="auto"/>
              <w:left w:val="nil"/>
              <w:bottom w:val="single" w:sz="8" w:space="0" w:color="auto"/>
              <w:right w:val="single" w:sz="8" w:space="0" w:color="auto"/>
            </w:tcBorders>
            <w:vAlign w:val="center"/>
          </w:tcPr>
          <w:p w14:paraId="7E0A0A2A" w14:textId="77777777" w:rsidR="00797AA9" w:rsidRPr="00BC523A" w:rsidRDefault="00797AA9" w:rsidP="008D15DB">
            <w:pPr>
              <w:jc w:val="right"/>
              <w:rPr>
                <w:color w:val="000000"/>
                <w:sz w:val="22"/>
                <w:szCs w:val="22"/>
                <w:lang w:eastAsia="cs-CZ"/>
              </w:rPr>
            </w:pPr>
            <w:r>
              <w:rPr>
                <w:rFonts w:ascii="Aptos" w:hAnsi="Aptos"/>
                <w:b/>
                <w:bCs/>
                <w:color w:val="000000"/>
                <w:sz w:val="22"/>
                <w:szCs w:val="22"/>
              </w:rPr>
              <w:t>16 628</w:t>
            </w:r>
          </w:p>
        </w:tc>
        <w:tc>
          <w:tcPr>
            <w:tcW w:w="1131" w:type="dxa"/>
            <w:tcBorders>
              <w:top w:val="single" w:sz="8" w:space="0" w:color="auto"/>
              <w:left w:val="nil"/>
              <w:bottom w:val="single" w:sz="8" w:space="0" w:color="auto"/>
              <w:right w:val="single" w:sz="8" w:space="0" w:color="auto"/>
            </w:tcBorders>
            <w:vAlign w:val="center"/>
          </w:tcPr>
          <w:p w14:paraId="6234FBFF" w14:textId="77777777" w:rsidR="00797AA9" w:rsidRPr="00BC523A" w:rsidRDefault="00797AA9" w:rsidP="008D15DB">
            <w:pPr>
              <w:jc w:val="right"/>
              <w:rPr>
                <w:color w:val="000000"/>
                <w:sz w:val="22"/>
                <w:szCs w:val="22"/>
                <w:lang w:eastAsia="cs-CZ"/>
              </w:rPr>
            </w:pPr>
            <w:r>
              <w:rPr>
                <w:rFonts w:ascii="Aptos" w:hAnsi="Aptos"/>
                <w:b/>
                <w:bCs/>
                <w:color w:val="000000"/>
                <w:sz w:val="22"/>
                <w:szCs w:val="22"/>
              </w:rPr>
              <w:t>29 936</w:t>
            </w:r>
          </w:p>
        </w:tc>
        <w:tc>
          <w:tcPr>
            <w:tcW w:w="1155" w:type="dxa"/>
            <w:tcBorders>
              <w:top w:val="single" w:sz="8" w:space="0" w:color="auto"/>
              <w:left w:val="nil"/>
              <w:bottom w:val="single" w:sz="8" w:space="0" w:color="auto"/>
              <w:right w:val="single" w:sz="8" w:space="0" w:color="auto"/>
            </w:tcBorders>
            <w:vAlign w:val="center"/>
          </w:tcPr>
          <w:p w14:paraId="25B44087" w14:textId="77777777" w:rsidR="00797AA9" w:rsidRPr="00BC523A" w:rsidRDefault="00797AA9" w:rsidP="008D15DB">
            <w:pPr>
              <w:jc w:val="right"/>
              <w:rPr>
                <w:color w:val="000000"/>
                <w:sz w:val="22"/>
                <w:szCs w:val="22"/>
                <w:lang w:eastAsia="cs-CZ"/>
              </w:rPr>
            </w:pPr>
            <w:r>
              <w:rPr>
                <w:rFonts w:ascii="Aptos" w:hAnsi="Aptos"/>
                <w:b/>
                <w:bCs/>
                <w:color w:val="000000"/>
                <w:sz w:val="22"/>
                <w:szCs w:val="22"/>
              </w:rPr>
              <w:t>67 878</w:t>
            </w:r>
          </w:p>
        </w:tc>
      </w:tr>
      <w:tr w:rsidR="00797AA9" w:rsidRPr="00BC523A" w14:paraId="1294F1FB" w14:textId="77777777" w:rsidTr="008D15DB">
        <w:trPr>
          <w:gridAfter w:val="1"/>
          <w:wAfter w:w="1280" w:type="dxa"/>
          <w:trHeight w:val="344"/>
        </w:trPr>
        <w:tc>
          <w:tcPr>
            <w:tcW w:w="554" w:type="dxa"/>
            <w:tcBorders>
              <w:top w:val="single" w:sz="8" w:space="0" w:color="auto"/>
            </w:tcBorders>
            <w:vAlign w:val="center"/>
          </w:tcPr>
          <w:p w14:paraId="49174022" w14:textId="77777777" w:rsidR="00797AA9" w:rsidRPr="00BC523A" w:rsidRDefault="00797AA9" w:rsidP="008D15DB">
            <w:pPr>
              <w:jc w:val="center"/>
              <w:rPr>
                <w:color w:val="000000"/>
                <w:sz w:val="22"/>
                <w:szCs w:val="22"/>
                <w:lang w:eastAsia="cs-CZ"/>
              </w:rPr>
            </w:pPr>
          </w:p>
        </w:tc>
        <w:tc>
          <w:tcPr>
            <w:tcW w:w="2697" w:type="dxa"/>
            <w:tcBorders>
              <w:top w:val="single" w:sz="8" w:space="0" w:color="auto"/>
            </w:tcBorders>
            <w:vAlign w:val="center"/>
          </w:tcPr>
          <w:p w14:paraId="1C042BD3" w14:textId="77777777" w:rsidR="00797AA9" w:rsidRPr="00BC523A" w:rsidRDefault="00797AA9" w:rsidP="008D15DB">
            <w:pPr>
              <w:rPr>
                <w:b/>
                <w:bCs/>
                <w:color w:val="000000"/>
                <w:sz w:val="22"/>
                <w:szCs w:val="22"/>
                <w:lang w:eastAsia="cs-CZ"/>
              </w:rPr>
            </w:pPr>
          </w:p>
        </w:tc>
        <w:tc>
          <w:tcPr>
            <w:tcW w:w="988" w:type="dxa"/>
            <w:tcBorders>
              <w:top w:val="single" w:sz="8" w:space="0" w:color="auto"/>
            </w:tcBorders>
            <w:vAlign w:val="center"/>
          </w:tcPr>
          <w:p w14:paraId="6711FE77" w14:textId="77777777" w:rsidR="00797AA9" w:rsidRPr="00BC523A" w:rsidRDefault="00797AA9" w:rsidP="008D15DB">
            <w:pPr>
              <w:jc w:val="right"/>
              <w:rPr>
                <w:b/>
                <w:bCs/>
                <w:color w:val="000000"/>
                <w:sz w:val="22"/>
                <w:szCs w:val="22"/>
                <w:lang w:eastAsia="cs-CZ"/>
              </w:rPr>
            </w:pPr>
          </w:p>
        </w:tc>
        <w:tc>
          <w:tcPr>
            <w:tcW w:w="990" w:type="dxa"/>
            <w:tcBorders>
              <w:top w:val="single" w:sz="8" w:space="0" w:color="auto"/>
            </w:tcBorders>
            <w:vAlign w:val="center"/>
          </w:tcPr>
          <w:p w14:paraId="385BF9A4" w14:textId="77777777" w:rsidR="00797AA9" w:rsidRPr="00BC523A" w:rsidRDefault="00797AA9" w:rsidP="008D15DB">
            <w:pPr>
              <w:jc w:val="right"/>
              <w:rPr>
                <w:b/>
                <w:bCs/>
                <w:color w:val="000000"/>
                <w:sz w:val="22"/>
                <w:szCs w:val="22"/>
                <w:lang w:eastAsia="cs-CZ"/>
              </w:rPr>
            </w:pPr>
          </w:p>
        </w:tc>
        <w:tc>
          <w:tcPr>
            <w:tcW w:w="990" w:type="dxa"/>
            <w:tcBorders>
              <w:top w:val="single" w:sz="8" w:space="0" w:color="auto"/>
            </w:tcBorders>
            <w:vAlign w:val="center"/>
          </w:tcPr>
          <w:p w14:paraId="3B84DD53" w14:textId="77777777" w:rsidR="00797AA9" w:rsidRPr="00BC523A" w:rsidRDefault="00797AA9" w:rsidP="008D15DB">
            <w:pPr>
              <w:jc w:val="right"/>
              <w:rPr>
                <w:b/>
                <w:bCs/>
                <w:color w:val="000000"/>
                <w:sz w:val="22"/>
                <w:szCs w:val="22"/>
                <w:lang w:eastAsia="cs-CZ"/>
              </w:rPr>
            </w:pPr>
          </w:p>
        </w:tc>
        <w:tc>
          <w:tcPr>
            <w:tcW w:w="1131" w:type="dxa"/>
            <w:tcBorders>
              <w:top w:val="single" w:sz="8" w:space="0" w:color="auto"/>
            </w:tcBorders>
            <w:vAlign w:val="center"/>
          </w:tcPr>
          <w:p w14:paraId="732B7D56" w14:textId="77777777" w:rsidR="00797AA9" w:rsidRPr="00BC523A" w:rsidRDefault="00797AA9" w:rsidP="008D15DB">
            <w:pPr>
              <w:jc w:val="right"/>
              <w:rPr>
                <w:b/>
                <w:bCs/>
                <w:color w:val="000000"/>
                <w:sz w:val="22"/>
                <w:szCs w:val="22"/>
                <w:lang w:eastAsia="cs-CZ"/>
              </w:rPr>
            </w:pPr>
          </w:p>
        </w:tc>
        <w:tc>
          <w:tcPr>
            <w:tcW w:w="1155" w:type="dxa"/>
            <w:tcBorders>
              <w:top w:val="single" w:sz="8" w:space="0" w:color="auto"/>
            </w:tcBorders>
            <w:vAlign w:val="center"/>
          </w:tcPr>
          <w:p w14:paraId="66743152" w14:textId="77777777" w:rsidR="00797AA9" w:rsidRPr="00BC523A" w:rsidRDefault="00797AA9" w:rsidP="008D15DB">
            <w:pPr>
              <w:jc w:val="right"/>
              <w:rPr>
                <w:b/>
                <w:bCs/>
                <w:color w:val="000000"/>
                <w:sz w:val="22"/>
                <w:szCs w:val="22"/>
                <w:lang w:eastAsia="cs-CZ"/>
              </w:rPr>
            </w:pPr>
          </w:p>
        </w:tc>
      </w:tr>
      <w:tr w:rsidR="00797AA9" w:rsidRPr="00BC523A" w14:paraId="6EA55D05" w14:textId="77777777" w:rsidTr="008D15DB">
        <w:trPr>
          <w:gridAfter w:val="1"/>
          <w:wAfter w:w="1280" w:type="dxa"/>
          <w:trHeight w:val="344"/>
        </w:trPr>
        <w:tc>
          <w:tcPr>
            <w:tcW w:w="554" w:type="dxa"/>
            <w:tcBorders>
              <w:bottom w:val="single" w:sz="8" w:space="0" w:color="auto"/>
            </w:tcBorders>
            <w:vAlign w:val="center"/>
          </w:tcPr>
          <w:p w14:paraId="7713DFD4" w14:textId="77777777" w:rsidR="00797AA9" w:rsidRPr="00BC523A" w:rsidRDefault="00797AA9" w:rsidP="008D15DB">
            <w:pPr>
              <w:jc w:val="center"/>
              <w:rPr>
                <w:color w:val="000000"/>
                <w:sz w:val="22"/>
                <w:szCs w:val="22"/>
                <w:lang w:eastAsia="cs-CZ"/>
              </w:rPr>
            </w:pPr>
          </w:p>
        </w:tc>
        <w:tc>
          <w:tcPr>
            <w:tcW w:w="2697" w:type="dxa"/>
            <w:tcBorders>
              <w:bottom w:val="single" w:sz="8" w:space="0" w:color="auto"/>
            </w:tcBorders>
            <w:vAlign w:val="center"/>
          </w:tcPr>
          <w:p w14:paraId="507ECA51" w14:textId="77777777" w:rsidR="00797AA9" w:rsidRPr="00BC523A" w:rsidRDefault="00797AA9" w:rsidP="008D15DB">
            <w:pPr>
              <w:rPr>
                <w:b/>
                <w:bCs/>
                <w:color w:val="000000"/>
                <w:sz w:val="22"/>
                <w:szCs w:val="22"/>
                <w:lang w:eastAsia="cs-CZ"/>
              </w:rPr>
            </w:pPr>
          </w:p>
        </w:tc>
        <w:tc>
          <w:tcPr>
            <w:tcW w:w="988" w:type="dxa"/>
            <w:tcBorders>
              <w:bottom w:val="single" w:sz="8" w:space="0" w:color="auto"/>
            </w:tcBorders>
            <w:vAlign w:val="center"/>
          </w:tcPr>
          <w:p w14:paraId="2B245A79" w14:textId="77777777" w:rsidR="00797AA9" w:rsidRPr="00BC523A" w:rsidRDefault="00797AA9" w:rsidP="008D15DB">
            <w:pPr>
              <w:jc w:val="right"/>
              <w:rPr>
                <w:b/>
                <w:bCs/>
                <w:color w:val="000000"/>
                <w:sz w:val="22"/>
                <w:szCs w:val="22"/>
                <w:lang w:eastAsia="cs-CZ"/>
              </w:rPr>
            </w:pPr>
          </w:p>
        </w:tc>
        <w:tc>
          <w:tcPr>
            <w:tcW w:w="990" w:type="dxa"/>
            <w:tcBorders>
              <w:bottom w:val="single" w:sz="8" w:space="0" w:color="auto"/>
            </w:tcBorders>
            <w:vAlign w:val="center"/>
          </w:tcPr>
          <w:p w14:paraId="2CAF8DA7" w14:textId="77777777" w:rsidR="00797AA9" w:rsidRPr="00BC523A" w:rsidRDefault="00797AA9" w:rsidP="008D15DB">
            <w:pPr>
              <w:jc w:val="right"/>
              <w:rPr>
                <w:b/>
                <w:bCs/>
                <w:color w:val="000000"/>
                <w:sz w:val="22"/>
                <w:szCs w:val="22"/>
                <w:lang w:eastAsia="cs-CZ"/>
              </w:rPr>
            </w:pPr>
          </w:p>
        </w:tc>
        <w:tc>
          <w:tcPr>
            <w:tcW w:w="990" w:type="dxa"/>
            <w:tcBorders>
              <w:bottom w:val="single" w:sz="8" w:space="0" w:color="auto"/>
            </w:tcBorders>
            <w:vAlign w:val="center"/>
          </w:tcPr>
          <w:p w14:paraId="65DA1443" w14:textId="77777777" w:rsidR="00797AA9" w:rsidRPr="00BC523A" w:rsidRDefault="00797AA9" w:rsidP="008D15DB">
            <w:pPr>
              <w:jc w:val="right"/>
              <w:rPr>
                <w:b/>
                <w:bCs/>
                <w:color w:val="000000"/>
                <w:sz w:val="22"/>
                <w:szCs w:val="22"/>
                <w:lang w:eastAsia="cs-CZ"/>
              </w:rPr>
            </w:pPr>
          </w:p>
        </w:tc>
        <w:tc>
          <w:tcPr>
            <w:tcW w:w="1131" w:type="dxa"/>
            <w:tcBorders>
              <w:bottom w:val="single" w:sz="8" w:space="0" w:color="auto"/>
            </w:tcBorders>
            <w:vAlign w:val="center"/>
          </w:tcPr>
          <w:p w14:paraId="7A482AF3" w14:textId="77777777" w:rsidR="00797AA9" w:rsidRPr="00BC523A" w:rsidRDefault="00797AA9" w:rsidP="008D15DB">
            <w:pPr>
              <w:jc w:val="right"/>
              <w:rPr>
                <w:b/>
                <w:bCs/>
                <w:color w:val="000000"/>
                <w:sz w:val="22"/>
                <w:szCs w:val="22"/>
                <w:lang w:eastAsia="cs-CZ"/>
              </w:rPr>
            </w:pPr>
          </w:p>
        </w:tc>
        <w:tc>
          <w:tcPr>
            <w:tcW w:w="1155" w:type="dxa"/>
            <w:tcBorders>
              <w:bottom w:val="single" w:sz="8" w:space="0" w:color="auto"/>
            </w:tcBorders>
            <w:vAlign w:val="center"/>
          </w:tcPr>
          <w:p w14:paraId="3DA49999" w14:textId="77777777" w:rsidR="00797AA9" w:rsidRPr="00BC523A" w:rsidRDefault="00797AA9" w:rsidP="008D15DB">
            <w:pPr>
              <w:jc w:val="right"/>
              <w:rPr>
                <w:b/>
                <w:bCs/>
                <w:color w:val="000000"/>
                <w:sz w:val="22"/>
                <w:szCs w:val="22"/>
                <w:lang w:eastAsia="cs-CZ"/>
              </w:rPr>
            </w:pPr>
          </w:p>
        </w:tc>
      </w:tr>
      <w:tr w:rsidR="00797AA9" w:rsidRPr="00BC523A" w14:paraId="3CEBEC3E" w14:textId="77777777" w:rsidTr="008D15DB">
        <w:trPr>
          <w:gridAfter w:val="1"/>
          <w:wAfter w:w="1280" w:type="dxa"/>
          <w:trHeight w:val="469"/>
        </w:trPr>
        <w:tc>
          <w:tcPr>
            <w:tcW w:w="554"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58EE6BDF" w14:textId="77777777" w:rsidR="00797AA9" w:rsidRPr="00BC523A" w:rsidRDefault="00797AA9" w:rsidP="008D15DB">
            <w:pPr>
              <w:jc w:val="center"/>
              <w:rPr>
                <w:color w:val="000000"/>
                <w:sz w:val="22"/>
                <w:szCs w:val="22"/>
                <w:lang w:eastAsia="cs-CZ"/>
              </w:rPr>
            </w:pPr>
          </w:p>
        </w:tc>
        <w:tc>
          <w:tcPr>
            <w:tcW w:w="2697"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DAD28CC"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 xml:space="preserve">CELKEM </w:t>
            </w:r>
          </w:p>
        </w:tc>
        <w:tc>
          <w:tcPr>
            <w:tcW w:w="4099" w:type="dxa"/>
            <w:gridSpan w:val="4"/>
            <w:tcBorders>
              <w:top w:val="single" w:sz="8" w:space="0" w:color="auto"/>
              <w:left w:val="nil"/>
              <w:bottom w:val="single" w:sz="8" w:space="0" w:color="auto"/>
              <w:right w:val="single" w:sz="8" w:space="0" w:color="auto"/>
            </w:tcBorders>
            <w:shd w:val="clear" w:color="auto" w:fill="F2F2F2" w:themeFill="background1" w:themeFillShade="F2"/>
            <w:vAlign w:val="center"/>
          </w:tcPr>
          <w:p w14:paraId="0702EB56" w14:textId="77777777" w:rsidR="00797AA9" w:rsidRPr="00BC523A" w:rsidRDefault="00797AA9" w:rsidP="008D15DB">
            <w:pPr>
              <w:jc w:val="center"/>
              <w:rPr>
                <w:b/>
                <w:bCs/>
                <w:color w:val="000000"/>
                <w:sz w:val="22"/>
                <w:szCs w:val="22"/>
                <w:lang w:eastAsia="cs-CZ"/>
              </w:rPr>
            </w:pPr>
            <w:r w:rsidRPr="001D7A4C">
              <w:rPr>
                <w:rFonts w:cstheme="minorHAnsi"/>
                <w:b/>
                <w:bCs/>
                <w:sz w:val="22"/>
                <w:szCs w:val="22"/>
                <w:lang w:eastAsia="cs-CZ"/>
              </w:rPr>
              <w:t>Financování v tis. Kč</w:t>
            </w:r>
          </w:p>
        </w:tc>
        <w:tc>
          <w:tcPr>
            <w:tcW w:w="1155" w:type="dxa"/>
            <w:vMerge w:val="restart"/>
            <w:tcBorders>
              <w:top w:val="single" w:sz="8" w:space="0" w:color="auto"/>
              <w:left w:val="nil"/>
              <w:right w:val="single" w:sz="8" w:space="0" w:color="auto"/>
            </w:tcBorders>
            <w:shd w:val="clear" w:color="auto" w:fill="F2F2F2" w:themeFill="background1" w:themeFillShade="F2"/>
            <w:vAlign w:val="center"/>
          </w:tcPr>
          <w:p w14:paraId="160AF1D3" w14:textId="77777777" w:rsidR="00797AA9" w:rsidRPr="00BC523A" w:rsidRDefault="00797AA9" w:rsidP="008D15DB">
            <w:pPr>
              <w:jc w:val="right"/>
              <w:rPr>
                <w:b/>
                <w:bCs/>
                <w:color w:val="000000"/>
                <w:sz w:val="22"/>
                <w:szCs w:val="22"/>
                <w:lang w:eastAsia="cs-CZ"/>
              </w:rPr>
            </w:pPr>
            <w:r w:rsidRPr="001D7A4C">
              <w:rPr>
                <w:b/>
                <w:bCs/>
                <w:color w:val="000000"/>
                <w:sz w:val="22"/>
                <w:szCs w:val="22"/>
                <w:lang w:eastAsia="cs-CZ"/>
              </w:rPr>
              <w:t>celkem</w:t>
            </w:r>
          </w:p>
        </w:tc>
      </w:tr>
      <w:tr w:rsidR="00797AA9" w:rsidRPr="00BC523A" w14:paraId="3D284D88" w14:textId="77777777" w:rsidTr="008D15DB">
        <w:trPr>
          <w:gridAfter w:val="1"/>
          <w:wAfter w:w="1280" w:type="dxa"/>
          <w:trHeight w:val="344"/>
        </w:trPr>
        <w:tc>
          <w:tcPr>
            <w:tcW w:w="554" w:type="dxa"/>
            <w:vMerge/>
            <w:tcBorders>
              <w:left w:val="single" w:sz="8" w:space="0" w:color="auto"/>
              <w:bottom w:val="single" w:sz="8" w:space="0" w:color="000000"/>
              <w:right w:val="single" w:sz="8" w:space="0" w:color="auto"/>
            </w:tcBorders>
            <w:vAlign w:val="center"/>
          </w:tcPr>
          <w:p w14:paraId="41D2D007" w14:textId="77777777" w:rsidR="00797AA9" w:rsidRPr="00BC523A" w:rsidRDefault="00797AA9" w:rsidP="008D15DB">
            <w:pPr>
              <w:jc w:val="center"/>
              <w:rPr>
                <w:color w:val="000000"/>
                <w:sz w:val="22"/>
                <w:szCs w:val="22"/>
                <w:lang w:eastAsia="cs-CZ"/>
              </w:rPr>
            </w:pPr>
          </w:p>
        </w:tc>
        <w:tc>
          <w:tcPr>
            <w:tcW w:w="2697" w:type="dxa"/>
            <w:vMerge/>
            <w:tcBorders>
              <w:left w:val="single" w:sz="8" w:space="0" w:color="auto"/>
              <w:bottom w:val="single" w:sz="8" w:space="0" w:color="000000"/>
              <w:right w:val="single" w:sz="8" w:space="0" w:color="auto"/>
            </w:tcBorders>
            <w:vAlign w:val="center"/>
          </w:tcPr>
          <w:p w14:paraId="4F837DA6" w14:textId="77777777" w:rsidR="00797AA9" w:rsidRPr="00BC523A" w:rsidRDefault="00797AA9" w:rsidP="008D15DB">
            <w:pPr>
              <w:rPr>
                <w:b/>
                <w:bCs/>
                <w:color w:val="000000"/>
                <w:sz w:val="22"/>
                <w:szCs w:val="22"/>
                <w:lang w:eastAsia="cs-CZ"/>
              </w:rPr>
            </w:pPr>
          </w:p>
        </w:tc>
        <w:tc>
          <w:tcPr>
            <w:tcW w:w="988"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027832BC"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NINV   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583EF936"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INV</w:t>
            </w:r>
          </w:p>
          <w:p w14:paraId="02EB7F30"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UTB</w:t>
            </w:r>
          </w:p>
        </w:tc>
        <w:tc>
          <w:tcPr>
            <w:tcW w:w="990"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F7B1481"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NINV dotační</w:t>
            </w:r>
          </w:p>
        </w:tc>
        <w:tc>
          <w:tcPr>
            <w:tcW w:w="1131"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4FCE57F4" w14:textId="77777777" w:rsidR="00797AA9" w:rsidRPr="00BC523A" w:rsidRDefault="00797AA9" w:rsidP="008D15DB">
            <w:pPr>
              <w:jc w:val="center"/>
              <w:rPr>
                <w:b/>
                <w:bCs/>
                <w:color w:val="000000"/>
                <w:sz w:val="22"/>
                <w:szCs w:val="22"/>
                <w:lang w:eastAsia="cs-CZ"/>
              </w:rPr>
            </w:pPr>
            <w:r w:rsidRPr="00BC523A">
              <w:rPr>
                <w:b/>
                <w:bCs/>
                <w:color w:val="000000"/>
                <w:sz w:val="22"/>
                <w:szCs w:val="22"/>
                <w:lang w:eastAsia="cs-CZ"/>
              </w:rPr>
              <w:t>INV dotační</w:t>
            </w:r>
          </w:p>
        </w:tc>
        <w:tc>
          <w:tcPr>
            <w:tcW w:w="1155" w:type="dxa"/>
            <w:vMerge/>
            <w:tcBorders>
              <w:left w:val="nil"/>
              <w:bottom w:val="single" w:sz="8" w:space="0" w:color="auto"/>
              <w:right w:val="single" w:sz="8" w:space="0" w:color="auto"/>
            </w:tcBorders>
            <w:vAlign w:val="center"/>
          </w:tcPr>
          <w:p w14:paraId="3A111A3C" w14:textId="77777777" w:rsidR="00797AA9" w:rsidRPr="00BC523A" w:rsidRDefault="00797AA9" w:rsidP="008D15DB">
            <w:pPr>
              <w:jc w:val="right"/>
              <w:rPr>
                <w:b/>
                <w:bCs/>
                <w:color w:val="000000"/>
                <w:sz w:val="22"/>
                <w:szCs w:val="22"/>
                <w:lang w:eastAsia="cs-CZ"/>
              </w:rPr>
            </w:pPr>
          </w:p>
        </w:tc>
      </w:tr>
      <w:tr w:rsidR="00797AA9" w:rsidRPr="00BC523A" w14:paraId="6A7D45DB"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4E333D29" w14:textId="77777777" w:rsidR="00797AA9" w:rsidRPr="00BC523A" w:rsidRDefault="00797AA9" w:rsidP="008D15DB">
            <w:pPr>
              <w:jc w:val="center"/>
              <w:rPr>
                <w:color w:val="000000"/>
                <w:sz w:val="22"/>
                <w:szCs w:val="22"/>
                <w:lang w:eastAsia="cs-CZ"/>
              </w:rPr>
            </w:pPr>
            <w:r w:rsidRPr="00BC523A">
              <w:rPr>
                <w:color w:val="000000"/>
                <w:sz w:val="22"/>
                <w:szCs w:val="22"/>
                <w:lang w:eastAsia="cs-CZ"/>
              </w:rPr>
              <w:t>1</w:t>
            </w:r>
          </w:p>
        </w:tc>
        <w:tc>
          <w:tcPr>
            <w:tcW w:w="2697" w:type="dxa"/>
            <w:tcBorders>
              <w:top w:val="single" w:sz="8" w:space="0" w:color="auto"/>
              <w:left w:val="single" w:sz="8" w:space="0" w:color="auto"/>
              <w:bottom w:val="single" w:sz="8" w:space="0" w:color="000000"/>
              <w:right w:val="single" w:sz="8" w:space="0" w:color="auto"/>
            </w:tcBorders>
            <w:vAlign w:val="center"/>
          </w:tcPr>
          <w:p w14:paraId="1EBE372C" w14:textId="77777777" w:rsidR="00797AA9" w:rsidRPr="00BC523A" w:rsidRDefault="00797AA9" w:rsidP="008D15DB">
            <w:pPr>
              <w:rPr>
                <w:b/>
                <w:bCs/>
                <w:color w:val="000000"/>
                <w:sz w:val="22"/>
                <w:szCs w:val="22"/>
                <w:lang w:eastAsia="cs-CZ"/>
              </w:rPr>
            </w:pPr>
            <w:r w:rsidRPr="00BC523A">
              <w:rPr>
                <w:color w:val="000000"/>
                <w:sz w:val="22"/>
                <w:szCs w:val="22"/>
                <w:lang w:eastAsia="cs-CZ"/>
              </w:rPr>
              <w:t>STRATEGICKÉ AKCE</w:t>
            </w:r>
          </w:p>
        </w:tc>
        <w:tc>
          <w:tcPr>
            <w:tcW w:w="988" w:type="dxa"/>
            <w:tcBorders>
              <w:top w:val="single" w:sz="8" w:space="0" w:color="auto"/>
              <w:left w:val="nil"/>
              <w:bottom w:val="single" w:sz="8" w:space="0" w:color="auto"/>
              <w:right w:val="single" w:sz="8" w:space="0" w:color="auto"/>
            </w:tcBorders>
            <w:vAlign w:val="center"/>
          </w:tcPr>
          <w:p w14:paraId="02574E55"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619</w:t>
            </w:r>
          </w:p>
        </w:tc>
        <w:tc>
          <w:tcPr>
            <w:tcW w:w="990" w:type="dxa"/>
            <w:tcBorders>
              <w:top w:val="single" w:sz="8" w:space="0" w:color="auto"/>
              <w:left w:val="nil"/>
              <w:bottom w:val="single" w:sz="8" w:space="0" w:color="auto"/>
              <w:right w:val="single" w:sz="8" w:space="0" w:color="auto"/>
            </w:tcBorders>
            <w:vAlign w:val="center"/>
          </w:tcPr>
          <w:p w14:paraId="6A64C0F5"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128 934</w:t>
            </w:r>
          </w:p>
        </w:tc>
        <w:tc>
          <w:tcPr>
            <w:tcW w:w="990" w:type="dxa"/>
            <w:tcBorders>
              <w:top w:val="single" w:sz="8" w:space="0" w:color="auto"/>
              <w:left w:val="nil"/>
              <w:bottom w:val="single" w:sz="8" w:space="0" w:color="auto"/>
              <w:right w:val="single" w:sz="8" w:space="0" w:color="auto"/>
            </w:tcBorders>
            <w:vAlign w:val="center"/>
          </w:tcPr>
          <w:p w14:paraId="364B6C0C"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067CC834"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305 844</w:t>
            </w:r>
          </w:p>
        </w:tc>
        <w:tc>
          <w:tcPr>
            <w:tcW w:w="1155" w:type="dxa"/>
            <w:tcBorders>
              <w:top w:val="single" w:sz="8" w:space="0" w:color="auto"/>
              <w:left w:val="nil"/>
              <w:bottom w:val="single" w:sz="8" w:space="0" w:color="auto"/>
              <w:right w:val="single" w:sz="8" w:space="0" w:color="auto"/>
            </w:tcBorders>
            <w:vAlign w:val="center"/>
          </w:tcPr>
          <w:p w14:paraId="7C191D12"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435 397</w:t>
            </w:r>
          </w:p>
        </w:tc>
      </w:tr>
      <w:tr w:rsidR="00797AA9" w:rsidRPr="00BC523A" w14:paraId="3140D5A0"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62EDC83C" w14:textId="77777777" w:rsidR="00797AA9" w:rsidRPr="00BC523A" w:rsidRDefault="00797AA9" w:rsidP="008D15DB">
            <w:pPr>
              <w:jc w:val="center"/>
              <w:rPr>
                <w:color w:val="000000"/>
                <w:sz w:val="22"/>
                <w:szCs w:val="22"/>
                <w:lang w:eastAsia="cs-CZ"/>
              </w:rPr>
            </w:pPr>
            <w:r w:rsidRPr="00BC523A">
              <w:rPr>
                <w:color w:val="000000"/>
                <w:sz w:val="22"/>
                <w:szCs w:val="22"/>
                <w:lang w:eastAsia="cs-CZ"/>
              </w:rPr>
              <w:t>2</w:t>
            </w:r>
          </w:p>
        </w:tc>
        <w:tc>
          <w:tcPr>
            <w:tcW w:w="2697" w:type="dxa"/>
            <w:tcBorders>
              <w:top w:val="single" w:sz="8" w:space="0" w:color="auto"/>
              <w:left w:val="single" w:sz="8" w:space="0" w:color="auto"/>
              <w:bottom w:val="single" w:sz="8" w:space="0" w:color="000000"/>
              <w:right w:val="single" w:sz="8" w:space="0" w:color="auto"/>
            </w:tcBorders>
            <w:vAlign w:val="center"/>
          </w:tcPr>
          <w:p w14:paraId="5727924B" w14:textId="77777777" w:rsidR="00797AA9" w:rsidRPr="00BC523A" w:rsidRDefault="00797AA9" w:rsidP="008D15DB">
            <w:pPr>
              <w:rPr>
                <w:b/>
                <w:bCs/>
                <w:color w:val="000000"/>
                <w:sz w:val="22"/>
                <w:szCs w:val="22"/>
                <w:lang w:eastAsia="cs-CZ"/>
              </w:rPr>
            </w:pPr>
            <w:r w:rsidRPr="00BC523A">
              <w:rPr>
                <w:color w:val="000000"/>
                <w:sz w:val="22"/>
                <w:szCs w:val="22"/>
                <w:lang w:eastAsia="cs-CZ"/>
              </w:rPr>
              <w:t>PRIORITNÍ AKCE</w:t>
            </w:r>
          </w:p>
        </w:tc>
        <w:tc>
          <w:tcPr>
            <w:tcW w:w="988" w:type="dxa"/>
            <w:tcBorders>
              <w:top w:val="single" w:sz="8" w:space="0" w:color="auto"/>
              <w:left w:val="nil"/>
              <w:bottom w:val="single" w:sz="8" w:space="0" w:color="auto"/>
              <w:right w:val="single" w:sz="8" w:space="0" w:color="auto"/>
            </w:tcBorders>
            <w:vAlign w:val="center"/>
          </w:tcPr>
          <w:p w14:paraId="242421B0"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6 644</w:t>
            </w:r>
          </w:p>
        </w:tc>
        <w:tc>
          <w:tcPr>
            <w:tcW w:w="990" w:type="dxa"/>
            <w:tcBorders>
              <w:top w:val="single" w:sz="8" w:space="0" w:color="auto"/>
              <w:left w:val="nil"/>
              <w:bottom w:val="single" w:sz="8" w:space="0" w:color="auto"/>
              <w:right w:val="single" w:sz="8" w:space="0" w:color="auto"/>
            </w:tcBorders>
            <w:vAlign w:val="center"/>
          </w:tcPr>
          <w:p w14:paraId="192D19A2"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57 076</w:t>
            </w:r>
          </w:p>
        </w:tc>
        <w:tc>
          <w:tcPr>
            <w:tcW w:w="990" w:type="dxa"/>
            <w:tcBorders>
              <w:top w:val="single" w:sz="8" w:space="0" w:color="auto"/>
              <w:left w:val="nil"/>
              <w:bottom w:val="single" w:sz="8" w:space="0" w:color="auto"/>
              <w:right w:val="single" w:sz="8" w:space="0" w:color="auto"/>
            </w:tcBorders>
            <w:vAlign w:val="center"/>
          </w:tcPr>
          <w:p w14:paraId="723D1445"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17 361</w:t>
            </w:r>
          </w:p>
        </w:tc>
        <w:tc>
          <w:tcPr>
            <w:tcW w:w="1131" w:type="dxa"/>
            <w:tcBorders>
              <w:top w:val="single" w:sz="8" w:space="0" w:color="auto"/>
              <w:left w:val="nil"/>
              <w:bottom w:val="single" w:sz="8" w:space="0" w:color="auto"/>
              <w:right w:val="single" w:sz="8" w:space="0" w:color="auto"/>
            </w:tcBorders>
            <w:vAlign w:val="center"/>
          </w:tcPr>
          <w:p w14:paraId="2C3F92A7"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51 732</w:t>
            </w:r>
          </w:p>
        </w:tc>
        <w:tc>
          <w:tcPr>
            <w:tcW w:w="1155" w:type="dxa"/>
            <w:tcBorders>
              <w:top w:val="single" w:sz="8" w:space="0" w:color="auto"/>
              <w:left w:val="nil"/>
              <w:bottom w:val="single" w:sz="8" w:space="0" w:color="auto"/>
              <w:right w:val="single" w:sz="8" w:space="0" w:color="auto"/>
            </w:tcBorders>
            <w:vAlign w:val="center"/>
          </w:tcPr>
          <w:p w14:paraId="1DE9E69D"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132 813</w:t>
            </w:r>
          </w:p>
        </w:tc>
      </w:tr>
      <w:tr w:rsidR="00797AA9" w:rsidRPr="00BC523A" w14:paraId="4B037D6E"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1F5024A2" w14:textId="77777777" w:rsidR="00797AA9" w:rsidRPr="00BC523A" w:rsidRDefault="00797AA9" w:rsidP="008D15DB">
            <w:pPr>
              <w:jc w:val="center"/>
              <w:rPr>
                <w:color w:val="000000"/>
                <w:sz w:val="22"/>
                <w:szCs w:val="22"/>
                <w:lang w:eastAsia="cs-CZ"/>
              </w:rPr>
            </w:pPr>
            <w:r w:rsidRPr="00BC523A">
              <w:rPr>
                <w:color w:val="000000"/>
                <w:sz w:val="22"/>
                <w:szCs w:val="22"/>
                <w:lang w:eastAsia="cs-CZ"/>
              </w:rPr>
              <w:t>3</w:t>
            </w:r>
          </w:p>
        </w:tc>
        <w:tc>
          <w:tcPr>
            <w:tcW w:w="2697" w:type="dxa"/>
            <w:tcBorders>
              <w:top w:val="single" w:sz="8" w:space="0" w:color="auto"/>
              <w:left w:val="single" w:sz="8" w:space="0" w:color="auto"/>
              <w:bottom w:val="single" w:sz="8" w:space="0" w:color="000000"/>
              <w:right w:val="single" w:sz="8" w:space="0" w:color="auto"/>
            </w:tcBorders>
            <w:vAlign w:val="center"/>
          </w:tcPr>
          <w:p w14:paraId="609A1598" w14:textId="77777777" w:rsidR="00797AA9" w:rsidRPr="00BC523A" w:rsidRDefault="00797AA9" w:rsidP="008D15DB">
            <w:pPr>
              <w:rPr>
                <w:b/>
                <w:bCs/>
                <w:color w:val="000000"/>
                <w:sz w:val="22"/>
                <w:szCs w:val="22"/>
                <w:lang w:eastAsia="cs-CZ"/>
              </w:rPr>
            </w:pPr>
            <w:r w:rsidRPr="00BC523A">
              <w:rPr>
                <w:color w:val="000000"/>
                <w:sz w:val="22"/>
                <w:szCs w:val="22"/>
                <w:lang w:eastAsia="cs-CZ"/>
              </w:rPr>
              <w:t>Energetika, BOZP + PO</w:t>
            </w:r>
          </w:p>
        </w:tc>
        <w:tc>
          <w:tcPr>
            <w:tcW w:w="988" w:type="dxa"/>
            <w:tcBorders>
              <w:top w:val="single" w:sz="8" w:space="0" w:color="auto"/>
              <w:left w:val="nil"/>
              <w:bottom w:val="single" w:sz="8" w:space="0" w:color="auto"/>
              <w:right w:val="single" w:sz="8" w:space="0" w:color="auto"/>
            </w:tcBorders>
            <w:vAlign w:val="center"/>
          </w:tcPr>
          <w:p w14:paraId="123B51A5"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2 879</w:t>
            </w:r>
          </w:p>
        </w:tc>
        <w:tc>
          <w:tcPr>
            <w:tcW w:w="990" w:type="dxa"/>
            <w:tcBorders>
              <w:top w:val="single" w:sz="8" w:space="0" w:color="auto"/>
              <w:left w:val="nil"/>
              <w:bottom w:val="single" w:sz="8" w:space="0" w:color="auto"/>
              <w:right w:val="single" w:sz="8" w:space="0" w:color="auto"/>
            </w:tcBorders>
            <w:vAlign w:val="center"/>
          </w:tcPr>
          <w:p w14:paraId="08B7F03A"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4 975</w:t>
            </w:r>
          </w:p>
        </w:tc>
        <w:tc>
          <w:tcPr>
            <w:tcW w:w="990" w:type="dxa"/>
            <w:tcBorders>
              <w:top w:val="single" w:sz="8" w:space="0" w:color="auto"/>
              <w:left w:val="nil"/>
              <w:bottom w:val="single" w:sz="8" w:space="0" w:color="auto"/>
              <w:right w:val="single" w:sz="8" w:space="0" w:color="auto"/>
            </w:tcBorders>
            <w:vAlign w:val="center"/>
          </w:tcPr>
          <w:p w14:paraId="138786EA"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514F6811"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6E5842B1"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7 854</w:t>
            </w:r>
          </w:p>
        </w:tc>
      </w:tr>
      <w:tr w:rsidR="00797AA9" w:rsidRPr="00BC523A" w14:paraId="74A39FD7"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5FEFCBD6" w14:textId="77777777" w:rsidR="00797AA9" w:rsidRPr="00BC523A" w:rsidRDefault="00797AA9" w:rsidP="008D15DB">
            <w:pPr>
              <w:jc w:val="center"/>
              <w:rPr>
                <w:color w:val="000000"/>
                <w:sz w:val="22"/>
                <w:szCs w:val="22"/>
                <w:lang w:eastAsia="cs-CZ"/>
              </w:rPr>
            </w:pPr>
            <w:r w:rsidRPr="00BC523A">
              <w:rPr>
                <w:color w:val="000000"/>
                <w:sz w:val="22"/>
                <w:szCs w:val="22"/>
                <w:lang w:eastAsia="cs-CZ"/>
              </w:rPr>
              <w:t>4</w:t>
            </w:r>
          </w:p>
        </w:tc>
        <w:tc>
          <w:tcPr>
            <w:tcW w:w="2697" w:type="dxa"/>
            <w:tcBorders>
              <w:top w:val="single" w:sz="8" w:space="0" w:color="auto"/>
              <w:left w:val="single" w:sz="8" w:space="0" w:color="auto"/>
              <w:bottom w:val="single" w:sz="8" w:space="0" w:color="000000"/>
              <w:right w:val="single" w:sz="8" w:space="0" w:color="auto"/>
            </w:tcBorders>
            <w:vAlign w:val="center"/>
          </w:tcPr>
          <w:p w14:paraId="0D6BB9A5" w14:textId="77777777" w:rsidR="00797AA9" w:rsidRPr="00BC523A" w:rsidRDefault="00797AA9" w:rsidP="008D15DB">
            <w:pPr>
              <w:rPr>
                <w:b/>
                <w:bCs/>
                <w:color w:val="000000"/>
                <w:sz w:val="22"/>
                <w:szCs w:val="22"/>
                <w:lang w:eastAsia="cs-CZ"/>
              </w:rPr>
            </w:pPr>
            <w:r w:rsidRPr="00BC523A">
              <w:rPr>
                <w:color w:val="000000"/>
                <w:sz w:val="22"/>
                <w:szCs w:val="22"/>
                <w:lang w:eastAsia="cs-CZ"/>
              </w:rPr>
              <w:t>DALŠÍ AKCE</w:t>
            </w:r>
          </w:p>
        </w:tc>
        <w:tc>
          <w:tcPr>
            <w:tcW w:w="988" w:type="dxa"/>
            <w:tcBorders>
              <w:top w:val="single" w:sz="8" w:space="0" w:color="auto"/>
              <w:left w:val="nil"/>
              <w:bottom w:val="single" w:sz="8" w:space="0" w:color="auto"/>
              <w:right w:val="single" w:sz="8" w:space="0" w:color="auto"/>
            </w:tcBorders>
            <w:vAlign w:val="center"/>
          </w:tcPr>
          <w:p w14:paraId="78BDADCE"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2 250</w:t>
            </w:r>
          </w:p>
        </w:tc>
        <w:tc>
          <w:tcPr>
            <w:tcW w:w="990" w:type="dxa"/>
            <w:tcBorders>
              <w:top w:val="single" w:sz="8" w:space="0" w:color="auto"/>
              <w:left w:val="nil"/>
              <w:bottom w:val="single" w:sz="8" w:space="0" w:color="auto"/>
              <w:right w:val="single" w:sz="8" w:space="0" w:color="auto"/>
            </w:tcBorders>
            <w:vAlign w:val="center"/>
          </w:tcPr>
          <w:p w14:paraId="1FC1A0E3"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3 000</w:t>
            </w:r>
          </w:p>
        </w:tc>
        <w:tc>
          <w:tcPr>
            <w:tcW w:w="990" w:type="dxa"/>
            <w:tcBorders>
              <w:top w:val="single" w:sz="8" w:space="0" w:color="auto"/>
              <w:left w:val="nil"/>
              <w:bottom w:val="single" w:sz="8" w:space="0" w:color="auto"/>
              <w:right w:val="single" w:sz="8" w:space="0" w:color="auto"/>
            </w:tcBorders>
            <w:vAlign w:val="center"/>
          </w:tcPr>
          <w:p w14:paraId="6245F144"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30459E83"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79DED523"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5 250</w:t>
            </w:r>
          </w:p>
        </w:tc>
      </w:tr>
      <w:tr w:rsidR="00797AA9" w:rsidRPr="00BC523A" w14:paraId="484B7993"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4437EC2C" w14:textId="77777777" w:rsidR="00797AA9" w:rsidRPr="00BC523A" w:rsidRDefault="00797AA9" w:rsidP="008D15DB">
            <w:pPr>
              <w:jc w:val="center"/>
              <w:rPr>
                <w:color w:val="000000"/>
                <w:sz w:val="22"/>
                <w:szCs w:val="22"/>
                <w:lang w:eastAsia="cs-CZ"/>
              </w:rPr>
            </w:pPr>
            <w:r w:rsidRPr="00BC523A">
              <w:rPr>
                <w:color w:val="000000"/>
                <w:sz w:val="22"/>
                <w:szCs w:val="22"/>
                <w:lang w:eastAsia="cs-CZ"/>
              </w:rPr>
              <w:t>5</w:t>
            </w:r>
          </w:p>
        </w:tc>
        <w:tc>
          <w:tcPr>
            <w:tcW w:w="2697" w:type="dxa"/>
            <w:tcBorders>
              <w:top w:val="single" w:sz="8" w:space="0" w:color="auto"/>
              <w:left w:val="single" w:sz="8" w:space="0" w:color="auto"/>
              <w:bottom w:val="single" w:sz="8" w:space="0" w:color="000000"/>
              <w:right w:val="single" w:sz="8" w:space="0" w:color="auto"/>
            </w:tcBorders>
            <w:vAlign w:val="center"/>
          </w:tcPr>
          <w:p w14:paraId="306C3192" w14:textId="77777777" w:rsidR="00797AA9" w:rsidRPr="00BC523A" w:rsidRDefault="00797AA9" w:rsidP="008D15DB">
            <w:pPr>
              <w:rPr>
                <w:b/>
                <w:bCs/>
                <w:color w:val="000000"/>
                <w:sz w:val="22"/>
                <w:szCs w:val="22"/>
                <w:lang w:eastAsia="cs-CZ"/>
              </w:rPr>
            </w:pPr>
            <w:r w:rsidRPr="00BC523A">
              <w:rPr>
                <w:color w:val="000000"/>
                <w:sz w:val="22"/>
                <w:szCs w:val="22"/>
                <w:lang w:eastAsia="cs-CZ"/>
              </w:rPr>
              <w:t>SZNN</w:t>
            </w:r>
          </w:p>
        </w:tc>
        <w:tc>
          <w:tcPr>
            <w:tcW w:w="988" w:type="dxa"/>
            <w:tcBorders>
              <w:top w:val="single" w:sz="8" w:space="0" w:color="auto"/>
              <w:left w:val="nil"/>
              <w:bottom w:val="single" w:sz="8" w:space="0" w:color="auto"/>
              <w:right w:val="single" w:sz="8" w:space="0" w:color="auto"/>
            </w:tcBorders>
            <w:vAlign w:val="center"/>
          </w:tcPr>
          <w:p w14:paraId="41B682DC"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990" w:type="dxa"/>
            <w:tcBorders>
              <w:top w:val="single" w:sz="8" w:space="0" w:color="auto"/>
              <w:left w:val="nil"/>
              <w:bottom w:val="single" w:sz="8" w:space="0" w:color="auto"/>
              <w:right w:val="single" w:sz="8" w:space="0" w:color="auto"/>
            </w:tcBorders>
            <w:vAlign w:val="center"/>
          </w:tcPr>
          <w:p w14:paraId="11C6FD14"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1 500</w:t>
            </w:r>
          </w:p>
        </w:tc>
        <w:tc>
          <w:tcPr>
            <w:tcW w:w="990" w:type="dxa"/>
            <w:tcBorders>
              <w:top w:val="single" w:sz="8" w:space="0" w:color="auto"/>
              <w:left w:val="nil"/>
              <w:bottom w:val="single" w:sz="8" w:space="0" w:color="auto"/>
              <w:right w:val="single" w:sz="8" w:space="0" w:color="auto"/>
            </w:tcBorders>
            <w:vAlign w:val="center"/>
          </w:tcPr>
          <w:p w14:paraId="19E7A2DD"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1131" w:type="dxa"/>
            <w:tcBorders>
              <w:top w:val="single" w:sz="8" w:space="0" w:color="auto"/>
              <w:left w:val="nil"/>
              <w:bottom w:val="single" w:sz="8" w:space="0" w:color="auto"/>
              <w:right w:val="single" w:sz="8" w:space="0" w:color="auto"/>
            </w:tcBorders>
            <w:vAlign w:val="center"/>
          </w:tcPr>
          <w:p w14:paraId="665FAD68"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0</w:t>
            </w:r>
          </w:p>
        </w:tc>
        <w:tc>
          <w:tcPr>
            <w:tcW w:w="1155" w:type="dxa"/>
            <w:tcBorders>
              <w:top w:val="single" w:sz="8" w:space="0" w:color="auto"/>
              <w:left w:val="nil"/>
              <w:bottom w:val="single" w:sz="8" w:space="0" w:color="auto"/>
              <w:right w:val="single" w:sz="8" w:space="0" w:color="auto"/>
            </w:tcBorders>
            <w:vAlign w:val="center"/>
          </w:tcPr>
          <w:p w14:paraId="7F8C66AA" w14:textId="77777777" w:rsidR="00797AA9" w:rsidRPr="00BC523A" w:rsidRDefault="00797AA9" w:rsidP="008D15DB">
            <w:pPr>
              <w:jc w:val="right"/>
              <w:rPr>
                <w:b/>
                <w:bCs/>
                <w:color w:val="000000"/>
                <w:sz w:val="22"/>
                <w:szCs w:val="22"/>
                <w:lang w:eastAsia="cs-CZ"/>
              </w:rPr>
            </w:pPr>
            <w:r>
              <w:rPr>
                <w:rFonts w:ascii="Aptos" w:hAnsi="Aptos"/>
                <w:color w:val="000000"/>
                <w:sz w:val="22"/>
                <w:szCs w:val="22"/>
              </w:rPr>
              <w:t>1 500</w:t>
            </w:r>
          </w:p>
        </w:tc>
      </w:tr>
      <w:tr w:rsidR="00797AA9" w:rsidRPr="00BC523A" w14:paraId="342C29E0" w14:textId="77777777" w:rsidTr="008D15DB">
        <w:trPr>
          <w:gridAfter w:val="1"/>
          <w:wAfter w:w="1280" w:type="dxa"/>
          <w:trHeight w:val="344"/>
        </w:trPr>
        <w:tc>
          <w:tcPr>
            <w:tcW w:w="554" w:type="dxa"/>
            <w:tcBorders>
              <w:top w:val="single" w:sz="8" w:space="0" w:color="auto"/>
              <w:left w:val="single" w:sz="8" w:space="0" w:color="auto"/>
              <w:bottom w:val="single" w:sz="8" w:space="0" w:color="000000"/>
              <w:right w:val="single" w:sz="8" w:space="0" w:color="auto"/>
            </w:tcBorders>
            <w:vAlign w:val="center"/>
          </w:tcPr>
          <w:p w14:paraId="1283D2F3" w14:textId="77777777" w:rsidR="00797AA9" w:rsidRPr="00BC523A" w:rsidRDefault="00797AA9" w:rsidP="008D15DB">
            <w:pPr>
              <w:jc w:val="center"/>
              <w:rPr>
                <w:color w:val="000000"/>
                <w:sz w:val="22"/>
                <w:szCs w:val="22"/>
                <w:lang w:eastAsia="cs-CZ"/>
              </w:rPr>
            </w:pPr>
            <w:r w:rsidRPr="00BC523A">
              <w:rPr>
                <w:color w:val="000000"/>
                <w:sz w:val="22"/>
                <w:szCs w:val="22"/>
                <w:lang w:eastAsia="cs-CZ"/>
              </w:rPr>
              <w:t> </w:t>
            </w:r>
          </w:p>
        </w:tc>
        <w:tc>
          <w:tcPr>
            <w:tcW w:w="2697" w:type="dxa"/>
            <w:tcBorders>
              <w:top w:val="single" w:sz="8" w:space="0" w:color="auto"/>
              <w:left w:val="single" w:sz="8" w:space="0" w:color="auto"/>
              <w:bottom w:val="single" w:sz="8" w:space="0" w:color="000000"/>
              <w:right w:val="single" w:sz="8" w:space="0" w:color="auto"/>
            </w:tcBorders>
            <w:vAlign w:val="center"/>
          </w:tcPr>
          <w:p w14:paraId="66405FE2" w14:textId="77777777" w:rsidR="00797AA9" w:rsidRPr="00BC523A" w:rsidRDefault="00797AA9" w:rsidP="008D15DB">
            <w:pPr>
              <w:rPr>
                <w:b/>
                <w:bCs/>
                <w:color w:val="000000"/>
                <w:sz w:val="22"/>
                <w:szCs w:val="22"/>
                <w:lang w:eastAsia="cs-CZ"/>
              </w:rPr>
            </w:pPr>
            <w:r w:rsidRPr="00BC523A">
              <w:rPr>
                <w:b/>
                <w:bCs/>
                <w:color w:val="000000"/>
                <w:sz w:val="22"/>
                <w:szCs w:val="22"/>
                <w:lang w:eastAsia="cs-CZ"/>
              </w:rPr>
              <w:t>CELKEM 2026</w:t>
            </w:r>
          </w:p>
        </w:tc>
        <w:tc>
          <w:tcPr>
            <w:tcW w:w="988" w:type="dxa"/>
            <w:tcBorders>
              <w:top w:val="single" w:sz="8" w:space="0" w:color="auto"/>
              <w:left w:val="nil"/>
              <w:bottom w:val="single" w:sz="8" w:space="0" w:color="auto"/>
              <w:right w:val="single" w:sz="8" w:space="0" w:color="auto"/>
            </w:tcBorders>
            <w:vAlign w:val="center"/>
          </w:tcPr>
          <w:p w14:paraId="4EAB565D" w14:textId="77777777" w:rsidR="00797AA9" w:rsidRPr="00BC523A" w:rsidRDefault="00797AA9" w:rsidP="008D15DB">
            <w:pPr>
              <w:jc w:val="right"/>
              <w:rPr>
                <w:b/>
                <w:bCs/>
                <w:color w:val="000000"/>
                <w:sz w:val="22"/>
                <w:szCs w:val="22"/>
                <w:lang w:eastAsia="cs-CZ"/>
              </w:rPr>
            </w:pPr>
            <w:r>
              <w:rPr>
                <w:rFonts w:ascii="Aptos" w:hAnsi="Aptos"/>
                <w:b/>
                <w:bCs/>
                <w:color w:val="000000"/>
                <w:sz w:val="22"/>
                <w:szCs w:val="22"/>
              </w:rPr>
              <w:t>12 392</w:t>
            </w:r>
          </w:p>
        </w:tc>
        <w:tc>
          <w:tcPr>
            <w:tcW w:w="990" w:type="dxa"/>
            <w:tcBorders>
              <w:top w:val="single" w:sz="8" w:space="0" w:color="auto"/>
              <w:left w:val="nil"/>
              <w:bottom w:val="single" w:sz="8" w:space="0" w:color="auto"/>
              <w:right w:val="single" w:sz="8" w:space="0" w:color="auto"/>
            </w:tcBorders>
            <w:vAlign w:val="center"/>
          </w:tcPr>
          <w:p w14:paraId="1E1D11E4" w14:textId="77777777" w:rsidR="00797AA9" w:rsidRPr="00BC523A" w:rsidRDefault="00797AA9" w:rsidP="008D15DB">
            <w:pPr>
              <w:jc w:val="right"/>
              <w:rPr>
                <w:b/>
                <w:bCs/>
                <w:color w:val="000000"/>
                <w:sz w:val="22"/>
                <w:szCs w:val="22"/>
                <w:lang w:eastAsia="cs-CZ"/>
              </w:rPr>
            </w:pPr>
            <w:r>
              <w:rPr>
                <w:rFonts w:ascii="Aptos" w:hAnsi="Aptos"/>
                <w:b/>
                <w:bCs/>
                <w:color w:val="000000"/>
                <w:sz w:val="22"/>
                <w:szCs w:val="22"/>
              </w:rPr>
              <w:t>195 485</w:t>
            </w:r>
          </w:p>
        </w:tc>
        <w:tc>
          <w:tcPr>
            <w:tcW w:w="990" w:type="dxa"/>
            <w:tcBorders>
              <w:top w:val="single" w:sz="8" w:space="0" w:color="auto"/>
              <w:left w:val="nil"/>
              <w:bottom w:val="single" w:sz="8" w:space="0" w:color="auto"/>
              <w:right w:val="single" w:sz="8" w:space="0" w:color="auto"/>
            </w:tcBorders>
            <w:vAlign w:val="center"/>
          </w:tcPr>
          <w:p w14:paraId="5C442514" w14:textId="77777777" w:rsidR="00797AA9" w:rsidRPr="00BC523A" w:rsidRDefault="00797AA9" w:rsidP="008D15DB">
            <w:pPr>
              <w:jc w:val="right"/>
              <w:rPr>
                <w:b/>
                <w:bCs/>
                <w:color w:val="000000"/>
                <w:sz w:val="22"/>
                <w:szCs w:val="22"/>
                <w:lang w:eastAsia="cs-CZ"/>
              </w:rPr>
            </w:pPr>
            <w:r>
              <w:rPr>
                <w:rFonts w:ascii="Aptos" w:hAnsi="Aptos"/>
                <w:b/>
                <w:bCs/>
                <w:color w:val="000000"/>
                <w:sz w:val="22"/>
                <w:szCs w:val="22"/>
              </w:rPr>
              <w:t>17 361</w:t>
            </w:r>
          </w:p>
        </w:tc>
        <w:tc>
          <w:tcPr>
            <w:tcW w:w="1131" w:type="dxa"/>
            <w:tcBorders>
              <w:top w:val="single" w:sz="8" w:space="0" w:color="auto"/>
              <w:left w:val="nil"/>
              <w:bottom w:val="single" w:sz="8" w:space="0" w:color="auto"/>
              <w:right w:val="single" w:sz="8" w:space="0" w:color="auto"/>
            </w:tcBorders>
            <w:vAlign w:val="center"/>
          </w:tcPr>
          <w:p w14:paraId="3D4F5485" w14:textId="77777777" w:rsidR="00797AA9" w:rsidRPr="00BC523A" w:rsidRDefault="00797AA9" w:rsidP="008D15DB">
            <w:pPr>
              <w:jc w:val="right"/>
              <w:rPr>
                <w:b/>
                <w:bCs/>
                <w:color w:val="000000"/>
                <w:sz w:val="22"/>
                <w:szCs w:val="22"/>
                <w:lang w:eastAsia="cs-CZ"/>
              </w:rPr>
            </w:pPr>
            <w:r>
              <w:rPr>
                <w:rFonts w:ascii="Aptos" w:hAnsi="Aptos"/>
                <w:b/>
                <w:bCs/>
                <w:color w:val="000000"/>
                <w:sz w:val="22"/>
                <w:szCs w:val="22"/>
              </w:rPr>
              <w:t>357 576</w:t>
            </w:r>
          </w:p>
        </w:tc>
        <w:tc>
          <w:tcPr>
            <w:tcW w:w="1155" w:type="dxa"/>
            <w:tcBorders>
              <w:top w:val="single" w:sz="8" w:space="0" w:color="auto"/>
              <w:left w:val="nil"/>
              <w:bottom w:val="single" w:sz="8" w:space="0" w:color="auto"/>
              <w:right w:val="single" w:sz="8" w:space="0" w:color="auto"/>
            </w:tcBorders>
            <w:vAlign w:val="center"/>
          </w:tcPr>
          <w:p w14:paraId="276A4D82" w14:textId="77777777" w:rsidR="00797AA9" w:rsidRPr="00BC523A" w:rsidRDefault="00797AA9" w:rsidP="008D15DB">
            <w:pPr>
              <w:jc w:val="right"/>
              <w:rPr>
                <w:b/>
                <w:bCs/>
                <w:color w:val="000000"/>
                <w:sz w:val="22"/>
                <w:szCs w:val="22"/>
                <w:lang w:eastAsia="cs-CZ"/>
              </w:rPr>
            </w:pPr>
            <w:r>
              <w:rPr>
                <w:rFonts w:ascii="Aptos" w:hAnsi="Aptos"/>
                <w:b/>
                <w:bCs/>
                <w:color w:val="000000"/>
                <w:sz w:val="22"/>
                <w:szCs w:val="22"/>
              </w:rPr>
              <w:t>582 814</w:t>
            </w:r>
          </w:p>
        </w:tc>
      </w:tr>
    </w:tbl>
    <w:p w14:paraId="44CA35C7" w14:textId="77777777" w:rsidR="00173481" w:rsidRDefault="00173481" w:rsidP="00C700C1">
      <w:pPr>
        <w:pStyle w:val="RozpocetOdstavec"/>
      </w:pPr>
    </w:p>
    <w:p w14:paraId="1C7DF71A" w14:textId="77777777" w:rsidR="00173481" w:rsidRPr="00173481" w:rsidRDefault="00173481" w:rsidP="00173481">
      <w:pPr>
        <w:pStyle w:val="RozpocetNadpis1"/>
        <w:ind w:left="431" w:hanging="431"/>
      </w:pPr>
      <w:bookmarkStart w:id="120" w:name="_Toc228824386"/>
      <w:r w:rsidRPr="00173481">
        <w:lastRenderedPageBreak/>
        <w:t>Seznam zkratek</w:t>
      </w:r>
      <w:bookmarkEnd w:id="120"/>
    </w:p>
    <w:p w14:paraId="277D51D3" w14:textId="77777777" w:rsidR="00173481" w:rsidRPr="00173481" w:rsidRDefault="00173481" w:rsidP="00173481"/>
    <w:p w14:paraId="6601CEB2" w14:textId="77777777" w:rsidR="007414B7" w:rsidRDefault="007414B7" w:rsidP="007414B7">
      <w:pPr>
        <w:ind w:left="431"/>
      </w:pPr>
      <w:r>
        <w:t>AS UTB</w:t>
      </w:r>
      <w:r>
        <w:tab/>
      </w:r>
      <w:r>
        <w:tab/>
        <w:t>Akademický senát Univerzity Tomáše Bati ve Zlíně</w:t>
      </w:r>
    </w:p>
    <w:p w14:paraId="6E636AD0" w14:textId="77777777" w:rsidR="007414B7" w:rsidRDefault="007414B7" w:rsidP="007414B7">
      <w:pPr>
        <w:ind w:left="431"/>
      </w:pPr>
      <w:r>
        <w:t>CTT</w:t>
      </w:r>
      <w:r>
        <w:tab/>
      </w:r>
      <w:r>
        <w:tab/>
        <w:t>Centrum transferu technologií</w:t>
      </w:r>
    </w:p>
    <w:p w14:paraId="770599D5" w14:textId="77777777" w:rsidR="007414B7" w:rsidRDefault="007414B7" w:rsidP="007414B7">
      <w:pPr>
        <w:ind w:left="431"/>
      </w:pPr>
      <w:r>
        <w:t>DKRVO</w:t>
      </w:r>
      <w:r>
        <w:tab/>
      </w:r>
      <w:r>
        <w:tab/>
        <w:t>Dlouhodobý koncepční rozvoj výzkumné organizace</w:t>
      </w:r>
    </w:p>
    <w:p w14:paraId="2CEB6C5A" w14:textId="77777777" w:rsidR="007414B7" w:rsidRDefault="007414B7" w:rsidP="007414B7">
      <w:pPr>
        <w:ind w:left="431"/>
      </w:pPr>
      <w:r>
        <w:t>DPH</w:t>
      </w:r>
      <w:r>
        <w:tab/>
      </w:r>
      <w:r>
        <w:tab/>
        <w:t>Daň z přidané hodnoty</w:t>
      </w:r>
    </w:p>
    <w:p w14:paraId="5EA888CB" w14:textId="77777777" w:rsidR="007414B7" w:rsidRDefault="007414B7" w:rsidP="007414B7">
      <w:pPr>
        <w:ind w:left="431"/>
      </w:pPr>
      <w:r>
        <w:t>ERDF</w:t>
      </w:r>
      <w:r>
        <w:tab/>
      </w:r>
      <w:r>
        <w:tab/>
        <w:t>Evropský fond pro regionální rozvoj</w:t>
      </w:r>
    </w:p>
    <w:p w14:paraId="0294B442" w14:textId="4A8C9A65" w:rsidR="007414B7" w:rsidRDefault="007414B7" w:rsidP="007414B7">
      <w:pPr>
        <w:ind w:left="431"/>
      </w:pPr>
      <w:r>
        <w:t>EU</w:t>
      </w:r>
      <w:r>
        <w:tab/>
      </w:r>
      <w:r>
        <w:tab/>
        <w:t>Evropská unie</w:t>
      </w:r>
    </w:p>
    <w:p w14:paraId="1DD3F9A8" w14:textId="77777777" w:rsidR="007414B7" w:rsidRDefault="007414B7" w:rsidP="007414B7">
      <w:pPr>
        <w:ind w:left="431"/>
      </w:pPr>
      <w:r>
        <w:t>FAI</w:t>
      </w:r>
      <w:r>
        <w:tab/>
      </w:r>
      <w:r>
        <w:tab/>
        <w:t>Fakulta aplikované informatiky</w:t>
      </w:r>
    </w:p>
    <w:p w14:paraId="681D65EB" w14:textId="77777777" w:rsidR="007414B7" w:rsidRDefault="007414B7" w:rsidP="007414B7">
      <w:pPr>
        <w:ind w:left="431"/>
      </w:pPr>
      <w:r>
        <w:t>FaME</w:t>
      </w:r>
      <w:r>
        <w:tab/>
      </w:r>
      <w:r>
        <w:tab/>
        <w:t>Fakulta managementu a ekonomiky</w:t>
      </w:r>
    </w:p>
    <w:p w14:paraId="4ADBC894" w14:textId="77777777" w:rsidR="007414B7" w:rsidRDefault="007414B7" w:rsidP="007414B7">
      <w:pPr>
        <w:ind w:left="431"/>
      </w:pPr>
      <w:r>
        <w:t>FHS</w:t>
      </w:r>
      <w:r>
        <w:tab/>
      </w:r>
      <w:r>
        <w:tab/>
        <w:t>Fakulta humanitních studií</w:t>
      </w:r>
    </w:p>
    <w:p w14:paraId="6CAAB84B" w14:textId="77777777" w:rsidR="007414B7" w:rsidRDefault="007414B7" w:rsidP="007414B7">
      <w:pPr>
        <w:ind w:left="431"/>
      </w:pPr>
      <w:r>
        <w:t>FLKŘ</w:t>
      </w:r>
      <w:r>
        <w:tab/>
      </w:r>
      <w:r>
        <w:tab/>
        <w:t>Fakulta logistiky a krizového řízení</w:t>
      </w:r>
    </w:p>
    <w:p w14:paraId="6C6D0FFA" w14:textId="64874498" w:rsidR="007414B7" w:rsidRDefault="007414B7" w:rsidP="007414B7">
      <w:pPr>
        <w:ind w:left="431"/>
      </w:pPr>
      <w:r>
        <w:t>FMK</w:t>
      </w:r>
      <w:r>
        <w:tab/>
      </w:r>
      <w:r>
        <w:tab/>
        <w:t>Fakulta multimediáln</w:t>
      </w:r>
      <w:r w:rsidR="001C6E2A">
        <w:t>í</w:t>
      </w:r>
      <w:r>
        <w:t>ch komunikací</w:t>
      </w:r>
    </w:p>
    <w:p w14:paraId="2F0AD80B" w14:textId="77777777" w:rsidR="007414B7" w:rsidRDefault="007414B7" w:rsidP="007414B7">
      <w:pPr>
        <w:ind w:left="431"/>
      </w:pPr>
      <w:r>
        <w:t>FORD</w:t>
      </w:r>
      <w:r>
        <w:tab/>
      </w:r>
      <w:r>
        <w:tab/>
        <w:t>Fields od Research and Development</w:t>
      </w:r>
    </w:p>
    <w:p w14:paraId="4E0ED8F7" w14:textId="77777777" w:rsidR="007414B7" w:rsidRDefault="007414B7" w:rsidP="007414B7">
      <w:pPr>
        <w:ind w:left="431"/>
      </w:pPr>
      <w:r>
        <w:t>FRIM</w:t>
      </w:r>
      <w:r>
        <w:tab/>
      </w:r>
      <w:r>
        <w:tab/>
        <w:t>Fond rozvoje investičního majetku</w:t>
      </w:r>
    </w:p>
    <w:p w14:paraId="2AA653B3" w14:textId="0F0C0324" w:rsidR="007414B7" w:rsidRDefault="007414B7" w:rsidP="007414B7">
      <w:pPr>
        <w:ind w:left="431"/>
      </w:pPr>
      <w:r>
        <w:t>FT</w:t>
      </w:r>
      <w:r>
        <w:tab/>
      </w:r>
      <w:r>
        <w:tab/>
        <w:t>Fakulta technologická</w:t>
      </w:r>
    </w:p>
    <w:p w14:paraId="49E5B6F2" w14:textId="77777777" w:rsidR="007414B7" w:rsidRDefault="007414B7" w:rsidP="007414B7">
      <w:pPr>
        <w:ind w:left="431"/>
      </w:pPr>
      <w:r>
        <w:t>FUČ</w:t>
      </w:r>
      <w:r>
        <w:tab/>
      </w:r>
      <w:r>
        <w:tab/>
        <w:t>Fond umělecké činnosti</w:t>
      </w:r>
    </w:p>
    <w:p w14:paraId="0CA82F3E" w14:textId="77777777" w:rsidR="007414B7" w:rsidRDefault="007414B7" w:rsidP="007414B7">
      <w:pPr>
        <w:ind w:left="431"/>
      </w:pPr>
      <w:r>
        <w:t>KEN</w:t>
      </w:r>
      <w:r>
        <w:tab/>
      </w:r>
      <w:r>
        <w:tab/>
        <w:t>Koeficient ekonomické náročnosti</w:t>
      </w:r>
    </w:p>
    <w:p w14:paraId="2B292262" w14:textId="77777777" w:rsidR="007414B7" w:rsidRDefault="007414B7" w:rsidP="007414B7">
      <w:pPr>
        <w:ind w:left="431"/>
      </w:pPr>
      <w:r>
        <w:t>KMZ</w:t>
      </w:r>
      <w:r>
        <w:tab/>
      </w:r>
      <w:r>
        <w:tab/>
        <w:t>Koleje a menza</w:t>
      </w:r>
    </w:p>
    <w:p w14:paraId="6418E0AB" w14:textId="45CAECE8" w:rsidR="007414B7" w:rsidRDefault="007414B7" w:rsidP="007414B7">
      <w:pPr>
        <w:ind w:left="431"/>
      </w:pPr>
      <w:r>
        <w:t>Metodika 17+</w:t>
      </w:r>
      <w:r>
        <w:tab/>
        <w:t>Metodika hodnocení výzkumných organizací</w:t>
      </w:r>
    </w:p>
    <w:p w14:paraId="296FDC82" w14:textId="77777777" w:rsidR="007414B7" w:rsidRDefault="007414B7" w:rsidP="007414B7">
      <w:pPr>
        <w:ind w:left="431"/>
      </w:pPr>
      <w:r>
        <w:t>MŠMT</w:t>
      </w:r>
      <w:r>
        <w:tab/>
      </w:r>
      <w:r>
        <w:tab/>
        <w:t>Ministerstvo školství, mládeže a tělovýchovy</w:t>
      </w:r>
    </w:p>
    <w:p w14:paraId="436B3FA4" w14:textId="0947402B" w:rsidR="007414B7" w:rsidRDefault="007414B7" w:rsidP="007414B7">
      <w:pPr>
        <w:ind w:left="431"/>
      </w:pPr>
      <w:r>
        <w:t>OBD</w:t>
      </w:r>
      <w:r>
        <w:tab/>
      </w:r>
      <w:r>
        <w:tab/>
        <w:t xml:space="preserve">Osobní </w:t>
      </w:r>
      <w:r w:rsidR="000537BD">
        <w:t>b</w:t>
      </w:r>
      <w:r>
        <w:t xml:space="preserve">ibliografická </w:t>
      </w:r>
      <w:r w:rsidR="000537BD">
        <w:t>d</w:t>
      </w:r>
      <w:r>
        <w:t>atabáze</w:t>
      </w:r>
    </w:p>
    <w:p w14:paraId="04755D4F" w14:textId="0F42E88C" w:rsidR="007414B7" w:rsidRDefault="007414B7" w:rsidP="007414B7">
      <w:pPr>
        <w:ind w:left="431"/>
      </w:pPr>
      <w:r>
        <w:t>OP JAK</w:t>
      </w:r>
      <w:r>
        <w:tab/>
      </w:r>
      <w:r>
        <w:tab/>
        <w:t>Operační program Jan Amos Komenský</w:t>
      </w:r>
    </w:p>
    <w:p w14:paraId="2589544D" w14:textId="77777777" w:rsidR="007414B7" w:rsidRDefault="007414B7" w:rsidP="007414B7">
      <w:pPr>
        <w:ind w:left="431"/>
      </w:pPr>
      <w:r>
        <w:t>OP VVV</w:t>
      </w:r>
      <w:r>
        <w:tab/>
      </w:r>
      <w:r>
        <w:tab/>
        <w:t>Operační program Výzkum, vývoj a vzdělávání</w:t>
      </w:r>
    </w:p>
    <w:p w14:paraId="2073D515" w14:textId="77777777" w:rsidR="007414B7" w:rsidRDefault="007414B7" w:rsidP="007414B7">
      <w:pPr>
        <w:ind w:left="431"/>
      </w:pPr>
      <w:r>
        <w:t>RUV</w:t>
      </w:r>
      <w:r>
        <w:tab/>
      </w:r>
      <w:r>
        <w:tab/>
        <w:t>Registr uměleckých výstupů</w:t>
      </w:r>
    </w:p>
    <w:p w14:paraId="16C24892" w14:textId="77777777" w:rsidR="007414B7" w:rsidRDefault="007414B7" w:rsidP="007414B7">
      <w:pPr>
        <w:ind w:left="431"/>
      </w:pPr>
      <w:r>
        <w:t>SIMS</w:t>
      </w:r>
      <w:r>
        <w:tab/>
      </w:r>
      <w:r>
        <w:tab/>
        <w:t>Sdružené informace matrik studentů</w:t>
      </w:r>
    </w:p>
    <w:p w14:paraId="4872F86E" w14:textId="3E33554E" w:rsidR="007414B7" w:rsidRDefault="007414B7" w:rsidP="007414B7">
      <w:pPr>
        <w:ind w:left="431"/>
      </w:pPr>
      <w:r>
        <w:t>SP</w:t>
      </w:r>
      <w:r>
        <w:tab/>
      </w:r>
      <w:r>
        <w:tab/>
      </w:r>
      <w:r>
        <w:tab/>
        <w:t>Studijní program</w:t>
      </w:r>
    </w:p>
    <w:p w14:paraId="3666B685" w14:textId="77777777" w:rsidR="007414B7" w:rsidRDefault="007414B7" w:rsidP="007414B7">
      <w:pPr>
        <w:ind w:left="431"/>
      </w:pPr>
      <w:r>
        <w:t>STEM</w:t>
      </w:r>
      <w:r>
        <w:tab/>
      </w:r>
      <w:r>
        <w:tab/>
        <w:t>Science Technology Engineering Matematics</w:t>
      </w:r>
    </w:p>
    <w:p w14:paraId="1D74EFF9" w14:textId="77777777" w:rsidR="007414B7" w:rsidRDefault="007414B7" w:rsidP="007414B7">
      <w:pPr>
        <w:ind w:left="431"/>
      </w:pPr>
      <w:r>
        <w:t>SVV</w:t>
      </w:r>
      <w:r>
        <w:tab/>
      </w:r>
      <w:r>
        <w:tab/>
        <w:t>Specifický vysokoškolský výzkum</w:t>
      </w:r>
    </w:p>
    <w:p w14:paraId="2A26ED43" w14:textId="77777777" w:rsidR="007414B7" w:rsidRDefault="007414B7" w:rsidP="007414B7">
      <w:pPr>
        <w:ind w:left="431"/>
      </w:pPr>
      <w:r>
        <w:t>SZNN</w:t>
      </w:r>
      <w:r>
        <w:tab/>
      </w:r>
      <w:r>
        <w:tab/>
        <w:t>Stroje a zařízení nezařazené do nákladů</w:t>
      </w:r>
    </w:p>
    <w:p w14:paraId="3268F9F5" w14:textId="77777777" w:rsidR="007414B7" w:rsidRDefault="007414B7" w:rsidP="007414B7">
      <w:pPr>
        <w:ind w:left="431"/>
      </w:pPr>
      <w:r>
        <w:t>UMŠ</w:t>
      </w:r>
      <w:r>
        <w:tab/>
      </w:r>
      <w:r>
        <w:tab/>
        <w:t>Univerzitní mateřská škola Qočna</w:t>
      </w:r>
    </w:p>
    <w:p w14:paraId="004A04F3" w14:textId="77777777" w:rsidR="007414B7" w:rsidRDefault="007414B7" w:rsidP="007414B7">
      <w:pPr>
        <w:ind w:left="431"/>
      </w:pPr>
      <w:r>
        <w:t>UNI</w:t>
      </w:r>
      <w:r>
        <w:tab/>
      </w:r>
      <w:r>
        <w:tab/>
        <w:t>Univerzitní institut</w:t>
      </w:r>
    </w:p>
    <w:p w14:paraId="32AC82B2" w14:textId="77777777" w:rsidR="007414B7" w:rsidRDefault="007414B7" w:rsidP="007414B7">
      <w:pPr>
        <w:ind w:left="431"/>
      </w:pPr>
      <w:r>
        <w:t>UTB</w:t>
      </w:r>
      <w:r>
        <w:tab/>
      </w:r>
      <w:r>
        <w:tab/>
        <w:t>Univerzita Tomáše Bati ve Zlíně</w:t>
      </w:r>
    </w:p>
    <w:p w14:paraId="1F1EA4C9" w14:textId="77777777" w:rsidR="007414B7" w:rsidRDefault="007414B7" w:rsidP="007414B7">
      <w:pPr>
        <w:ind w:left="431"/>
      </w:pPr>
      <w:r>
        <w:t>ÚTV</w:t>
      </w:r>
      <w:r>
        <w:tab/>
      </w:r>
      <w:r>
        <w:tab/>
        <w:t>Ústav tělesné výchovy</w:t>
      </w:r>
    </w:p>
    <w:p w14:paraId="75A464C5" w14:textId="756C7A61" w:rsidR="007414B7" w:rsidRDefault="007414B7" w:rsidP="007414B7">
      <w:pPr>
        <w:ind w:left="431"/>
      </w:pPr>
      <w:r>
        <w:t>VaV</w:t>
      </w:r>
      <w:r>
        <w:tab/>
      </w:r>
      <w:r>
        <w:tab/>
        <w:t xml:space="preserve">Věda a </w:t>
      </w:r>
      <w:r w:rsidR="000537BD">
        <w:t>v</w:t>
      </w:r>
      <w:r>
        <w:t>ýzkum</w:t>
      </w:r>
    </w:p>
    <w:p w14:paraId="3EBACAC9" w14:textId="77777777" w:rsidR="007414B7" w:rsidRDefault="007414B7" w:rsidP="007414B7">
      <w:pPr>
        <w:ind w:left="431"/>
      </w:pPr>
      <w:r>
        <w:t>VVŠ</w:t>
      </w:r>
      <w:r>
        <w:tab/>
      </w:r>
      <w:r>
        <w:tab/>
        <w:t>Veřejná vysoká škola</w:t>
      </w:r>
    </w:p>
    <w:p w14:paraId="7A993751" w14:textId="77777777" w:rsidR="007414B7" w:rsidRDefault="007414B7" w:rsidP="007414B7">
      <w:pPr>
        <w:ind w:left="431"/>
      </w:pPr>
      <w:r>
        <w:t xml:space="preserve">WoS </w:t>
      </w:r>
      <w:r>
        <w:tab/>
      </w:r>
      <w:r>
        <w:tab/>
        <w:t>Web of Science</w:t>
      </w:r>
    </w:p>
    <w:p w14:paraId="37170A5C" w14:textId="77777777" w:rsidR="007414B7" w:rsidRDefault="007414B7" w:rsidP="007414B7">
      <w:pPr>
        <w:ind w:left="431"/>
      </w:pPr>
    </w:p>
    <w:p w14:paraId="5924EF9F" w14:textId="77777777" w:rsidR="00661104" w:rsidRPr="00173481" w:rsidRDefault="00661104" w:rsidP="00173481">
      <w:pPr>
        <w:ind w:left="431"/>
      </w:pPr>
    </w:p>
    <w:p w14:paraId="0DF74DCA" w14:textId="77777777" w:rsidR="00173481" w:rsidRPr="007260FA" w:rsidRDefault="00173481" w:rsidP="00C700C1">
      <w:pPr>
        <w:pStyle w:val="RozpocetOdstavec"/>
      </w:pPr>
    </w:p>
    <w:sectPr w:rsidR="00173481" w:rsidRPr="007260FA" w:rsidSect="00B47DB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28D3" w14:textId="77777777" w:rsidR="00191894" w:rsidRDefault="00191894" w:rsidP="009F7EAF">
      <w:r>
        <w:separator/>
      </w:r>
    </w:p>
  </w:endnote>
  <w:endnote w:type="continuationSeparator" w:id="0">
    <w:p w14:paraId="790D054A" w14:textId="77777777" w:rsidR="00191894" w:rsidRDefault="00191894" w:rsidP="009F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719041530"/>
      <w:docPartObj>
        <w:docPartGallery w:val="Page Numbers (Bottom of Page)"/>
        <w:docPartUnique/>
      </w:docPartObj>
    </w:sdtPr>
    <w:sdtContent>
      <w:p w14:paraId="7B1602BE" w14:textId="77777777" w:rsidR="007671FA" w:rsidRDefault="007671FA" w:rsidP="0034160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6743F11" w14:textId="77777777" w:rsidR="007671FA" w:rsidRDefault="007671FA" w:rsidP="00EA007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203" w14:textId="6B9D20BD" w:rsidR="007671FA" w:rsidRPr="008D6DF9" w:rsidRDefault="007671FA" w:rsidP="00EA007B">
    <w:pPr>
      <w:pStyle w:val="Zpat"/>
      <w:ind w:right="360"/>
      <w:rPr>
        <w:i/>
        <w:sz w:val="22"/>
      </w:rPr>
    </w:pPr>
    <w:r w:rsidRPr="008D6DF9">
      <w:rPr>
        <w:i/>
        <w:sz w:val="22"/>
      </w:rPr>
      <w:fldChar w:fldCharType="begin"/>
    </w:r>
    <w:r w:rsidRPr="008D6DF9">
      <w:rPr>
        <w:i/>
        <w:sz w:val="22"/>
      </w:rPr>
      <w:instrText xml:space="preserve"> TIME \@ "dd.MM.yyyy" </w:instrText>
    </w:r>
    <w:r w:rsidRPr="008D6DF9">
      <w:rPr>
        <w:i/>
        <w:sz w:val="22"/>
      </w:rPr>
      <w:fldChar w:fldCharType="separate"/>
    </w:r>
    <w:r w:rsidR="00403494">
      <w:rPr>
        <w:i/>
        <w:noProof/>
        <w:sz w:val="22"/>
      </w:rPr>
      <w:t>04.05.2026</w:t>
    </w:r>
    <w:r w:rsidRPr="008D6DF9">
      <w:rPr>
        <w:i/>
        <w:sz w:val="22"/>
      </w:rPr>
      <w:fldChar w:fldCharType="end"/>
    </w:r>
    <w:r w:rsidRPr="008D6DF9">
      <w:rPr>
        <w:i/>
        <w:sz w:val="22"/>
      </w:rPr>
      <w:tab/>
    </w:r>
    <w:r w:rsidRPr="008D6DF9">
      <w:rPr>
        <w:i/>
        <w:sz w:val="22"/>
      </w:rPr>
      <w:tab/>
    </w:r>
    <w:r w:rsidRPr="008D6DF9">
      <w:rPr>
        <w:i/>
        <w:sz w:val="22"/>
      </w:rPr>
      <w:fldChar w:fldCharType="begin"/>
    </w:r>
    <w:r w:rsidRPr="008D6DF9">
      <w:rPr>
        <w:i/>
        <w:sz w:val="22"/>
      </w:rPr>
      <w:instrText xml:space="preserve"> PAGE  \* Arabic  \* MERGEFORMAT </w:instrText>
    </w:r>
    <w:r w:rsidRPr="008D6DF9">
      <w:rPr>
        <w:i/>
        <w:sz w:val="22"/>
      </w:rPr>
      <w:fldChar w:fldCharType="separate"/>
    </w:r>
    <w:r w:rsidRPr="008D6DF9">
      <w:rPr>
        <w:i/>
        <w:noProof/>
        <w:sz w:val="22"/>
      </w:rPr>
      <w:t>5</w:t>
    </w:r>
    <w:r w:rsidRPr="008D6DF9">
      <w:rPr>
        <w:i/>
        <w:sz w:val="22"/>
      </w:rPr>
      <w:fldChar w:fldCharType="end"/>
    </w:r>
    <w:r w:rsidRPr="008D6DF9">
      <w:rPr>
        <w:i/>
        <w:sz w:val="22"/>
      </w:rPr>
      <w:t>/</w:t>
    </w:r>
    <w:r w:rsidRPr="008D6DF9">
      <w:rPr>
        <w:i/>
        <w:sz w:val="22"/>
      </w:rPr>
      <w:fldChar w:fldCharType="begin"/>
    </w:r>
    <w:r w:rsidRPr="008D6DF9">
      <w:rPr>
        <w:i/>
        <w:sz w:val="22"/>
      </w:rPr>
      <w:instrText xml:space="preserve"> NUMPAGES  \* Arabic  \* MERGEFORMAT </w:instrText>
    </w:r>
    <w:r w:rsidRPr="008D6DF9">
      <w:rPr>
        <w:i/>
        <w:sz w:val="22"/>
      </w:rPr>
      <w:fldChar w:fldCharType="separate"/>
    </w:r>
    <w:r w:rsidRPr="008D6DF9">
      <w:rPr>
        <w:i/>
        <w:noProof/>
        <w:sz w:val="22"/>
      </w:rPr>
      <w:t>32</w:t>
    </w:r>
    <w:r w:rsidRPr="008D6DF9">
      <w:rPr>
        <w: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B38E" w14:textId="21C9DB55" w:rsidR="007671FA" w:rsidRPr="008D6DF9" w:rsidRDefault="007671FA" w:rsidP="00A451F7">
    <w:pPr>
      <w:pStyle w:val="Zpat"/>
      <w:tabs>
        <w:tab w:val="clear" w:pos="9072"/>
        <w:tab w:val="right" w:pos="14004"/>
      </w:tabs>
      <w:rPr>
        <w:i/>
        <w:sz w:val="22"/>
      </w:rPr>
    </w:pPr>
    <w:r w:rsidRPr="008D6DF9">
      <w:rPr>
        <w:i/>
        <w:sz w:val="22"/>
      </w:rPr>
      <w:fldChar w:fldCharType="begin"/>
    </w:r>
    <w:r w:rsidRPr="008D6DF9">
      <w:rPr>
        <w:i/>
        <w:sz w:val="22"/>
      </w:rPr>
      <w:instrText xml:space="preserve"> TIME \@ "dd.MM.yyyy" </w:instrText>
    </w:r>
    <w:r w:rsidRPr="008D6DF9">
      <w:rPr>
        <w:i/>
        <w:sz w:val="22"/>
      </w:rPr>
      <w:fldChar w:fldCharType="separate"/>
    </w:r>
    <w:r w:rsidR="00403494">
      <w:rPr>
        <w:i/>
        <w:noProof/>
        <w:sz w:val="22"/>
      </w:rPr>
      <w:t>04.05.2026</w:t>
    </w:r>
    <w:r w:rsidRPr="008D6DF9">
      <w:rPr>
        <w:i/>
        <w:sz w:val="22"/>
      </w:rPr>
      <w:fldChar w:fldCharType="end"/>
    </w:r>
    <w:r w:rsidRPr="008D6DF9">
      <w:rPr>
        <w:i/>
        <w:sz w:val="22"/>
      </w:rPr>
      <w:tab/>
    </w:r>
    <w:r w:rsidRPr="008D6DF9">
      <w:rPr>
        <w:i/>
        <w:sz w:val="22"/>
      </w:rPr>
      <w:tab/>
    </w:r>
    <w:r w:rsidRPr="008D6DF9">
      <w:rPr>
        <w:i/>
        <w:sz w:val="22"/>
      </w:rPr>
      <w:fldChar w:fldCharType="begin"/>
    </w:r>
    <w:r w:rsidRPr="008D6DF9">
      <w:rPr>
        <w:i/>
        <w:sz w:val="22"/>
      </w:rPr>
      <w:instrText xml:space="preserve"> PAGE  \* Arabic  \* MERGEFORMAT </w:instrText>
    </w:r>
    <w:r w:rsidRPr="008D6DF9">
      <w:rPr>
        <w:i/>
        <w:sz w:val="22"/>
      </w:rPr>
      <w:fldChar w:fldCharType="separate"/>
    </w:r>
    <w:r w:rsidRPr="008D6DF9">
      <w:rPr>
        <w:i/>
        <w:sz w:val="22"/>
      </w:rPr>
      <w:t>19</w:t>
    </w:r>
    <w:r w:rsidRPr="008D6DF9">
      <w:rPr>
        <w:i/>
        <w:sz w:val="22"/>
      </w:rPr>
      <w:fldChar w:fldCharType="end"/>
    </w:r>
    <w:r w:rsidRPr="008D6DF9">
      <w:rPr>
        <w:i/>
        <w:sz w:val="22"/>
      </w:rPr>
      <w:t>/</w:t>
    </w:r>
    <w:r w:rsidRPr="008D6DF9">
      <w:rPr>
        <w:i/>
        <w:sz w:val="22"/>
      </w:rPr>
      <w:fldChar w:fldCharType="begin"/>
    </w:r>
    <w:r w:rsidRPr="008D6DF9">
      <w:rPr>
        <w:i/>
        <w:sz w:val="22"/>
      </w:rPr>
      <w:instrText xml:space="preserve"> NUMPAGES  \* Arabic  \* MERGEFORMAT </w:instrText>
    </w:r>
    <w:r w:rsidRPr="008D6DF9">
      <w:rPr>
        <w:i/>
        <w:sz w:val="22"/>
      </w:rPr>
      <w:fldChar w:fldCharType="separate"/>
    </w:r>
    <w:r w:rsidRPr="008D6DF9">
      <w:rPr>
        <w:i/>
        <w:sz w:val="22"/>
      </w:rPr>
      <w:t>32</w:t>
    </w:r>
    <w:r w:rsidRPr="008D6DF9">
      <w:rPr>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AE14" w14:textId="77777777" w:rsidR="00191894" w:rsidRDefault="00191894" w:rsidP="009F7EAF">
      <w:r>
        <w:separator/>
      </w:r>
    </w:p>
  </w:footnote>
  <w:footnote w:type="continuationSeparator" w:id="0">
    <w:p w14:paraId="61961EB4" w14:textId="77777777" w:rsidR="00191894" w:rsidRDefault="00191894" w:rsidP="009F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DF38" w14:textId="0228328F" w:rsidR="00E643D9" w:rsidRDefault="007671FA" w:rsidP="00EA007B">
    <w:pPr>
      <w:pStyle w:val="Zhlav"/>
      <w:rPr>
        <w:i/>
        <w:sz w:val="22"/>
      </w:rPr>
    </w:pPr>
    <w:r w:rsidRPr="008D6DF9">
      <w:rPr>
        <w:i/>
        <w:sz w:val="22"/>
      </w:rPr>
      <w:t>Rozpis rozpočtu UTB pro rok 202</w:t>
    </w:r>
    <w:r w:rsidR="00E643D9">
      <w:rPr>
        <w:i/>
        <w:sz w:val="22"/>
      </w:rPr>
      <w:t>6</w:t>
    </w:r>
  </w:p>
  <w:p w14:paraId="17F83FF7" w14:textId="77777777" w:rsidR="007671FA" w:rsidRPr="008D6DF9" w:rsidRDefault="007671FA" w:rsidP="00EA007B">
    <w:pPr>
      <w:pStyle w:val="Zhlav"/>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298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34C70"/>
    <w:multiLevelType w:val="hybridMultilevel"/>
    <w:tmpl w:val="69521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A33AB"/>
    <w:multiLevelType w:val="hybridMultilevel"/>
    <w:tmpl w:val="B0FC3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36D3F"/>
    <w:multiLevelType w:val="hybridMultilevel"/>
    <w:tmpl w:val="0CAC7D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AF164A5"/>
    <w:multiLevelType w:val="hybridMultilevel"/>
    <w:tmpl w:val="D166D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5659EB"/>
    <w:multiLevelType w:val="hybridMultilevel"/>
    <w:tmpl w:val="9E56B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9539E9"/>
    <w:multiLevelType w:val="hybridMultilevel"/>
    <w:tmpl w:val="ACAE2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20B54"/>
    <w:multiLevelType w:val="hybridMultilevel"/>
    <w:tmpl w:val="71AC6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E5A6A"/>
    <w:multiLevelType w:val="hybridMultilevel"/>
    <w:tmpl w:val="C6B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E6242C"/>
    <w:multiLevelType w:val="hybridMultilevel"/>
    <w:tmpl w:val="20780E0A"/>
    <w:lvl w:ilvl="0" w:tplc="96E8D0C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8D2398"/>
    <w:multiLevelType w:val="hybridMultilevel"/>
    <w:tmpl w:val="4F922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B16D6F"/>
    <w:multiLevelType w:val="multilevel"/>
    <w:tmpl w:val="F6024B40"/>
    <w:lvl w:ilvl="0">
      <w:start w:val="1"/>
      <w:numFmt w:val="decimal"/>
      <w:pStyle w:val="Seznam1"/>
      <w:lvlText w:val="(%1)"/>
      <w:lvlJc w:val="left"/>
      <w:pPr>
        <w:tabs>
          <w:tab w:val="num" w:pos="442"/>
        </w:tabs>
        <w:ind w:left="442" w:hanging="442"/>
      </w:pPr>
      <w:rPr>
        <w:rFonts w:hint="default"/>
        <w:b w:val="0"/>
        <w:i w:val="0"/>
      </w:rPr>
    </w:lvl>
    <w:lvl w:ilvl="1">
      <w:start w:val="1"/>
      <w:numFmt w:val="lowerLetter"/>
      <w:lvlText w:val="%2)"/>
      <w:lvlJc w:val="left"/>
      <w:pPr>
        <w:tabs>
          <w:tab w:val="num" w:pos="786"/>
        </w:tabs>
        <w:ind w:left="778" w:hanging="352"/>
      </w:pPr>
      <w:rPr>
        <w:rFonts w:hint="default"/>
        <w:sz w:val="24"/>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5747"/>
        </w:tabs>
        <w:ind w:left="5747" w:hanging="360"/>
      </w:pPr>
      <w:rPr>
        <w:rFonts w:hint="default"/>
      </w:rPr>
    </w:lvl>
  </w:abstractNum>
  <w:abstractNum w:abstractNumId="12" w15:restartNumberingAfterBreak="0">
    <w:nsid w:val="272C7618"/>
    <w:multiLevelType w:val="hybridMultilevel"/>
    <w:tmpl w:val="A3C40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EC3597"/>
    <w:multiLevelType w:val="hybridMultilevel"/>
    <w:tmpl w:val="2CBA2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EA5DBE"/>
    <w:multiLevelType w:val="hybridMultilevel"/>
    <w:tmpl w:val="F5625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8A3F8D"/>
    <w:multiLevelType w:val="hybridMultilevel"/>
    <w:tmpl w:val="6EE6C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419B1"/>
    <w:multiLevelType w:val="multilevel"/>
    <w:tmpl w:val="A65ECFC0"/>
    <w:lvl w:ilvl="0">
      <w:start w:val="1"/>
      <w:numFmt w:val="decimal"/>
      <w:pStyle w:val="Nadpis1"/>
      <w:lvlText w:val="%1"/>
      <w:lvlJc w:val="left"/>
      <w:pPr>
        <w:ind w:left="432" w:hanging="432"/>
      </w:pPr>
    </w:lvl>
    <w:lvl w:ilvl="1">
      <w:start w:val="1"/>
      <w:numFmt w:val="decimal"/>
      <w:pStyle w:val="Nadpis2"/>
      <w:lvlText w:val="%1.%2"/>
      <w:lvlJc w:val="left"/>
      <w:pPr>
        <w:ind w:left="142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33417A4C"/>
    <w:multiLevelType w:val="hybridMultilevel"/>
    <w:tmpl w:val="15522D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C81E17"/>
    <w:multiLevelType w:val="hybridMultilevel"/>
    <w:tmpl w:val="77742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962E4"/>
    <w:multiLevelType w:val="hybridMultilevel"/>
    <w:tmpl w:val="420AE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F4650C"/>
    <w:multiLevelType w:val="hybridMultilevel"/>
    <w:tmpl w:val="8C309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FE14C2"/>
    <w:multiLevelType w:val="hybridMultilevel"/>
    <w:tmpl w:val="FB26A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870661"/>
    <w:multiLevelType w:val="hybridMultilevel"/>
    <w:tmpl w:val="F1B8B6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5E95048"/>
    <w:multiLevelType w:val="hybridMultilevel"/>
    <w:tmpl w:val="3984EF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FC75C8"/>
    <w:multiLevelType w:val="hybridMultilevel"/>
    <w:tmpl w:val="AA7E3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8451C8"/>
    <w:multiLevelType w:val="hybridMultilevel"/>
    <w:tmpl w:val="640A5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0A0D12"/>
    <w:multiLevelType w:val="hybridMultilevel"/>
    <w:tmpl w:val="2318C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2B34C9"/>
    <w:multiLevelType w:val="hybridMultilevel"/>
    <w:tmpl w:val="A8205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7E2814"/>
    <w:multiLevelType w:val="hybridMultilevel"/>
    <w:tmpl w:val="A56A6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2344EE"/>
    <w:multiLevelType w:val="hybridMultilevel"/>
    <w:tmpl w:val="3A843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887A7F"/>
    <w:multiLevelType w:val="hybridMultilevel"/>
    <w:tmpl w:val="6B505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F7B8F"/>
    <w:multiLevelType w:val="hybridMultilevel"/>
    <w:tmpl w:val="C3AC2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DD2248"/>
    <w:multiLevelType w:val="hybridMultilevel"/>
    <w:tmpl w:val="A2E22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4463E1"/>
    <w:multiLevelType w:val="hybridMultilevel"/>
    <w:tmpl w:val="F5184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6E4F5F"/>
    <w:multiLevelType w:val="hybridMultilevel"/>
    <w:tmpl w:val="D4822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E4742A"/>
    <w:multiLevelType w:val="hybridMultilevel"/>
    <w:tmpl w:val="7A3A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341517"/>
    <w:multiLevelType w:val="hybridMultilevel"/>
    <w:tmpl w:val="8B967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BC45AC"/>
    <w:multiLevelType w:val="hybridMultilevel"/>
    <w:tmpl w:val="40C63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A81D59"/>
    <w:multiLevelType w:val="hybridMultilevel"/>
    <w:tmpl w:val="2AFE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C10C3C"/>
    <w:multiLevelType w:val="hybridMultilevel"/>
    <w:tmpl w:val="481EFB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8C87333"/>
    <w:multiLevelType w:val="hybridMultilevel"/>
    <w:tmpl w:val="4AB8D3CC"/>
    <w:lvl w:ilvl="0" w:tplc="04050017">
      <w:start w:val="1"/>
      <w:numFmt w:val="lowerLetter"/>
      <w:lvlText w:val="%1)"/>
      <w:lvlJc w:val="left"/>
      <w:pPr>
        <w:ind w:left="927" w:hanging="360"/>
      </w:pPr>
      <w:rPr>
        <w:rFonts w:hint="default"/>
      </w:rPr>
    </w:lvl>
    <w:lvl w:ilvl="1" w:tplc="7C006A8E">
      <w:start w:val="1"/>
      <w:numFmt w:val="bullet"/>
      <w:lvlText w:val="-"/>
      <w:lvlJc w:val="left"/>
      <w:pPr>
        <w:ind w:left="1647" w:hanging="360"/>
      </w:pPr>
      <w:rPr>
        <w:rFonts w:ascii="Times New Roman" w:eastAsia="Times New Roman" w:hAnsi="Times New Roman" w:cs="Times New Roman"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79A15F3E"/>
    <w:multiLevelType w:val="hybridMultilevel"/>
    <w:tmpl w:val="385A5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DF86237"/>
    <w:multiLevelType w:val="hybridMultilevel"/>
    <w:tmpl w:val="57386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1662846">
    <w:abstractNumId w:val="16"/>
  </w:num>
  <w:num w:numId="2" w16cid:durableId="440417255">
    <w:abstractNumId w:val="29"/>
  </w:num>
  <w:num w:numId="3" w16cid:durableId="780804273">
    <w:abstractNumId w:val="30"/>
  </w:num>
  <w:num w:numId="4" w16cid:durableId="633481961">
    <w:abstractNumId w:val="10"/>
  </w:num>
  <w:num w:numId="5" w16cid:durableId="823476895">
    <w:abstractNumId w:val="20"/>
  </w:num>
  <w:num w:numId="6" w16cid:durableId="1632244535">
    <w:abstractNumId w:val="15"/>
  </w:num>
  <w:num w:numId="7" w16cid:durableId="773597265">
    <w:abstractNumId w:val="41"/>
  </w:num>
  <w:num w:numId="8" w16cid:durableId="252934744">
    <w:abstractNumId w:val="32"/>
  </w:num>
  <w:num w:numId="9" w16cid:durableId="1552112298">
    <w:abstractNumId w:val="27"/>
  </w:num>
  <w:num w:numId="10" w16cid:durableId="1370882939">
    <w:abstractNumId w:val="4"/>
  </w:num>
  <w:num w:numId="11" w16cid:durableId="1695113445">
    <w:abstractNumId w:val="1"/>
  </w:num>
  <w:num w:numId="12" w16cid:durableId="740568565">
    <w:abstractNumId w:val="7"/>
  </w:num>
  <w:num w:numId="13" w16cid:durableId="1298757155">
    <w:abstractNumId w:val="39"/>
  </w:num>
  <w:num w:numId="14" w16cid:durableId="2023971978">
    <w:abstractNumId w:val="3"/>
  </w:num>
  <w:num w:numId="15" w16cid:durableId="12458550">
    <w:abstractNumId w:val="16"/>
  </w:num>
  <w:num w:numId="16" w16cid:durableId="204147107">
    <w:abstractNumId w:val="16"/>
  </w:num>
  <w:num w:numId="17" w16cid:durableId="1531410773">
    <w:abstractNumId w:val="36"/>
  </w:num>
  <w:num w:numId="18" w16cid:durableId="1038317303">
    <w:abstractNumId w:val="37"/>
  </w:num>
  <w:num w:numId="19" w16cid:durableId="114713476">
    <w:abstractNumId w:val="23"/>
  </w:num>
  <w:num w:numId="20" w16cid:durableId="408575647">
    <w:abstractNumId w:val="38"/>
  </w:num>
  <w:num w:numId="21" w16cid:durableId="1071390784">
    <w:abstractNumId w:val="0"/>
  </w:num>
  <w:num w:numId="22" w16cid:durableId="1555458724">
    <w:abstractNumId w:val="28"/>
  </w:num>
  <w:num w:numId="23" w16cid:durableId="1041445025">
    <w:abstractNumId w:val="42"/>
  </w:num>
  <w:num w:numId="24" w16cid:durableId="1310672853">
    <w:abstractNumId w:val="12"/>
  </w:num>
  <w:num w:numId="25" w16cid:durableId="1822497446">
    <w:abstractNumId w:val="24"/>
  </w:num>
  <w:num w:numId="26" w16cid:durableId="578712548">
    <w:abstractNumId w:val="33"/>
  </w:num>
  <w:num w:numId="27" w16cid:durableId="1126705738">
    <w:abstractNumId w:val="6"/>
  </w:num>
  <w:num w:numId="28" w16cid:durableId="32778991">
    <w:abstractNumId w:val="18"/>
  </w:num>
  <w:num w:numId="29" w16cid:durableId="61485068">
    <w:abstractNumId w:val="2"/>
  </w:num>
  <w:num w:numId="30" w16cid:durableId="832375351">
    <w:abstractNumId w:val="13"/>
  </w:num>
  <w:num w:numId="31" w16cid:durableId="896018384">
    <w:abstractNumId w:val="5"/>
  </w:num>
  <w:num w:numId="32" w16cid:durableId="37435448">
    <w:abstractNumId w:val="8"/>
  </w:num>
  <w:num w:numId="33" w16cid:durableId="1825706754">
    <w:abstractNumId w:val="34"/>
  </w:num>
  <w:num w:numId="34" w16cid:durableId="1860580618">
    <w:abstractNumId w:val="21"/>
  </w:num>
  <w:num w:numId="35" w16cid:durableId="868374482">
    <w:abstractNumId w:val="26"/>
  </w:num>
  <w:num w:numId="36" w16cid:durableId="1909920954">
    <w:abstractNumId w:val="19"/>
  </w:num>
  <w:num w:numId="37" w16cid:durableId="2028410256">
    <w:abstractNumId w:val="35"/>
  </w:num>
  <w:num w:numId="38" w16cid:durableId="1004825347">
    <w:abstractNumId w:val="17"/>
  </w:num>
  <w:num w:numId="39" w16cid:durableId="1430732564">
    <w:abstractNumId w:val="9"/>
  </w:num>
  <w:num w:numId="40" w16cid:durableId="2107076579">
    <w:abstractNumId w:val="31"/>
  </w:num>
  <w:num w:numId="41" w16cid:durableId="1548568997">
    <w:abstractNumId w:val="14"/>
  </w:num>
  <w:num w:numId="42" w16cid:durableId="1907261072">
    <w:abstractNumId w:val="25"/>
  </w:num>
  <w:num w:numId="43" w16cid:durableId="2001738602">
    <w:abstractNumId w:val="22"/>
  </w:num>
  <w:num w:numId="44" w16cid:durableId="1073815845">
    <w:abstractNumId w:val="40"/>
  </w:num>
  <w:num w:numId="45" w16cid:durableId="628826055">
    <w:abstractNumId w:val="11"/>
  </w:num>
  <w:num w:numId="46" w16cid:durableId="38059177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9B"/>
    <w:rsid w:val="00004691"/>
    <w:rsid w:val="00012B94"/>
    <w:rsid w:val="00014AEA"/>
    <w:rsid w:val="00017267"/>
    <w:rsid w:val="00023E4F"/>
    <w:rsid w:val="00024748"/>
    <w:rsid w:val="00025E8C"/>
    <w:rsid w:val="00025F8B"/>
    <w:rsid w:val="00027653"/>
    <w:rsid w:val="00027E4B"/>
    <w:rsid w:val="00033E3D"/>
    <w:rsid w:val="000342D8"/>
    <w:rsid w:val="00044B72"/>
    <w:rsid w:val="00052EA2"/>
    <w:rsid w:val="000537BD"/>
    <w:rsid w:val="00054859"/>
    <w:rsid w:val="000655BC"/>
    <w:rsid w:val="00067CAE"/>
    <w:rsid w:val="00073940"/>
    <w:rsid w:val="000836B8"/>
    <w:rsid w:val="00094A69"/>
    <w:rsid w:val="00094EC6"/>
    <w:rsid w:val="00097A6E"/>
    <w:rsid w:val="000A20AA"/>
    <w:rsid w:val="000A5C85"/>
    <w:rsid w:val="000B42C3"/>
    <w:rsid w:val="000B7CA9"/>
    <w:rsid w:val="000C531E"/>
    <w:rsid w:val="000D14C1"/>
    <w:rsid w:val="000D2591"/>
    <w:rsid w:val="000D57AC"/>
    <w:rsid w:val="000E5120"/>
    <w:rsid w:val="000F430C"/>
    <w:rsid w:val="00102316"/>
    <w:rsid w:val="00106E54"/>
    <w:rsid w:val="00106EDE"/>
    <w:rsid w:val="00115527"/>
    <w:rsid w:val="00115FB1"/>
    <w:rsid w:val="0012257E"/>
    <w:rsid w:val="00124662"/>
    <w:rsid w:val="00135429"/>
    <w:rsid w:val="0013722E"/>
    <w:rsid w:val="001420F3"/>
    <w:rsid w:val="00142EA7"/>
    <w:rsid w:val="0014613C"/>
    <w:rsid w:val="0015089D"/>
    <w:rsid w:val="001529FC"/>
    <w:rsid w:val="00154F21"/>
    <w:rsid w:val="001555D7"/>
    <w:rsid w:val="00155DC0"/>
    <w:rsid w:val="001612DE"/>
    <w:rsid w:val="00163C37"/>
    <w:rsid w:val="001707D4"/>
    <w:rsid w:val="00173481"/>
    <w:rsid w:val="001814EA"/>
    <w:rsid w:val="001840A4"/>
    <w:rsid w:val="001868B2"/>
    <w:rsid w:val="0018694D"/>
    <w:rsid w:val="00191894"/>
    <w:rsid w:val="00192DF0"/>
    <w:rsid w:val="0019394B"/>
    <w:rsid w:val="001978FF"/>
    <w:rsid w:val="001A3D13"/>
    <w:rsid w:val="001A56FF"/>
    <w:rsid w:val="001A59F8"/>
    <w:rsid w:val="001A61FE"/>
    <w:rsid w:val="001B0091"/>
    <w:rsid w:val="001B0265"/>
    <w:rsid w:val="001B1275"/>
    <w:rsid w:val="001C01D7"/>
    <w:rsid w:val="001C5057"/>
    <w:rsid w:val="001C6E2A"/>
    <w:rsid w:val="001D2831"/>
    <w:rsid w:val="001D54FB"/>
    <w:rsid w:val="001D727F"/>
    <w:rsid w:val="001E4F1E"/>
    <w:rsid w:val="001E5C60"/>
    <w:rsid w:val="001F1485"/>
    <w:rsid w:val="001F61B1"/>
    <w:rsid w:val="001F6758"/>
    <w:rsid w:val="0020588A"/>
    <w:rsid w:val="00205DE4"/>
    <w:rsid w:val="00207E9A"/>
    <w:rsid w:val="00210AAD"/>
    <w:rsid w:val="00212A2C"/>
    <w:rsid w:val="00215376"/>
    <w:rsid w:val="00220698"/>
    <w:rsid w:val="00220925"/>
    <w:rsid w:val="0023064C"/>
    <w:rsid w:val="002355AD"/>
    <w:rsid w:val="00237216"/>
    <w:rsid w:val="00242E2E"/>
    <w:rsid w:val="0026194B"/>
    <w:rsid w:val="002637BB"/>
    <w:rsid w:val="0026780E"/>
    <w:rsid w:val="002705EE"/>
    <w:rsid w:val="00270ACE"/>
    <w:rsid w:val="00276546"/>
    <w:rsid w:val="002815EB"/>
    <w:rsid w:val="00283A54"/>
    <w:rsid w:val="00284FD1"/>
    <w:rsid w:val="002918D3"/>
    <w:rsid w:val="002926AB"/>
    <w:rsid w:val="002A39D1"/>
    <w:rsid w:val="002A7964"/>
    <w:rsid w:val="002B2506"/>
    <w:rsid w:val="002B7A05"/>
    <w:rsid w:val="002C517F"/>
    <w:rsid w:val="002D72F9"/>
    <w:rsid w:val="002E17AD"/>
    <w:rsid w:val="002E2731"/>
    <w:rsid w:val="002E4310"/>
    <w:rsid w:val="002E4434"/>
    <w:rsid w:val="002E5594"/>
    <w:rsid w:val="002E6015"/>
    <w:rsid w:val="002F0121"/>
    <w:rsid w:val="002F0FEB"/>
    <w:rsid w:val="002F13A6"/>
    <w:rsid w:val="002F1C82"/>
    <w:rsid w:val="002F292C"/>
    <w:rsid w:val="00301836"/>
    <w:rsid w:val="00301F5B"/>
    <w:rsid w:val="003030CF"/>
    <w:rsid w:val="00306B46"/>
    <w:rsid w:val="003161B2"/>
    <w:rsid w:val="0032122D"/>
    <w:rsid w:val="003214E6"/>
    <w:rsid w:val="00321E14"/>
    <w:rsid w:val="00331685"/>
    <w:rsid w:val="003322D4"/>
    <w:rsid w:val="0034160C"/>
    <w:rsid w:val="003441FC"/>
    <w:rsid w:val="00352D05"/>
    <w:rsid w:val="00353745"/>
    <w:rsid w:val="003570F8"/>
    <w:rsid w:val="00362B08"/>
    <w:rsid w:val="003723EC"/>
    <w:rsid w:val="00386D9A"/>
    <w:rsid w:val="00390512"/>
    <w:rsid w:val="003905F6"/>
    <w:rsid w:val="00390E1C"/>
    <w:rsid w:val="003A2667"/>
    <w:rsid w:val="003A713A"/>
    <w:rsid w:val="003B1833"/>
    <w:rsid w:val="003B2142"/>
    <w:rsid w:val="003B390F"/>
    <w:rsid w:val="003B3C76"/>
    <w:rsid w:val="003B7FEE"/>
    <w:rsid w:val="003C2704"/>
    <w:rsid w:val="003C441B"/>
    <w:rsid w:val="003D58CC"/>
    <w:rsid w:val="003E0CDF"/>
    <w:rsid w:val="003E18B8"/>
    <w:rsid w:val="003E46D6"/>
    <w:rsid w:val="003E512C"/>
    <w:rsid w:val="003E51AA"/>
    <w:rsid w:val="003F4FF8"/>
    <w:rsid w:val="003F5910"/>
    <w:rsid w:val="003F5A45"/>
    <w:rsid w:val="003F6745"/>
    <w:rsid w:val="00403494"/>
    <w:rsid w:val="00410146"/>
    <w:rsid w:val="00414001"/>
    <w:rsid w:val="004161CE"/>
    <w:rsid w:val="004215E4"/>
    <w:rsid w:val="004233CB"/>
    <w:rsid w:val="00432020"/>
    <w:rsid w:val="00437393"/>
    <w:rsid w:val="00443546"/>
    <w:rsid w:val="00444403"/>
    <w:rsid w:val="00445111"/>
    <w:rsid w:val="004545BF"/>
    <w:rsid w:val="00457438"/>
    <w:rsid w:val="00461B03"/>
    <w:rsid w:val="00472EE0"/>
    <w:rsid w:val="00476901"/>
    <w:rsid w:val="004912DE"/>
    <w:rsid w:val="00495879"/>
    <w:rsid w:val="004A3E13"/>
    <w:rsid w:val="004A6F01"/>
    <w:rsid w:val="004B0540"/>
    <w:rsid w:val="004B1AB0"/>
    <w:rsid w:val="004B445D"/>
    <w:rsid w:val="004B536E"/>
    <w:rsid w:val="004C2061"/>
    <w:rsid w:val="004C2F07"/>
    <w:rsid w:val="004C447C"/>
    <w:rsid w:val="004D1AEB"/>
    <w:rsid w:val="004D6085"/>
    <w:rsid w:val="004D78E8"/>
    <w:rsid w:val="004E0304"/>
    <w:rsid w:val="004E22B0"/>
    <w:rsid w:val="004E7407"/>
    <w:rsid w:val="004F0804"/>
    <w:rsid w:val="004F111D"/>
    <w:rsid w:val="004F21F9"/>
    <w:rsid w:val="004F6B3D"/>
    <w:rsid w:val="004F6D1C"/>
    <w:rsid w:val="00501F18"/>
    <w:rsid w:val="00502869"/>
    <w:rsid w:val="00513F40"/>
    <w:rsid w:val="00515288"/>
    <w:rsid w:val="00516D32"/>
    <w:rsid w:val="00516E37"/>
    <w:rsid w:val="005262BE"/>
    <w:rsid w:val="00526C10"/>
    <w:rsid w:val="005308C2"/>
    <w:rsid w:val="00537A2D"/>
    <w:rsid w:val="00544089"/>
    <w:rsid w:val="00554DB3"/>
    <w:rsid w:val="00556610"/>
    <w:rsid w:val="00560BFB"/>
    <w:rsid w:val="005628FB"/>
    <w:rsid w:val="00563566"/>
    <w:rsid w:val="00566C55"/>
    <w:rsid w:val="005735CE"/>
    <w:rsid w:val="00574827"/>
    <w:rsid w:val="00575A02"/>
    <w:rsid w:val="005801EC"/>
    <w:rsid w:val="00583FB6"/>
    <w:rsid w:val="00585E71"/>
    <w:rsid w:val="00586FAD"/>
    <w:rsid w:val="00587AAF"/>
    <w:rsid w:val="00587E1D"/>
    <w:rsid w:val="005918A6"/>
    <w:rsid w:val="00592E68"/>
    <w:rsid w:val="00594134"/>
    <w:rsid w:val="005A4933"/>
    <w:rsid w:val="005A5409"/>
    <w:rsid w:val="005B1D2A"/>
    <w:rsid w:val="005B2A18"/>
    <w:rsid w:val="005B3A77"/>
    <w:rsid w:val="005B4A23"/>
    <w:rsid w:val="005B4D7E"/>
    <w:rsid w:val="005C546B"/>
    <w:rsid w:val="005C5E33"/>
    <w:rsid w:val="005D6E30"/>
    <w:rsid w:val="005D7532"/>
    <w:rsid w:val="005E10BC"/>
    <w:rsid w:val="005E1C99"/>
    <w:rsid w:val="005E3E4A"/>
    <w:rsid w:val="005E7D90"/>
    <w:rsid w:val="005F0023"/>
    <w:rsid w:val="005F0662"/>
    <w:rsid w:val="005F5809"/>
    <w:rsid w:val="005F6769"/>
    <w:rsid w:val="00600748"/>
    <w:rsid w:val="00603298"/>
    <w:rsid w:val="00603B37"/>
    <w:rsid w:val="00610582"/>
    <w:rsid w:val="00612E13"/>
    <w:rsid w:val="006130A6"/>
    <w:rsid w:val="00614828"/>
    <w:rsid w:val="00624472"/>
    <w:rsid w:val="00625DAD"/>
    <w:rsid w:val="00633158"/>
    <w:rsid w:val="0063566B"/>
    <w:rsid w:val="00644823"/>
    <w:rsid w:val="00646A11"/>
    <w:rsid w:val="00652F86"/>
    <w:rsid w:val="006568DF"/>
    <w:rsid w:val="00661104"/>
    <w:rsid w:val="00664483"/>
    <w:rsid w:val="00665AC2"/>
    <w:rsid w:val="00665D69"/>
    <w:rsid w:val="00666AC0"/>
    <w:rsid w:val="0067096E"/>
    <w:rsid w:val="00670B8C"/>
    <w:rsid w:val="00670CC7"/>
    <w:rsid w:val="006724B5"/>
    <w:rsid w:val="006731F1"/>
    <w:rsid w:val="00680403"/>
    <w:rsid w:val="006833D0"/>
    <w:rsid w:val="00683815"/>
    <w:rsid w:val="0068421F"/>
    <w:rsid w:val="006847DD"/>
    <w:rsid w:val="0068682B"/>
    <w:rsid w:val="00687C40"/>
    <w:rsid w:val="006933A1"/>
    <w:rsid w:val="006A0B3A"/>
    <w:rsid w:val="006A120A"/>
    <w:rsid w:val="006A3A46"/>
    <w:rsid w:val="006A5B54"/>
    <w:rsid w:val="006A6626"/>
    <w:rsid w:val="006B0FC7"/>
    <w:rsid w:val="006B3FE8"/>
    <w:rsid w:val="006B66E2"/>
    <w:rsid w:val="006B684F"/>
    <w:rsid w:val="006C34B1"/>
    <w:rsid w:val="006C42B1"/>
    <w:rsid w:val="006C55D9"/>
    <w:rsid w:val="006D1733"/>
    <w:rsid w:val="006E4481"/>
    <w:rsid w:val="006F70D1"/>
    <w:rsid w:val="00701408"/>
    <w:rsid w:val="00704049"/>
    <w:rsid w:val="0070507D"/>
    <w:rsid w:val="0071081B"/>
    <w:rsid w:val="007145D3"/>
    <w:rsid w:val="007260FA"/>
    <w:rsid w:val="007306DB"/>
    <w:rsid w:val="00730FC2"/>
    <w:rsid w:val="0073250C"/>
    <w:rsid w:val="007414B7"/>
    <w:rsid w:val="00741539"/>
    <w:rsid w:val="007475B8"/>
    <w:rsid w:val="007545BA"/>
    <w:rsid w:val="007555B1"/>
    <w:rsid w:val="007671FA"/>
    <w:rsid w:val="00774968"/>
    <w:rsid w:val="00775844"/>
    <w:rsid w:val="00777BC1"/>
    <w:rsid w:val="007806AA"/>
    <w:rsid w:val="00780907"/>
    <w:rsid w:val="00780C65"/>
    <w:rsid w:val="0079221F"/>
    <w:rsid w:val="00797AA9"/>
    <w:rsid w:val="007A6DF4"/>
    <w:rsid w:val="007B1864"/>
    <w:rsid w:val="007B2B87"/>
    <w:rsid w:val="007B64E3"/>
    <w:rsid w:val="007C1E60"/>
    <w:rsid w:val="007D1097"/>
    <w:rsid w:val="007D2735"/>
    <w:rsid w:val="007E7018"/>
    <w:rsid w:val="007F27E3"/>
    <w:rsid w:val="007F3519"/>
    <w:rsid w:val="007F47D4"/>
    <w:rsid w:val="007F5F38"/>
    <w:rsid w:val="007F673E"/>
    <w:rsid w:val="00805623"/>
    <w:rsid w:val="0080686D"/>
    <w:rsid w:val="00811921"/>
    <w:rsid w:val="00817C0C"/>
    <w:rsid w:val="00821B84"/>
    <w:rsid w:val="008227A6"/>
    <w:rsid w:val="00824290"/>
    <w:rsid w:val="00825E3B"/>
    <w:rsid w:val="008341BD"/>
    <w:rsid w:val="008412E9"/>
    <w:rsid w:val="00842CDF"/>
    <w:rsid w:val="00844947"/>
    <w:rsid w:val="00845291"/>
    <w:rsid w:val="00845506"/>
    <w:rsid w:val="00845926"/>
    <w:rsid w:val="00847700"/>
    <w:rsid w:val="00856621"/>
    <w:rsid w:val="00856D8E"/>
    <w:rsid w:val="00857297"/>
    <w:rsid w:val="00860416"/>
    <w:rsid w:val="0087005C"/>
    <w:rsid w:val="00871F22"/>
    <w:rsid w:val="0087258C"/>
    <w:rsid w:val="00875F2C"/>
    <w:rsid w:val="008810DD"/>
    <w:rsid w:val="00881A01"/>
    <w:rsid w:val="008874F2"/>
    <w:rsid w:val="008935B3"/>
    <w:rsid w:val="008A459B"/>
    <w:rsid w:val="008A4758"/>
    <w:rsid w:val="008C01A3"/>
    <w:rsid w:val="008C7AA5"/>
    <w:rsid w:val="008D37FF"/>
    <w:rsid w:val="008D6CEE"/>
    <w:rsid w:val="008D6DF9"/>
    <w:rsid w:val="008E3B00"/>
    <w:rsid w:val="008E6721"/>
    <w:rsid w:val="008E739C"/>
    <w:rsid w:val="008F484A"/>
    <w:rsid w:val="008F6BA2"/>
    <w:rsid w:val="00900637"/>
    <w:rsid w:val="00904C29"/>
    <w:rsid w:val="00916D03"/>
    <w:rsid w:val="009270E5"/>
    <w:rsid w:val="00930A3D"/>
    <w:rsid w:val="00931738"/>
    <w:rsid w:val="00932C28"/>
    <w:rsid w:val="0094357C"/>
    <w:rsid w:val="0094784D"/>
    <w:rsid w:val="00954BBA"/>
    <w:rsid w:val="00956858"/>
    <w:rsid w:val="00956BC6"/>
    <w:rsid w:val="009659D8"/>
    <w:rsid w:val="009667F1"/>
    <w:rsid w:val="00966BE8"/>
    <w:rsid w:val="00966C32"/>
    <w:rsid w:val="009706CE"/>
    <w:rsid w:val="009900D3"/>
    <w:rsid w:val="00991F4A"/>
    <w:rsid w:val="0099254F"/>
    <w:rsid w:val="009934BB"/>
    <w:rsid w:val="00997289"/>
    <w:rsid w:val="00997F85"/>
    <w:rsid w:val="009A05A6"/>
    <w:rsid w:val="009A0893"/>
    <w:rsid w:val="009A0E6D"/>
    <w:rsid w:val="009B1C31"/>
    <w:rsid w:val="009B2B2B"/>
    <w:rsid w:val="009B422C"/>
    <w:rsid w:val="009B5A5F"/>
    <w:rsid w:val="009C0772"/>
    <w:rsid w:val="009C3C39"/>
    <w:rsid w:val="009C7577"/>
    <w:rsid w:val="009D16F3"/>
    <w:rsid w:val="009D1CBC"/>
    <w:rsid w:val="009D3AE1"/>
    <w:rsid w:val="009D4A4F"/>
    <w:rsid w:val="009D6E47"/>
    <w:rsid w:val="009E0F6D"/>
    <w:rsid w:val="009E5D8B"/>
    <w:rsid w:val="009F08BA"/>
    <w:rsid w:val="009F13D5"/>
    <w:rsid w:val="009F2398"/>
    <w:rsid w:val="009F7DCC"/>
    <w:rsid w:val="009F7EAF"/>
    <w:rsid w:val="00A11D08"/>
    <w:rsid w:val="00A124C8"/>
    <w:rsid w:val="00A128E1"/>
    <w:rsid w:val="00A147DC"/>
    <w:rsid w:val="00A22880"/>
    <w:rsid w:val="00A30E4E"/>
    <w:rsid w:val="00A35176"/>
    <w:rsid w:val="00A364BB"/>
    <w:rsid w:val="00A4164A"/>
    <w:rsid w:val="00A43091"/>
    <w:rsid w:val="00A43249"/>
    <w:rsid w:val="00A451F7"/>
    <w:rsid w:val="00A463F4"/>
    <w:rsid w:val="00A50739"/>
    <w:rsid w:val="00A50A3D"/>
    <w:rsid w:val="00A52FFE"/>
    <w:rsid w:val="00A60EA8"/>
    <w:rsid w:val="00A64E59"/>
    <w:rsid w:val="00A75964"/>
    <w:rsid w:val="00A770E5"/>
    <w:rsid w:val="00A77218"/>
    <w:rsid w:val="00A87945"/>
    <w:rsid w:val="00A9210F"/>
    <w:rsid w:val="00A95461"/>
    <w:rsid w:val="00AA1272"/>
    <w:rsid w:val="00AA3519"/>
    <w:rsid w:val="00AA6D18"/>
    <w:rsid w:val="00AB2969"/>
    <w:rsid w:val="00AB52A9"/>
    <w:rsid w:val="00AB575E"/>
    <w:rsid w:val="00AB596C"/>
    <w:rsid w:val="00AB6478"/>
    <w:rsid w:val="00AB7AC8"/>
    <w:rsid w:val="00AC539C"/>
    <w:rsid w:val="00AD0AD9"/>
    <w:rsid w:val="00AD35CD"/>
    <w:rsid w:val="00AD6EC7"/>
    <w:rsid w:val="00AE2A47"/>
    <w:rsid w:val="00AE41E3"/>
    <w:rsid w:val="00AE46FC"/>
    <w:rsid w:val="00AE705A"/>
    <w:rsid w:val="00AE70A2"/>
    <w:rsid w:val="00AF7236"/>
    <w:rsid w:val="00B00705"/>
    <w:rsid w:val="00B03FBD"/>
    <w:rsid w:val="00B0632C"/>
    <w:rsid w:val="00B1029E"/>
    <w:rsid w:val="00B155A3"/>
    <w:rsid w:val="00B155F5"/>
    <w:rsid w:val="00B15600"/>
    <w:rsid w:val="00B160EF"/>
    <w:rsid w:val="00B243A5"/>
    <w:rsid w:val="00B2532E"/>
    <w:rsid w:val="00B2724F"/>
    <w:rsid w:val="00B27FA9"/>
    <w:rsid w:val="00B413AB"/>
    <w:rsid w:val="00B42F82"/>
    <w:rsid w:val="00B43CFD"/>
    <w:rsid w:val="00B45103"/>
    <w:rsid w:val="00B4747F"/>
    <w:rsid w:val="00B474A5"/>
    <w:rsid w:val="00B47DBF"/>
    <w:rsid w:val="00B52986"/>
    <w:rsid w:val="00B5505A"/>
    <w:rsid w:val="00B60053"/>
    <w:rsid w:val="00B60DDF"/>
    <w:rsid w:val="00B63612"/>
    <w:rsid w:val="00B644DE"/>
    <w:rsid w:val="00B708E1"/>
    <w:rsid w:val="00B711D9"/>
    <w:rsid w:val="00B74732"/>
    <w:rsid w:val="00B74844"/>
    <w:rsid w:val="00B754CF"/>
    <w:rsid w:val="00B817E3"/>
    <w:rsid w:val="00B81F69"/>
    <w:rsid w:val="00B828E9"/>
    <w:rsid w:val="00B863DC"/>
    <w:rsid w:val="00B873A1"/>
    <w:rsid w:val="00BA0CA3"/>
    <w:rsid w:val="00BB2A1E"/>
    <w:rsid w:val="00BC380C"/>
    <w:rsid w:val="00BC6FB4"/>
    <w:rsid w:val="00BC7C78"/>
    <w:rsid w:val="00BD1BF8"/>
    <w:rsid w:val="00BD6D0B"/>
    <w:rsid w:val="00BE1129"/>
    <w:rsid w:val="00BE35EC"/>
    <w:rsid w:val="00BE55AA"/>
    <w:rsid w:val="00BF1200"/>
    <w:rsid w:val="00C00699"/>
    <w:rsid w:val="00C05D47"/>
    <w:rsid w:val="00C060C5"/>
    <w:rsid w:val="00C159B4"/>
    <w:rsid w:val="00C2166C"/>
    <w:rsid w:val="00C239F6"/>
    <w:rsid w:val="00C36540"/>
    <w:rsid w:val="00C42DCB"/>
    <w:rsid w:val="00C46A09"/>
    <w:rsid w:val="00C56059"/>
    <w:rsid w:val="00C6216F"/>
    <w:rsid w:val="00C64138"/>
    <w:rsid w:val="00C66B73"/>
    <w:rsid w:val="00C700C1"/>
    <w:rsid w:val="00C85F71"/>
    <w:rsid w:val="00C921FB"/>
    <w:rsid w:val="00CA00CC"/>
    <w:rsid w:val="00CA4DBD"/>
    <w:rsid w:val="00CA59A5"/>
    <w:rsid w:val="00CB491E"/>
    <w:rsid w:val="00CB5792"/>
    <w:rsid w:val="00CC083F"/>
    <w:rsid w:val="00CC38D6"/>
    <w:rsid w:val="00CC3B12"/>
    <w:rsid w:val="00CC531A"/>
    <w:rsid w:val="00CC67F7"/>
    <w:rsid w:val="00CD0489"/>
    <w:rsid w:val="00CD5EE3"/>
    <w:rsid w:val="00CE15ED"/>
    <w:rsid w:val="00CE4E2A"/>
    <w:rsid w:val="00CE5E47"/>
    <w:rsid w:val="00CF1B08"/>
    <w:rsid w:val="00CF248A"/>
    <w:rsid w:val="00D020A2"/>
    <w:rsid w:val="00D03E81"/>
    <w:rsid w:val="00D06143"/>
    <w:rsid w:val="00D10EE7"/>
    <w:rsid w:val="00D11A52"/>
    <w:rsid w:val="00D16EB4"/>
    <w:rsid w:val="00D20DC7"/>
    <w:rsid w:val="00D21C45"/>
    <w:rsid w:val="00D230C4"/>
    <w:rsid w:val="00D264A7"/>
    <w:rsid w:val="00D2737B"/>
    <w:rsid w:val="00D30DD8"/>
    <w:rsid w:val="00D33BDF"/>
    <w:rsid w:val="00D3636A"/>
    <w:rsid w:val="00D4558A"/>
    <w:rsid w:val="00D457DF"/>
    <w:rsid w:val="00D46B11"/>
    <w:rsid w:val="00D5029A"/>
    <w:rsid w:val="00D621F9"/>
    <w:rsid w:val="00D6543D"/>
    <w:rsid w:val="00D676B6"/>
    <w:rsid w:val="00D67DC9"/>
    <w:rsid w:val="00D7187E"/>
    <w:rsid w:val="00D805FB"/>
    <w:rsid w:val="00D835B5"/>
    <w:rsid w:val="00D93734"/>
    <w:rsid w:val="00D951B6"/>
    <w:rsid w:val="00D97223"/>
    <w:rsid w:val="00DA21C2"/>
    <w:rsid w:val="00DA3ED5"/>
    <w:rsid w:val="00DB6BE7"/>
    <w:rsid w:val="00DC3F9E"/>
    <w:rsid w:val="00DC5C52"/>
    <w:rsid w:val="00DC696C"/>
    <w:rsid w:val="00DD32B6"/>
    <w:rsid w:val="00DD3348"/>
    <w:rsid w:val="00DD7CB5"/>
    <w:rsid w:val="00DE2E8E"/>
    <w:rsid w:val="00DF01D7"/>
    <w:rsid w:val="00DF27D7"/>
    <w:rsid w:val="00DF7147"/>
    <w:rsid w:val="00E02B28"/>
    <w:rsid w:val="00E0587F"/>
    <w:rsid w:val="00E06F04"/>
    <w:rsid w:val="00E12CFA"/>
    <w:rsid w:val="00E13B05"/>
    <w:rsid w:val="00E2746A"/>
    <w:rsid w:val="00E328DA"/>
    <w:rsid w:val="00E340B7"/>
    <w:rsid w:val="00E34B42"/>
    <w:rsid w:val="00E352B1"/>
    <w:rsid w:val="00E36150"/>
    <w:rsid w:val="00E42D28"/>
    <w:rsid w:val="00E44CDB"/>
    <w:rsid w:val="00E4559B"/>
    <w:rsid w:val="00E45BD1"/>
    <w:rsid w:val="00E47270"/>
    <w:rsid w:val="00E4774E"/>
    <w:rsid w:val="00E50C3E"/>
    <w:rsid w:val="00E516C1"/>
    <w:rsid w:val="00E51909"/>
    <w:rsid w:val="00E60A52"/>
    <w:rsid w:val="00E643D9"/>
    <w:rsid w:val="00E6563B"/>
    <w:rsid w:val="00E66AC3"/>
    <w:rsid w:val="00E720BA"/>
    <w:rsid w:val="00E7359F"/>
    <w:rsid w:val="00E84221"/>
    <w:rsid w:val="00E8532A"/>
    <w:rsid w:val="00EA007B"/>
    <w:rsid w:val="00EA37E9"/>
    <w:rsid w:val="00EA3C17"/>
    <w:rsid w:val="00EB70E6"/>
    <w:rsid w:val="00EC13CE"/>
    <w:rsid w:val="00EC2DA0"/>
    <w:rsid w:val="00EC7673"/>
    <w:rsid w:val="00EC7ECC"/>
    <w:rsid w:val="00ED0276"/>
    <w:rsid w:val="00ED1EDC"/>
    <w:rsid w:val="00ED3AE3"/>
    <w:rsid w:val="00ED42FA"/>
    <w:rsid w:val="00ED43E9"/>
    <w:rsid w:val="00ED4DC0"/>
    <w:rsid w:val="00ED78F6"/>
    <w:rsid w:val="00EE18A4"/>
    <w:rsid w:val="00EE3AC6"/>
    <w:rsid w:val="00EE5FEF"/>
    <w:rsid w:val="00EE650F"/>
    <w:rsid w:val="00EF1422"/>
    <w:rsid w:val="00EF6089"/>
    <w:rsid w:val="00F107F9"/>
    <w:rsid w:val="00F15B27"/>
    <w:rsid w:val="00F17F4D"/>
    <w:rsid w:val="00F221A9"/>
    <w:rsid w:val="00F23D88"/>
    <w:rsid w:val="00F2623C"/>
    <w:rsid w:val="00F27E0B"/>
    <w:rsid w:val="00F346F2"/>
    <w:rsid w:val="00F363DF"/>
    <w:rsid w:val="00F41EE8"/>
    <w:rsid w:val="00F4483E"/>
    <w:rsid w:val="00F46BCB"/>
    <w:rsid w:val="00F473FD"/>
    <w:rsid w:val="00F5211C"/>
    <w:rsid w:val="00F54427"/>
    <w:rsid w:val="00F561F9"/>
    <w:rsid w:val="00F56A08"/>
    <w:rsid w:val="00F600A3"/>
    <w:rsid w:val="00F623A8"/>
    <w:rsid w:val="00F66FE8"/>
    <w:rsid w:val="00F74453"/>
    <w:rsid w:val="00F773CD"/>
    <w:rsid w:val="00F90FA8"/>
    <w:rsid w:val="00F928D7"/>
    <w:rsid w:val="00F97958"/>
    <w:rsid w:val="00FA0B0C"/>
    <w:rsid w:val="00FA7793"/>
    <w:rsid w:val="00FB049E"/>
    <w:rsid w:val="00FB26BD"/>
    <w:rsid w:val="00FB3C64"/>
    <w:rsid w:val="00FB3E27"/>
    <w:rsid w:val="00FB71C9"/>
    <w:rsid w:val="00FB77E8"/>
    <w:rsid w:val="00FB79AB"/>
    <w:rsid w:val="00FC0DE7"/>
    <w:rsid w:val="00FC784D"/>
    <w:rsid w:val="00FC7D3E"/>
    <w:rsid w:val="00FD048C"/>
    <w:rsid w:val="00FD4FD2"/>
    <w:rsid w:val="00FD5419"/>
    <w:rsid w:val="00FD5DB2"/>
    <w:rsid w:val="00FD7330"/>
    <w:rsid w:val="00FE40AE"/>
    <w:rsid w:val="00FF4F5D"/>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8FA5"/>
  <w15:chartTrackingRefBased/>
  <w15:docId w15:val="{4E62D874-3CD9-B64F-A8F2-D8796F49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1EC"/>
    <w:rPr>
      <w:rFonts w:ascii="Times New Roman" w:eastAsia="Times New Roman" w:hAnsi="Times New Roman" w:cs="Times New Roman"/>
      <w:kern w:val="0"/>
      <w14:ligatures w14:val="none"/>
    </w:rPr>
  </w:style>
  <w:style w:type="paragraph" w:styleId="Nadpis1">
    <w:name w:val="heading 1"/>
    <w:basedOn w:val="Normln"/>
    <w:next w:val="Normln"/>
    <w:link w:val="Nadpis1Char"/>
    <w:uiPriority w:val="9"/>
    <w:qFormat/>
    <w:rsid w:val="004E0304"/>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62447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24472"/>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62447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62447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62447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62447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62447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2447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559B"/>
    <w:rPr>
      <w:rFonts w:asciiTheme="majorHAnsi" w:eastAsiaTheme="majorEastAsia" w:hAnsiTheme="majorHAnsi" w:cstheme="majorBidi"/>
      <w:color w:val="2F5496" w:themeColor="accent1" w:themeShade="BF"/>
      <w:sz w:val="32"/>
      <w:szCs w:val="32"/>
    </w:rPr>
  </w:style>
  <w:style w:type="paragraph" w:styleId="Nzev">
    <w:name w:val="Title"/>
    <w:basedOn w:val="Normln"/>
    <w:next w:val="Normln"/>
    <w:link w:val="NzevChar"/>
    <w:uiPriority w:val="10"/>
    <w:qFormat/>
    <w:rsid w:val="00E4559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4559B"/>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62447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24472"/>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62447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62447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62447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62447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6244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24472"/>
    <w:rPr>
      <w:rFonts w:asciiTheme="majorHAnsi" w:eastAsiaTheme="majorEastAsia" w:hAnsiTheme="majorHAnsi" w:cstheme="majorBidi"/>
      <w:i/>
      <w:iCs/>
      <w:color w:val="272727" w:themeColor="text1" w:themeTint="D8"/>
      <w:sz w:val="21"/>
      <w:szCs w:val="21"/>
    </w:rPr>
  </w:style>
  <w:style w:type="paragraph" w:customStyle="1" w:styleId="RozpocetOdstavec">
    <w:name w:val="Rozpocet_Odstavec"/>
    <w:basedOn w:val="Normln"/>
    <w:qFormat/>
    <w:rsid w:val="00C66B73"/>
    <w:pPr>
      <w:jc w:val="both"/>
    </w:pPr>
  </w:style>
  <w:style w:type="paragraph" w:styleId="Odstavecseseznamem">
    <w:name w:val="List Paragraph"/>
    <w:basedOn w:val="Normln"/>
    <w:uiPriority w:val="34"/>
    <w:qFormat/>
    <w:rsid w:val="004E0304"/>
    <w:pPr>
      <w:ind w:left="720"/>
      <w:contextualSpacing/>
    </w:pPr>
  </w:style>
  <w:style w:type="paragraph" w:customStyle="1" w:styleId="RozpocetNadpis1">
    <w:name w:val="Rozpocet_Nadpis 1"/>
    <w:basedOn w:val="Nadpis1"/>
    <w:link w:val="RozpocetNadpis1Char"/>
    <w:qFormat/>
    <w:rsid w:val="00875F2C"/>
    <w:pPr>
      <w:pageBreakBefore/>
      <w:spacing w:before="0" w:after="120"/>
    </w:pPr>
  </w:style>
  <w:style w:type="character" w:customStyle="1" w:styleId="RozpocetNadpis1Char">
    <w:name w:val="Rozpocet_Nadpis 1 Char"/>
    <w:basedOn w:val="Nadpis1Char"/>
    <w:link w:val="RozpocetNadpis1"/>
    <w:rsid w:val="00875F2C"/>
    <w:rPr>
      <w:rFonts w:asciiTheme="majorHAnsi" w:eastAsiaTheme="majorEastAsia" w:hAnsiTheme="majorHAnsi" w:cstheme="majorBidi"/>
      <w:color w:val="2F5496" w:themeColor="accent1" w:themeShade="BF"/>
      <w:sz w:val="32"/>
      <w:szCs w:val="32"/>
    </w:rPr>
  </w:style>
  <w:style w:type="paragraph" w:customStyle="1" w:styleId="RozpocetNadpis2">
    <w:name w:val="Rozpocet_Nadpis 2"/>
    <w:basedOn w:val="Nadpis2"/>
    <w:link w:val="RozpocetNadpis2Char"/>
    <w:qFormat/>
    <w:rsid w:val="006C55D9"/>
    <w:pPr>
      <w:spacing w:before="0" w:after="120"/>
      <w:ind w:left="578" w:hanging="578"/>
    </w:pPr>
  </w:style>
  <w:style w:type="character" w:customStyle="1" w:styleId="RozpocetNadpis2Char">
    <w:name w:val="Rozpocet_Nadpis 2 Char"/>
    <w:basedOn w:val="Nadpis2Char"/>
    <w:link w:val="RozpocetNadpis2"/>
    <w:rsid w:val="006C55D9"/>
    <w:rPr>
      <w:rFonts w:asciiTheme="majorHAnsi" w:eastAsiaTheme="majorEastAsia" w:hAnsiTheme="majorHAnsi" w:cstheme="majorBidi"/>
      <w:color w:val="2F5496" w:themeColor="accent1" w:themeShade="BF"/>
      <w:sz w:val="26"/>
      <w:szCs w:val="26"/>
    </w:rPr>
  </w:style>
  <w:style w:type="paragraph" w:customStyle="1" w:styleId="RozpoetNadpis3">
    <w:name w:val="Rozpočet_Nadpis 3"/>
    <w:basedOn w:val="Nadpis3"/>
    <w:link w:val="RozpoetNadpis3Char"/>
    <w:qFormat/>
    <w:rsid w:val="006C55D9"/>
    <w:pPr>
      <w:spacing w:before="0" w:after="120"/>
    </w:pPr>
  </w:style>
  <w:style w:type="character" w:customStyle="1" w:styleId="RozpoetNadpis3Char">
    <w:name w:val="Rozpočet_Nadpis 3 Char"/>
    <w:basedOn w:val="Nadpis3Char"/>
    <w:link w:val="RozpoetNadpis3"/>
    <w:rsid w:val="006C55D9"/>
    <w:rPr>
      <w:rFonts w:asciiTheme="majorHAnsi" w:eastAsiaTheme="majorEastAsia" w:hAnsiTheme="majorHAnsi" w:cstheme="majorBidi"/>
      <w:color w:val="1F3763" w:themeColor="accent1" w:themeShade="7F"/>
    </w:rPr>
  </w:style>
  <w:style w:type="character" w:styleId="Zstupntext">
    <w:name w:val="Placeholder Text"/>
    <w:basedOn w:val="Standardnpsmoodstavce"/>
    <w:uiPriority w:val="99"/>
    <w:semiHidden/>
    <w:rsid w:val="0087005C"/>
    <w:rPr>
      <w:color w:val="666666"/>
    </w:rPr>
  </w:style>
  <w:style w:type="character" w:styleId="Odkaznakoment">
    <w:name w:val="annotation reference"/>
    <w:basedOn w:val="Standardnpsmoodstavce"/>
    <w:uiPriority w:val="99"/>
    <w:semiHidden/>
    <w:unhideWhenUsed/>
    <w:rsid w:val="00644823"/>
    <w:rPr>
      <w:sz w:val="16"/>
      <w:szCs w:val="16"/>
    </w:rPr>
  </w:style>
  <w:style w:type="paragraph" w:styleId="Textkomente">
    <w:name w:val="annotation text"/>
    <w:basedOn w:val="Normln"/>
    <w:link w:val="TextkomenteChar"/>
    <w:uiPriority w:val="99"/>
    <w:unhideWhenUsed/>
    <w:rsid w:val="00644823"/>
    <w:rPr>
      <w:sz w:val="20"/>
      <w:szCs w:val="20"/>
    </w:rPr>
  </w:style>
  <w:style w:type="character" w:customStyle="1" w:styleId="TextkomenteChar">
    <w:name w:val="Text komentáře Char"/>
    <w:basedOn w:val="Standardnpsmoodstavce"/>
    <w:link w:val="Textkomente"/>
    <w:uiPriority w:val="99"/>
    <w:rsid w:val="00644823"/>
    <w:rPr>
      <w:sz w:val="20"/>
      <w:szCs w:val="20"/>
    </w:rPr>
  </w:style>
  <w:style w:type="paragraph" w:styleId="Pedmtkomente">
    <w:name w:val="annotation subject"/>
    <w:basedOn w:val="Textkomente"/>
    <w:next w:val="Textkomente"/>
    <w:link w:val="PedmtkomenteChar"/>
    <w:uiPriority w:val="99"/>
    <w:semiHidden/>
    <w:unhideWhenUsed/>
    <w:rsid w:val="00644823"/>
    <w:rPr>
      <w:b/>
      <w:bCs/>
    </w:rPr>
  </w:style>
  <w:style w:type="character" w:customStyle="1" w:styleId="PedmtkomenteChar">
    <w:name w:val="Předmět komentáře Char"/>
    <w:basedOn w:val="TextkomenteChar"/>
    <w:link w:val="Pedmtkomente"/>
    <w:uiPriority w:val="99"/>
    <w:semiHidden/>
    <w:rsid w:val="00644823"/>
    <w:rPr>
      <w:b/>
      <w:bCs/>
      <w:sz w:val="20"/>
      <w:szCs w:val="20"/>
    </w:rPr>
  </w:style>
  <w:style w:type="paragraph" w:styleId="Obsah1">
    <w:name w:val="toc 1"/>
    <w:basedOn w:val="Normln"/>
    <w:next w:val="Normln"/>
    <w:autoRedefine/>
    <w:uiPriority w:val="39"/>
    <w:unhideWhenUsed/>
    <w:rsid w:val="009F7EAF"/>
    <w:pPr>
      <w:spacing w:before="120" w:after="120"/>
    </w:pPr>
    <w:rPr>
      <w:rFonts w:cstheme="minorHAnsi"/>
      <w:b/>
      <w:bCs/>
      <w:caps/>
      <w:sz w:val="20"/>
      <w:szCs w:val="20"/>
    </w:rPr>
  </w:style>
  <w:style w:type="paragraph" w:styleId="Obsah2">
    <w:name w:val="toc 2"/>
    <w:basedOn w:val="Normln"/>
    <w:next w:val="Normln"/>
    <w:autoRedefine/>
    <w:uiPriority w:val="39"/>
    <w:unhideWhenUsed/>
    <w:rsid w:val="009F7EAF"/>
    <w:pPr>
      <w:ind w:left="240"/>
    </w:pPr>
    <w:rPr>
      <w:rFonts w:cstheme="minorHAnsi"/>
      <w:smallCaps/>
      <w:sz w:val="20"/>
      <w:szCs w:val="20"/>
    </w:rPr>
  </w:style>
  <w:style w:type="paragraph" w:styleId="Obsah3">
    <w:name w:val="toc 3"/>
    <w:basedOn w:val="Normln"/>
    <w:next w:val="Normln"/>
    <w:autoRedefine/>
    <w:uiPriority w:val="39"/>
    <w:unhideWhenUsed/>
    <w:rsid w:val="009F7EAF"/>
    <w:pPr>
      <w:ind w:left="480"/>
    </w:pPr>
    <w:rPr>
      <w:rFonts w:cstheme="minorHAnsi"/>
      <w:i/>
      <w:iCs/>
      <w:sz w:val="20"/>
      <w:szCs w:val="20"/>
    </w:rPr>
  </w:style>
  <w:style w:type="paragraph" w:styleId="Obsah4">
    <w:name w:val="toc 4"/>
    <w:basedOn w:val="Normln"/>
    <w:next w:val="Normln"/>
    <w:autoRedefine/>
    <w:uiPriority w:val="39"/>
    <w:unhideWhenUsed/>
    <w:rsid w:val="009F7EAF"/>
    <w:pPr>
      <w:ind w:left="720"/>
    </w:pPr>
    <w:rPr>
      <w:rFonts w:cstheme="minorHAnsi"/>
      <w:sz w:val="18"/>
      <w:szCs w:val="18"/>
    </w:rPr>
  </w:style>
  <w:style w:type="paragraph" w:styleId="Obsah5">
    <w:name w:val="toc 5"/>
    <w:basedOn w:val="Normln"/>
    <w:next w:val="Normln"/>
    <w:autoRedefine/>
    <w:uiPriority w:val="39"/>
    <w:unhideWhenUsed/>
    <w:rsid w:val="009F7EAF"/>
    <w:pPr>
      <w:ind w:left="960"/>
    </w:pPr>
    <w:rPr>
      <w:rFonts w:cstheme="minorHAnsi"/>
      <w:sz w:val="18"/>
      <w:szCs w:val="18"/>
    </w:rPr>
  </w:style>
  <w:style w:type="paragraph" w:styleId="Obsah6">
    <w:name w:val="toc 6"/>
    <w:basedOn w:val="Normln"/>
    <w:next w:val="Normln"/>
    <w:autoRedefine/>
    <w:uiPriority w:val="39"/>
    <w:unhideWhenUsed/>
    <w:rsid w:val="009F7EAF"/>
    <w:pPr>
      <w:ind w:left="1200"/>
    </w:pPr>
    <w:rPr>
      <w:rFonts w:cstheme="minorHAnsi"/>
      <w:sz w:val="18"/>
      <w:szCs w:val="18"/>
    </w:rPr>
  </w:style>
  <w:style w:type="paragraph" w:styleId="Obsah7">
    <w:name w:val="toc 7"/>
    <w:basedOn w:val="Normln"/>
    <w:next w:val="Normln"/>
    <w:autoRedefine/>
    <w:uiPriority w:val="39"/>
    <w:unhideWhenUsed/>
    <w:rsid w:val="009F7EAF"/>
    <w:pPr>
      <w:ind w:left="1440"/>
    </w:pPr>
    <w:rPr>
      <w:rFonts w:cstheme="minorHAnsi"/>
      <w:sz w:val="18"/>
      <w:szCs w:val="18"/>
    </w:rPr>
  </w:style>
  <w:style w:type="paragraph" w:styleId="Obsah8">
    <w:name w:val="toc 8"/>
    <w:basedOn w:val="Normln"/>
    <w:next w:val="Normln"/>
    <w:autoRedefine/>
    <w:uiPriority w:val="39"/>
    <w:unhideWhenUsed/>
    <w:rsid w:val="009F7EAF"/>
    <w:pPr>
      <w:ind w:left="1680"/>
    </w:pPr>
    <w:rPr>
      <w:rFonts w:cstheme="minorHAnsi"/>
      <w:sz w:val="18"/>
      <w:szCs w:val="18"/>
    </w:rPr>
  </w:style>
  <w:style w:type="paragraph" w:styleId="Obsah9">
    <w:name w:val="toc 9"/>
    <w:basedOn w:val="Normln"/>
    <w:next w:val="Normln"/>
    <w:autoRedefine/>
    <w:uiPriority w:val="39"/>
    <w:unhideWhenUsed/>
    <w:rsid w:val="009F7EAF"/>
    <w:pPr>
      <w:ind w:left="1920"/>
    </w:pPr>
    <w:rPr>
      <w:rFonts w:cstheme="minorHAnsi"/>
      <w:sz w:val="18"/>
      <w:szCs w:val="18"/>
    </w:rPr>
  </w:style>
  <w:style w:type="character" w:styleId="Hypertextovodkaz">
    <w:name w:val="Hyperlink"/>
    <w:basedOn w:val="Standardnpsmoodstavce"/>
    <w:uiPriority w:val="99"/>
    <w:unhideWhenUsed/>
    <w:rsid w:val="009F7EAF"/>
    <w:rPr>
      <w:color w:val="0563C1" w:themeColor="hyperlink"/>
      <w:u w:val="single"/>
    </w:rPr>
  </w:style>
  <w:style w:type="paragraph" w:styleId="Zhlav">
    <w:name w:val="header"/>
    <w:basedOn w:val="Normln"/>
    <w:link w:val="ZhlavChar"/>
    <w:uiPriority w:val="99"/>
    <w:unhideWhenUsed/>
    <w:rsid w:val="009F7EAF"/>
    <w:pPr>
      <w:tabs>
        <w:tab w:val="center" w:pos="4536"/>
        <w:tab w:val="right" w:pos="9072"/>
      </w:tabs>
    </w:pPr>
  </w:style>
  <w:style w:type="character" w:customStyle="1" w:styleId="ZhlavChar">
    <w:name w:val="Záhlaví Char"/>
    <w:basedOn w:val="Standardnpsmoodstavce"/>
    <w:link w:val="Zhlav"/>
    <w:uiPriority w:val="99"/>
    <w:rsid w:val="009F7EAF"/>
  </w:style>
  <w:style w:type="paragraph" w:styleId="Zpat">
    <w:name w:val="footer"/>
    <w:basedOn w:val="Normln"/>
    <w:link w:val="ZpatChar"/>
    <w:uiPriority w:val="99"/>
    <w:unhideWhenUsed/>
    <w:rsid w:val="009F7EAF"/>
    <w:pPr>
      <w:tabs>
        <w:tab w:val="center" w:pos="4536"/>
        <w:tab w:val="right" w:pos="9072"/>
      </w:tabs>
    </w:pPr>
  </w:style>
  <w:style w:type="character" w:customStyle="1" w:styleId="ZpatChar">
    <w:name w:val="Zápatí Char"/>
    <w:basedOn w:val="Standardnpsmoodstavce"/>
    <w:link w:val="Zpat"/>
    <w:uiPriority w:val="99"/>
    <w:rsid w:val="009F7EAF"/>
  </w:style>
  <w:style w:type="character" w:styleId="slostrnky">
    <w:name w:val="page number"/>
    <w:basedOn w:val="Standardnpsmoodstavce"/>
    <w:uiPriority w:val="99"/>
    <w:semiHidden/>
    <w:unhideWhenUsed/>
    <w:rsid w:val="00EA007B"/>
  </w:style>
  <w:style w:type="paragraph" w:styleId="Textbubliny">
    <w:name w:val="Balloon Text"/>
    <w:basedOn w:val="Normln"/>
    <w:link w:val="TextbublinyChar"/>
    <w:uiPriority w:val="99"/>
    <w:semiHidden/>
    <w:unhideWhenUsed/>
    <w:rsid w:val="006B68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684F"/>
    <w:rPr>
      <w:rFonts w:ascii="Segoe UI" w:eastAsiaTheme="minorEastAsia" w:hAnsi="Segoe UI" w:cs="Segoe UI"/>
      <w:sz w:val="18"/>
      <w:szCs w:val="18"/>
    </w:rPr>
  </w:style>
  <w:style w:type="paragraph" w:customStyle="1" w:styleId="elementtoproof">
    <w:name w:val="elementtoproof"/>
    <w:basedOn w:val="Normln"/>
    <w:rsid w:val="00E60A52"/>
    <w:rPr>
      <w:rFonts w:ascii="Calibri" w:eastAsiaTheme="minorHAnsi" w:hAnsi="Calibri" w:cs="Calibri"/>
      <w:sz w:val="22"/>
      <w:szCs w:val="22"/>
      <w:lang w:eastAsia="cs-CZ"/>
    </w:rPr>
  </w:style>
  <w:style w:type="paragraph" w:styleId="Revize">
    <w:name w:val="Revision"/>
    <w:hidden/>
    <w:uiPriority w:val="99"/>
    <w:semiHidden/>
    <w:rsid w:val="00780C65"/>
    <w:rPr>
      <w:rFonts w:eastAsiaTheme="minorEastAsia"/>
    </w:rPr>
  </w:style>
  <w:style w:type="table" w:styleId="Mkatabulky">
    <w:name w:val="Table Grid"/>
    <w:basedOn w:val="Normlntabulka"/>
    <w:uiPriority w:val="39"/>
    <w:rsid w:val="00D5029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1">
    <w:name w:val="Seznam (1)"/>
    <w:basedOn w:val="Normln"/>
    <w:rsid w:val="000A20AA"/>
    <w:pPr>
      <w:numPr>
        <w:numId w:val="45"/>
      </w:numPr>
      <w:tabs>
        <w:tab w:val="left" w:pos="567"/>
      </w:tabs>
      <w:spacing w:before="12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041">
      <w:bodyDiv w:val="1"/>
      <w:marLeft w:val="0"/>
      <w:marRight w:val="0"/>
      <w:marTop w:val="0"/>
      <w:marBottom w:val="0"/>
      <w:divBdr>
        <w:top w:val="none" w:sz="0" w:space="0" w:color="auto"/>
        <w:left w:val="none" w:sz="0" w:space="0" w:color="auto"/>
        <w:bottom w:val="none" w:sz="0" w:space="0" w:color="auto"/>
        <w:right w:val="none" w:sz="0" w:space="0" w:color="auto"/>
      </w:divBdr>
    </w:div>
    <w:div w:id="51318088">
      <w:bodyDiv w:val="1"/>
      <w:marLeft w:val="0"/>
      <w:marRight w:val="0"/>
      <w:marTop w:val="0"/>
      <w:marBottom w:val="0"/>
      <w:divBdr>
        <w:top w:val="none" w:sz="0" w:space="0" w:color="auto"/>
        <w:left w:val="none" w:sz="0" w:space="0" w:color="auto"/>
        <w:bottom w:val="none" w:sz="0" w:space="0" w:color="auto"/>
        <w:right w:val="none" w:sz="0" w:space="0" w:color="auto"/>
      </w:divBdr>
    </w:div>
    <w:div w:id="77094008">
      <w:bodyDiv w:val="1"/>
      <w:marLeft w:val="0"/>
      <w:marRight w:val="0"/>
      <w:marTop w:val="0"/>
      <w:marBottom w:val="0"/>
      <w:divBdr>
        <w:top w:val="none" w:sz="0" w:space="0" w:color="auto"/>
        <w:left w:val="none" w:sz="0" w:space="0" w:color="auto"/>
        <w:bottom w:val="none" w:sz="0" w:space="0" w:color="auto"/>
        <w:right w:val="none" w:sz="0" w:space="0" w:color="auto"/>
      </w:divBdr>
    </w:div>
    <w:div w:id="124084656">
      <w:bodyDiv w:val="1"/>
      <w:marLeft w:val="0"/>
      <w:marRight w:val="0"/>
      <w:marTop w:val="0"/>
      <w:marBottom w:val="0"/>
      <w:divBdr>
        <w:top w:val="none" w:sz="0" w:space="0" w:color="auto"/>
        <w:left w:val="none" w:sz="0" w:space="0" w:color="auto"/>
        <w:bottom w:val="none" w:sz="0" w:space="0" w:color="auto"/>
        <w:right w:val="none" w:sz="0" w:space="0" w:color="auto"/>
      </w:divBdr>
    </w:div>
    <w:div w:id="154417235">
      <w:bodyDiv w:val="1"/>
      <w:marLeft w:val="0"/>
      <w:marRight w:val="0"/>
      <w:marTop w:val="0"/>
      <w:marBottom w:val="0"/>
      <w:divBdr>
        <w:top w:val="none" w:sz="0" w:space="0" w:color="auto"/>
        <w:left w:val="none" w:sz="0" w:space="0" w:color="auto"/>
        <w:bottom w:val="none" w:sz="0" w:space="0" w:color="auto"/>
        <w:right w:val="none" w:sz="0" w:space="0" w:color="auto"/>
      </w:divBdr>
    </w:div>
    <w:div w:id="182400471">
      <w:bodyDiv w:val="1"/>
      <w:marLeft w:val="0"/>
      <w:marRight w:val="0"/>
      <w:marTop w:val="0"/>
      <w:marBottom w:val="0"/>
      <w:divBdr>
        <w:top w:val="none" w:sz="0" w:space="0" w:color="auto"/>
        <w:left w:val="none" w:sz="0" w:space="0" w:color="auto"/>
        <w:bottom w:val="none" w:sz="0" w:space="0" w:color="auto"/>
        <w:right w:val="none" w:sz="0" w:space="0" w:color="auto"/>
      </w:divBdr>
    </w:div>
    <w:div w:id="197201029">
      <w:bodyDiv w:val="1"/>
      <w:marLeft w:val="0"/>
      <w:marRight w:val="0"/>
      <w:marTop w:val="0"/>
      <w:marBottom w:val="0"/>
      <w:divBdr>
        <w:top w:val="none" w:sz="0" w:space="0" w:color="auto"/>
        <w:left w:val="none" w:sz="0" w:space="0" w:color="auto"/>
        <w:bottom w:val="none" w:sz="0" w:space="0" w:color="auto"/>
        <w:right w:val="none" w:sz="0" w:space="0" w:color="auto"/>
      </w:divBdr>
    </w:div>
    <w:div w:id="239754780">
      <w:bodyDiv w:val="1"/>
      <w:marLeft w:val="0"/>
      <w:marRight w:val="0"/>
      <w:marTop w:val="0"/>
      <w:marBottom w:val="0"/>
      <w:divBdr>
        <w:top w:val="none" w:sz="0" w:space="0" w:color="auto"/>
        <w:left w:val="none" w:sz="0" w:space="0" w:color="auto"/>
        <w:bottom w:val="none" w:sz="0" w:space="0" w:color="auto"/>
        <w:right w:val="none" w:sz="0" w:space="0" w:color="auto"/>
      </w:divBdr>
    </w:div>
    <w:div w:id="315453181">
      <w:bodyDiv w:val="1"/>
      <w:marLeft w:val="0"/>
      <w:marRight w:val="0"/>
      <w:marTop w:val="0"/>
      <w:marBottom w:val="0"/>
      <w:divBdr>
        <w:top w:val="none" w:sz="0" w:space="0" w:color="auto"/>
        <w:left w:val="none" w:sz="0" w:space="0" w:color="auto"/>
        <w:bottom w:val="none" w:sz="0" w:space="0" w:color="auto"/>
        <w:right w:val="none" w:sz="0" w:space="0" w:color="auto"/>
      </w:divBdr>
    </w:div>
    <w:div w:id="363599784">
      <w:bodyDiv w:val="1"/>
      <w:marLeft w:val="0"/>
      <w:marRight w:val="0"/>
      <w:marTop w:val="0"/>
      <w:marBottom w:val="0"/>
      <w:divBdr>
        <w:top w:val="none" w:sz="0" w:space="0" w:color="auto"/>
        <w:left w:val="none" w:sz="0" w:space="0" w:color="auto"/>
        <w:bottom w:val="none" w:sz="0" w:space="0" w:color="auto"/>
        <w:right w:val="none" w:sz="0" w:space="0" w:color="auto"/>
      </w:divBdr>
    </w:div>
    <w:div w:id="491602652">
      <w:bodyDiv w:val="1"/>
      <w:marLeft w:val="0"/>
      <w:marRight w:val="0"/>
      <w:marTop w:val="0"/>
      <w:marBottom w:val="0"/>
      <w:divBdr>
        <w:top w:val="none" w:sz="0" w:space="0" w:color="auto"/>
        <w:left w:val="none" w:sz="0" w:space="0" w:color="auto"/>
        <w:bottom w:val="none" w:sz="0" w:space="0" w:color="auto"/>
        <w:right w:val="none" w:sz="0" w:space="0" w:color="auto"/>
      </w:divBdr>
    </w:div>
    <w:div w:id="524096521">
      <w:bodyDiv w:val="1"/>
      <w:marLeft w:val="0"/>
      <w:marRight w:val="0"/>
      <w:marTop w:val="0"/>
      <w:marBottom w:val="0"/>
      <w:divBdr>
        <w:top w:val="none" w:sz="0" w:space="0" w:color="auto"/>
        <w:left w:val="none" w:sz="0" w:space="0" w:color="auto"/>
        <w:bottom w:val="none" w:sz="0" w:space="0" w:color="auto"/>
        <w:right w:val="none" w:sz="0" w:space="0" w:color="auto"/>
      </w:divBdr>
    </w:div>
    <w:div w:id="534004586">
      <w:bodyDiv w:val="1"/>
      <w:marLeft w:val="0"/>
      <w:marRight w:val="0"/>
      <w:marTop w:val="0"/>
      <w:marBottom w:val="0"/>
      <w:divBdr>
        <w:top w:val="none" w:sz="0" w:space="0" w:color="auto"/>
        <w:left w:val="none" w:sz="0" w:space="0" w:color="auto"/>
        <w:bottom w:val="none" w:sz="0" w:space="0" w:color="auto"/>
        <w:right w:val="none" w:sz="0" w:space="0" w:color="auto"/>
      </w:divBdr>
    </w:div>
    <w:div w:id="555898708">
      <w:bodyDiv w:val="1"/>
      <w:marLeft w:val="0"/>
      <w:marRight w:val="0"/>
      <w:marTop w:val="0"/>
      <w:marBottom w:val="0"/>
      <w:divBdr>
        <w:top w:val="none" w:sz="0" w:space="0" w:color="auto"/>
        <w:left w:val="none" w:sz="0" w:space="0" w:color="auto"/>
        <w:bottom w:val="none" w:sz="0" w:space="0" w:color="auto"/>
        <w:right w:val="none" w:sz="0" w:space="0" w:color="auto"/>
      </w:divBdr>
    </w:div>
    <w:div w:id="601884724">
      <w:bodyDiv w:val="1"/>
      <w:marLeft w:val="0"/>
      <w:marRight w:val="0"/>
      <w:marTop w:val="0"/>
      <w:marBottom w:val="0"/>
      <w:divBdr>
        <w:top w:val="none" w:sz="0" w:space="0" w:color="auto"/>
        <w:left w:val="none" w:sz="0" w:space="0" w:color="auto"/>
        <w:bottom w:val="none" w:sz="0" w:space="0" w:color="auto"/>
        <w:right w:val="none" w:sz="0" w:space="0" w:color="auto"/>
      </w:divBdr>
    </w:div>
    <w:div w:id="682517534">
      <w:bodyDiv w:val="1"/>
      <w:marLeft w:val="0"/>
      <w:marRight w:val="0"/>
      <w:marTop w:val="0"/>
      <w:marBottom w:val="0"/>
      <w:divBdr>
        <w:top w:val="none" w:sz="0" w:space="0" w:color="auto"/>
        <w:left w:val="none" w:sz="0" w:space="0" w:color="auto"/>
        <w:bottom w:val="none" w:sz="0" w:space="0" w:color="auto"/>
        <w:right w:val="none" w:sz="0" w:space="0" w:color="auto"/>
      </w:divBdr>
    </w:div>
    <w:div w:id="683048899">
      <w:bodyDiv w:val="1"/>
      <w:marLeft w:val="0"/>
      <w:marRight w:val="0"/>
      <w:marTop w:val="0"/>
      <w:marBottom w:val="0"/>
      <w:divBdr>
        <w:top w:val="none" w:sz="0" w:space="0" w:color="auto"/>
        <w:left w:val="none" w:sz="0" w:space="0" w:color="auto"/>
        <w:bottom w:val="none" w:sz="0" w:space="0" w:color="auto"/>
        <w:right w:val="none" w:sz="0" w:space="0" w:color="auto"/>
      </w:divBdr>
    </w:div>
    <w:div w:id="782505885">
      <w:bodyDiv w:val="1"/>
      <w:marLeft w:val="0"/>
      <w:marRight w:val="0"/>
      <w:marTop w:val="0"/>
      <w:marBottom w:val="0"/>
      <w:divBdr>
        <w:top w:val="none" w:sz="0" w:space="0" w:color="auto"/>
        <w:left w:val="none" w:sz="0" w:space="0" w:color="auto"/>
        <w:bottom w:val="none" w:sz="0" w:space="0" w:color="auto"/>
        <w:right w:val="none" w:sz="0" w:space="0" w:color="auto"/>
      </w:divBdr>
    </w:div>
    <w:div w:id="805778048">
      <w:bodyDiv w:val="1"/>
      <w:marLeft w:val="0"/>
      <w:marRight w:val="0"/>
      <w:marTop w:val="0"/>
      <w:marBottom w:val="0"/>
      <w:divBdr>
        <w:top w:val="none" w:sz="0" w:space="0" w:color="auto"/>
        <w:left w:val="none" w:sz="0" w:space="0" w:color="auto"/>
        <w:bottom w:val="none" w:sz="0" w:space="0" w:color="auto"/>
        <w:right w:val="none" w:sz="0" w:space="0" w:color="auto"/>
      </w:divBdr>
    </w:div>
    <w:div w:id="811288120">
      <w:bodyDiv w:val="1"/>
      <w:marLeft w:val="0"/>
      <w:marRight w:val="0"/>
      <w:marTop w:val="0"/>
      <w:marBottom w:val="0"/>
      <w:divBdr>
        <w:top w:val="none" w:sz="0" w:space="0" w:color="auto"/>
        <w:left w:val="none" w:sz="0" w:space="0" w:color="auto"/>
        <w:bottom w:val="none" w:sz="0" w:space="0" w:color="auto"/>
        <w:right w:val="none" w:sz="0" w:space="0" w:color="auto"/>
      </w:divBdr>
    </w:div>
    <w:div w:id="860242649">
      <w:bodyDiv w:val="1"/>
      <w:marLeft w:val="0"/>
      <w:marRight w:val="0"/>
      <w:marTop w:val="0"/>
      <w:marBottom w:val="0"/>
      <w:divBdr>
        <w:top w:val="none" w:sz="0" w:space="0" w:color="auto"/>
        <w:left w:val="none" w:sz="0" w:space="0" w:color="auto"/>
        <w:bottom w:val="none" w:sz="0" w:space="0" w:color="auto"/>
        <w:right w:val="none" w:sz="0" w:space="0" w:color="auto"/>
      </w:divBdr>
    </w:div>
    <w:div w:id="969482248">
      <w:bodyDiv w:val="1"/>
      <w:marLeft w:val="0"/>
      <w:marRight w:val="0"/>
      <w:marTop w:val="0"/>
      <w:marBottom w:val="0"/>
      <w:divBdr>
        <w:top w:val="none" w:sz="0" w:space="0" w:color="auto"/>
        <w:left w:val="none" w:sz="0" w:space="0" w:color="auto"/>
        <w:bottom w:val="none" w:sz="0" w:space="0" w:color="auto"/>
        <w:right w:val="none" w:sz="0" w:space="0" w:color="auto"/>
      </w:divBdr>
    </w:div>
    <w:div w:id="976493620">
      <w:bodyDiv w:val="1"/>
      <w:marLeft w:val="0"/>
      <w:marRight w:val="0"/>
      <w:marTop w:val="0"/>
      <w:marBottom w:val="0"/>
      <w:divBdr>
        <w:top w:val="none" w:sz="0" w:space="0" w:color="auto"/>
        <w:left w:val="none" w:sz="0" w:space="0" w:color="auto"/>
        <w:bottom w:val="none" w:sz="0" w:space="0" w:color="auto"/>
        <w:right w:val="none" w:sz="0" w:space="0" w:color="auto"/>
      </w:divBdr>
    </w:div>
    <w:div w:id="979270099">
      <w:bodyDiv w:val="1"/>
      <w:marLeft w:val="0"/>
      <w:marRight w:val="0"/>
      <w:marTop w:val="0"/>
      <w:marBottom w:val="0"/>
      <w:divBdr>
        <w:top w:val="none" w:sz="0" w:space="0" w:color="auto"/>
        <w:left w:val="none" w:sz="0" w:space="0" w:color="auto"/>
        <w:bottom w:val="none" w:sz="0" w:space="0" w:color="auto"/>
        <w:right w:val="none" w:sz="0" w:space="0" w:color="auto"/>
      </w:divBdr>
    </w:div>
    <w:div w:id="996802880">
      <w:bodyDiv w:val="1"/>
      <w:marLeft w:val="0"/>
      <w:marRight w:val="0"/>
      <w:marTop w:val="0"/>
      <w:marBottom w:val="0"/>
      <w:divBdr>
        <w:top w:val="none" w:sz="0" w:space="0" w:color="auto"/>
        <w:left w:val="none" w:sz="0" w:space="0" w:color="auto"/>
        <w:bottom w:val="none" w:sz="0" w:space="0" w:color="auto"/>
        <w:right w:val="none" w:sz="0" w:space="0" w:color="auto"/>
      </w:divBdr>
    </w:div>
    <w:div w:id="1065837997">
      <w:bodyDiv w:val="1"/>
      <w:marLeft w:val="0"/>
      <w:marRight w:val="0"/>
      <w:marTop w:val="0"/>
      <w:marBottom w:val="0"/>
      <w:divBdr>
        <w:top w:val="none" w:sz="0" w:space="0" w:color="auto"/>
        <w:left w:val="none" w:sz="0" w:space="0" w:color="auto"/>
        <w:bottom w:val="none" w:sz="0" w:space="0" w:color="auto"/>
        <w:right w:val="none" w:sz="0" w:space="0" w:color="auto"/>
      </w:divBdr>
    </w:div>
    <w:div w:id="1068723380">
      <w:bodyDiv w:val="1"/>
      <w:marLeft w:val="0"/>
      <w:marRight w:val="0"/>
      <w:marTop w:val="0"/>
      <w:marBottom w:val="0"/>
      <w:divBdr>
        <w:top w:val="none" w:sz="0" w:space="0" w:color="auto"/>
        <w:left w:val="none" w:sz="0" w:space="0" w:color="auto"/>
        <w:bottom w:val="none" w:sz="0" w:space="0" w:color="auto"/>
        <w:right w:val="none" w:sz="0" w:space="0" w:color="auto"/>
      </w:divBdr>
    </w:div>
    <w:div w:id="1084498758">
      <w:bodyDiv w:val="1"/>
      <w:marLeft w:val="0"/>
      <w:marRight w:val="0"/>
      <w:marTop w:val="0"/>
      <w:marBottom w:val="0"/>
      <w:divBdr>
        <w:top w:val="none" w:sz="0" w:space="0" w:color="auto"/>
        <w:left w:val="none" w:sz="0" w:space="0" w:color="auto"/>
        <w:bottom w:val="none" w:sz="0" w:space="0" w:color="auto"/>
        <w:right w:val="none" w:sz="0" w:space="0" w:color="auto"/>
      </w:divBdr>
    </w:div>
    <w:div w:id="1115322557">
      <w:bodyDiv w:val="1"/>
      <w:marLeft w:val="0"/>
      <w:marRight w:val="0"/>
      <w:marTop w:val="0"/>
      <w:marBottom w:val="0"/>
      <w:divBdr>
        <w:top w:val="none" w:sz="0" w:space="0" w:color="auto"/>
        <w:left w:val="none" w:sz="0" w:space="0" w:color="auto"/>
        <w:bottom w:val="none" w:sz="0" w:space="0" w:color="auto"/>
        <w:right w:val="none" w:sz="0" w:space="0" w:color="auto"/>
      </w:divBdr>
    </w:div>
    <w:div w:id="1158495663">
      <w:bodyDiv w:val="1"/>
      <w:marLeft w:val="0"/>
      <w:marRight w:val="0"/>
      <w:marTop w:val="0"/>
      <w:marBottom w:val="0"/>
      <w:divBdr>
        <w:top w:val="none" w:sz="0" w:space="0" w:color="auto"/>
        <w:left w:val="none" w:sz="0" w:space="0" w:color="auto"/>
        <w:bottom w:val="none" w:sz="0" w:space="0" w:color="auto"/>
        <w:right w:val="none" w:sz="0" w:space="0" w:color="auto"/>
      </w:divBdr>
    </w:div>
    <w:div w:id="1364743592">
      <w:bodyDiv w:val="1"/>
      <w:marLeft w:val="0"/>
      <w:marRight w:val="0"/>
      <w:marTop w:val="0"/>
      <w:marBottom w:val="0"/>
      <w:divBdr>
        <w:top w:val="none" w:sz="0" w:space="0" w:color="auto"/>
        <w:left w:val="none" w:sz="0" w:space="0" w:color="auto"/>
        <w:bottom w:val="none" w:sz="0" w:space="0" w:color="auto"/>
        <w:right w:val="none" w:sz="0" w:space="0" w:color="auto"/>
      </w:divBdr>
    </w:div>
    <w:div w:id="1440104328">
      <w:bodyDiv w:val="1"/>
      <w:marLeft w:val="0"/>
      <w:marRight w:val="0"/>
      <w:marTop w:val="0"/>
      <w:marBottom w:val="0"/>
      <w:divBdr>
        <w:top w:val="none" w:sz="0" w:space="0" w:color="auto"/>
        <w:left w:val="none" w:sz="0" w:space="0" w:color="auto"/>
        <w:bottom w:val="none" w:sz="0" w:space="0" w:color="auto"/>
        <w:right w:val="none" w:sz="0" w:space="0" w:color="auto"/>
      </w:divBdr>
    </w:div>
    <w:div w:id="1592395668">
      <w:bodyDiv w:val="1"/>
      <w:marLeft w:val="0"/>
      <w:marRight w:val="0"/>
      <w:marTop w:val="0"/>
      <w:marBottom w:val="0"/>
      <w:divBdr>
        <w:top w:val="none" w:sz="0" w:space="0" w:color="auto"/>
        <w:left w:val="none" w:sz="0" w:space="0" w:color="auto"/>
        <w:bottom w:val="none" w:sz="0" w:space="0" w:color="auto"/>
        <w:right w:val="none" w:sz="0" w:space="0" w:color="auto"/>
      </w:divBdr>
    </w:div>
    <w:div w:id="1605307986">
      <w:bodyDiv w:val="1"/>
      <w:marLeft w:val="0"/>
      <w:marRight w:val="0"/>
      <w:marTop w:val="0"/>
      <w:marBottom w:val="0"/>
      <w:divBdr>
        <w:top w:val="none" w:sz="0" w:space="0" w:color="auto"/>
        <w:left w:val="none" w:sz="0" w:space="0" w:color="auto"/>
        <w:bottom w:val="none" w:sz="0" w:space="0" w:color="auto"/>
        <w:right w:val="none" w:sz="0" w:space="0" w:color="auto"/>
      </w:divBdr>
    </w:div>
    <w:div w:id="1627004363">
      <w:bodyDiv w:val="1"/>
      <w:marLeft w:val="0"/>
      <w:marRight w:val="0"/>
      <w:marTop w:val="0"/>
      <w:marBottom w:val="0"/>
      <w:divBdr>
        <w:top w:val="none" w:sz="0" w:space="0" w:color="auto"/>
        <w:left w:val="none" w:sz="0" w:space="0" w:color="auto"/>
        <w:bottom w:val="none" w:sz="0" w:space="0" w:color="auto"/>
        <w:right w:val="none" w:sz="0" w:space="0" w:color="auto"/>
      </w:divBdr>
    </w:div>
    <w:div w:id="1670256522">
      <w:bodyDiv w:val="1"/>
      <w:marLeft w:val="0"/>
      <w:marRight w:val="0"/>
      <w:marTop w:val="0"/>
      <w:marBottom w:val="0"/>
      <w:divBdr>
        <w:top w:val="none" w:sz="0" w:space="0" w:color="auto"/>
        <w:left w:val="none" w:sz="0" w:space="0" w:color="auto"/>
        <w:bottom w:val="none" w:sz="0" w:space="0" w:color="auto"/>
        <w:right w:val="none" w:sz="0" w:space="0" w:color="auto"/>
      </w:divBdr>
    </w:div>
    <w:div w:id="1719743217">
      <w:bodyDiv w:val="1"/>
      <w:marLeft w:val="0"/>
      <w:marRight w:val="0"/>
      <w:marTop w:val="0"/>
      <w:marBottom w:val="0"/>
      <w:divBdr>
        <w:top w:val="none" w:sz="0" w:space="0" w:color="auto"/>
        <w:left w:val="none" w:sz="0" w:space="0" w:color="auto"/>
        <w:bottom w:val="none" w:sz="0" w:space="0" w:color="auto"/>
        <w:right w:val="none" w:sz="0" w:space="0" w:color="auto"/>
      </w:divBdr>
    </w:div>
    <w:div w:id="1784615977">
      <w:bodyDiv w:val="1"/>
      <w:marLeft w:val="0"/>
      <w:marRight w:val="0"/>
      <w:marTop w:val="0"/>
      <w:marBottom w:val="0"/>
      <w:divBdr>
        <w:top w:val="none" w:sz="0" w:space="0" w:color="auto"/>
        <w:left w:val="none" w:sz="0" w:space="0" w:color="auto"/>
        <w:bottom w:val="none" w:sz="0" w:space="0" w:color="auto"/>
        <w:right w:val="none" w:sz="0" w:space="0" w:color="auto"/>
      </w:divBdr>
    </w:div>
    <w:div w:id="1861309137">
      <w:bodyDiv w:val="1"/>
      <w:marLeft w:val="0"/>
      <w:marRight w:val="0"/>
      <w:marTop w:val="0"/>
      <w:marBottom w:val="0"/>
      <w:divBdr>
        <w:top w:val="none" w:sz="0" w:space="0" w:color="auto"/>
        <w:left w:val="none" w:sz="0" w:space="0" w:color="auto"/>
        <w:bottom w:val="none" w:sz="0" w:space="0" w:color="auto"/>
        <w:right w:val="none" w:sz="0" w:space="0" w:color="auto"/>
      </w:divBdr>
    </w:div>
    <w:div w:id="1901281385">
      <w:bodyDiv w:val="1"/>
      <w:marLeft w:val="0"/>
      <w:marRight w:val="0"/>
      <w:marTop w:val="0"/>
      <w:marBottom w:val="0"/>
      <w:divBdr>
        <w:top w:val="none" w:sz="0" w:space="0" w:color="auto"/>
        <w:left w:val="none" w:sz="0" w:space="0" w:color="auto"/>
        <w:bottom w:val="none" w:sz="0" w:space="0" w:color="auto"/>
        <w:right w:val="none" w:sz="0" w:space="0" w:color="auto"/>
      </w:divBdr>
    </w:div>
    <w:div w:id="1903564600">
      <w:bodyDiv w:val="1"/>
      <w:marLeft w:val="0"/>
      <w:marRight w:val="0"/>
      <w:marTop w:val="0"/>
      <w:marBottom w:val="0"/>
      <w:divBdr>
        <w:top w:val="none" w:sz="0" w:space="0" w:color="auto"/>
        <w:left w:val="none" w:sz="0" w:space="0" w:color="auto"/>
        <w:bottom w:val="none" w:sz="0" w:space="0" w:color="auto"/>
        <w:right w:val="none" w:sz="0" w:space="0" w:color="auto"/>
      </w:divBdr>
    </w:div>
    <w:div w:id="1922518389">
      <w:bodyDiv w:val="1"/>
      <w:marLeft w:val="0"/>
      <w:marRight w:val="0"/>
      <w:marTop w:val="0"/>
      <w:marBottom w:val="0"/>
      <w:divBdr>
        <w:top w:val="none" w:sz="0" w:space="0" w:color="auto"/>
        <w:left w:val="none" w:sz="0" w:space="0" w:color="auto"/>
        <w:bottom w:val="none" w:sz="0" w:space="0" w:color="auto"/>
        <w:right w:val="none" w:sz="0" w:space="0" w:color="auto"/>
      </w:divBdr>
    </w:div>
    <w:div w:id="1927182482">
      <w:bodyDiv w:val="1"/>
      <w:marLeft w:val="0"/>
      <w:marRight w:val="0"/>
      <w:marTop w:val="0"/>
      <w:marBottom w:val="0"/>
      <w:divBdr>
        <w:top w:val="none" w:sz="0" w:space="0" w:color="auto"/>
        <w:left w:val="none" w:sz="0" w:space="0" w:color="auto"/>
        <w:bottom w:val="none" w:sz="0" w:space="0" w:color="auto"/>
        <w:right w:val="none" w:sz="0" w:space="0" w:color="auto"/>
      </w:divBdr>
    </w:div>
    <w:div w:id="1971589016">
      <w:bodyDiv w:val="1"/>
      <w:marLeft w:val="0"/>
      <w:marRight w:val="0"/>
      <w:marTop w:val="0"/>
      <w:marBottom w:val="0"/>
      <w:divBdr>
        <w:top w:val="none" w:sz="0" w:space="0" w:color="auto"/>
        <w:left w:val="none" w:sz="0" w:space="0" w:color="auto"/>
        <w:bottom w:val="none" w:sz="0" w:space="0" w:color="auto"/>
        <w:right w:val="none" w:sz="0" w:space="0" w:color="auto"/>
      </w:divBdr>
    </w:div>
    <w:div w:id="2004702255">
      <w:bodyDiv w:val="1"/>
      <w:marLeft w:val="0"/>
      <w:marRight w:val="0"/>
      <w:marTop w:val="0"/>
      <w:marBottom w:val="0"/>
      <w:divBdr>
        <w:top w:val="none" w:sz="0" w:space="0" w:color="auto"/>
        <w:left w:val="none" w:sz="0" w:space="0" w:color="auto"/>
        <w:bottom w:val="none" w:sz="0" w:space="0" w:color="auto"/>
        <w:right w:val="none" w:sz="0" w:space="0" w:color="auto"/>
      </w:divBdr>
    </w:div>
    <w:div w:id="2022470853">
      <w:bodyDiv w:val="1"/>
      <w:marLeft w:val="0"/>
      <w:marRight w:val="0"/>
      <w:marTop w:val="0"/>
      <w:marBottom w:val="0"/>
      <w:divBdr>
        <w:top w:val="none" w:sz="0" w:space="0" w:color="auto"/>
        <w:left w:val="none" w:sz="0" w:space="0" w:color="auto"/>
        <w:bottom w:val="none" w:sz="0" w:space="0" w:color="auto"/>
        <w:right w:val="none" w:sz="0" w:space="0" w:color="auto"/>
      </w:divBdr>
    </w:div>
    <w:div w:id="213204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l.cnb.cz/apljerrsdad/JERRS.WEB07.INTRO_PAGE?p_lang=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l.cnb.cz/apljerrsdad/JERRS.WEB07.INTRO_PAGE?p_lang=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7170dc2-2ea7-4214-b459-30b77cc459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8" ma:contentTypeDescription="Vytvoří nový dokument" ma:contentTypeScope="" ma:versionID="ef3fddae705c888608b91d2630c5d51c">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d858c832ac701eaaa84c1500da1ffd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1DADA-3866-4E3D-88AB-8D05412C2280}">
  <ds:schemaRefs>
    <ds:schemaRef ds:uri="http://schemas.microsoft.com/sharepoint/v3/contenttype/forms"/>
  </ds:schemaRefs>
</ds:datastoreItem>
</file>

<file path=customXml/itemProps2.xml><?xml version="1.0" encoding="utf-8"?>
<ds:datastoreItem xmlns:ds="http://schemas.openxmlformats.org/officeDocument/2006/customXml" ds:itemID="{03118132-B9D6-4C87-8C22-7FA15094E3BA}">
  <ds:schemaRefs>
    <ds:schemaRef ds:uri="http://schemas.openxmlformats.org/officeDocument/2006/bibliography"/>
  </ds:schemaRefs>
</ds:datastoreItem>
</file>

<file path=customXml/itemProps3.xml><?xml version="1.0" encoding="utf-8"?>
<ds:datastoreItem xmlns:ds="http://schemas.openxmlformats.org/officeDocument/2006/customXml" ds:itemID="{55C6153B-A332-4D86-B26A-7F43CB173F58}">
  <ds:schemaRefs>
    <ds:schemaRef ds:uri="http://schemas.microsoft.com/office/2006/metadata/properties"/>
    <ds:schemaRef ds:uri="http://schemas.microsoft.com/office/infopath/2007/PartnerControls"/>
    <ds:schemaRef ds:uri="07170dc2-2ea7-4214-b459-30b77cc4591b"/>
  </ds:schemaRefs>
</ds:datastoreItem>
</file>

<file path=customXml/itemProps4.xml><?xml version="1.0" encoding="utf-8"?>
<ds:datastoreItem xmlns:ds="http://schemas.openxmlformats.org/officeDocument/2006/customXml" ds:itemID="{07D0E302-EDF0-4684-80DB-830601A2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42</Pages>
  <Words>12299</Words>
  <Characters>60884</Characters>
  <Application>Microsoft Office Word</Application>
  <DocSecurity>0</DocSecurity>
  <Lines>3805</Lines>
  <Paragraphs>3049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Mgr. Milan Adámek, Ph.D.</dc:creator>
  <cp:keywords/>
  <dc:description/>
  <cp:lastModifiedBy>Petra Jungová</cp:lastModifiedBy>
  <cp:revision>202</cp:revision>
  <cp:lastPrinted>2025-03-28T14:38:00Z</cp:lastPrinted>
  <dcterms:created xsi:type="dcterms:W3CDTF">2026-04-29T06:53:00Z</dcterms:created>
  <dcterms:modified xsi:type="dcterms:W3CDTF">2026-05-04T20:09:00Z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