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C8F6" w14:textId="77777777" w:rsidR="00F470FF" w:rsidRDefault="001A54DC">
      <w:pPr>
        <w:spacing w:after="0" w:line="259" w:lineRule="auto"/>
        <w:ind w:left="65" w:right="0" w:firstLine="0"/>
        <w:jc w:val="center"/>
      </w:pPr>
      <w:r>
        <w:rPr>
          <w:sz w:val="28"/>
        </w:rPr>
        <w:t xml:space="preserve"> </w:t>
      </w:r>
    </w:p>
    <w:tbl>
      <w:tblPr>
        <w:tblStyle w:val="TableGrid"/>
        <w:tblW w:w="9525" w:type="dxa"/>
        <w:tblInd w:w="-223" w:type="dxa"/>
        <w:tblCellMar>
          <w:top w:w="64" w:type="dxa"/>
          <w:left w:w="70" w:type="dxa"/>
          <w:right w:w="76" w:type="dxa"/>
        </w:tblCellMar>
        <w:tblLook w:val="04A0" w:firstRow="1" w:lastRow="0" w:firstColumn="1" w:lastColumn="0" w:noHBand="0" w:noVBand="1"/>
      </w:tblPr>
      <w:tblGrid>
        <w:gridCol w:w="2894"/>
        <w:gridCol w:w="3131"/>
        <w:gridCol w:w="3500"/>
      </w:tblGrid>
      <w:tr w:rsidR="00370682" w14:paraId="27CFA1AE" w14:textId="77777777" w:rsidTr="0058184D">
        <w:trPr>
          <w:trHeight w:val="305"/>
        </w:trPr>
        <w:tc>
          <w:tcPr>
            <w:tcW w:w="2894" w:type="dxa"/>
            <w:tcBorders>
              <w:top w:val="double" w:sz="6" w:space="0" w:color="000000"/>
              <w:left w:val="double" w:sz="6" w:space="0" w:color="000000"/>
              <w:bottom w:val="single" w:sz="6" w:space="0" w:color="000000"/>
              <w:right w:val="single" w:sz="6" w:space="0" w:color="000000"/>
            </w:tcBorders>
          </w:tcPr>
          <w:p w14:paraId="24396281" w14:textId="530FB782" w:rsidR="00370682" w:rsidRDefault="00370682" w:rsidP="00370682">
            <w:pPr>
              <w:spacing w:after="0" w:line="259" w:lineRule="auto"/>
              <w:ind w:left="0" w:right="0" w:firstLine="0"/>
              <w:jc w:val="left"/>
            </w:pPr>
            <w:bookmarkStart w:id="0" w:name="_Hlk228986983"/>
            <w:r>
              <w:t xml:space="preserve">Kód: </w:t>
            </w:r>
          </w:p>
        </w:tc>
        <w:tc>
          <w:tcPr>
            <w:tcW w:w="6631" w:type="dxa"/>
            <w:gridSpan w:val="2"/>
            <w:tcBorders>
              <w:top w:val="double" w:sz="6" w:space="0" w:color="000000"/>
              <w:left w:val="single" w:sz="6" w:space="0" w:color="000000"/>
              <w:bottom w:val="single" w:sz="6" w:space="0" w:color="000000"/>
              <w:right w:val="double" w:sz="6" w:space="0" w:color="000000"/>
            </w:tcBorders>
          </w:tcPr>
          <w:p w14:paraId="4884C03C" w14:textId="1CFFEB0B" w:rsidR="00370682" w:rsidRDefault="00370682" w:rsidP="00370682">
            <w:pPr>
              <w:spacing w:after="0" w:line="259" w:lineRule="auto"/>
              <w:ind w:left="3" w:right="0" w:firstLine="0"/>
              <w:jc w:val="left"/>
            </w:pPr>
            <w:r>
              <w:t>SR/</w:t>
            </w:r>
            <w:proofErr w:type="spellStart"/>
            <w:r>
              <w:t>xx</w:t>
            </w:r>
            <w:proofErr w:type="spellEnd"/>
            <w:r>
              <w:t xml:space="preserve">/2026   </w:t>
            </w:r>
          </w:p>
        </w:tc>
      </w:tr>
      <w:tr w:rsidR="00370682" w14:paraId="24FD84F5" w14:textId="77777777" w:rsidTr="0058184D">
        <w:trPr>
          <w:trHeight w:val="293"/>
        </w:trPr>
        <w:tc>
          <w:tcPr>
            <w:tcW w:w="2894" w:type="dxa"/>
            <w:tcBorders>
              <w:top w:val="single" w:sz="6" w:space="0" w:color="000000"/>
              <w:left w:val="double" w:sz="6" w:space="0" w:color="000000"/>
              <w:bottom w:val="single" w:sz="6" w:space="0" w:color="000000"/>
              <w:right w:val="single" w:sz="6" w:space="0" w:color="000000"/>
            </w:tcBorders>
          </w:tcPr>
          <w:p w14:paraId="637A488E" w14:textId="20E8BF4B" w:rsidR="00370682" w:rsidRDefault="00370682" w:rsidP="00370682">
            <w:pPr>
              <w:spacing w:after="0" w:line="259" w:lineRule="auto"/>
              <w:ind w:left="0" w:right="0" w:firstLine="0"/>
              <w:jc w:val="left"/>
            </w:pPr>
            <w:r>
              <w:t xml:space="preserve">Druh: </w:t>
            </w:r>
          </w:p>
        </w:tc>
        <w:tc>
          <w:tcPr>
            <w:tcW w:w="6631" w:type="dxa"/>
            <w:gridSpan w:val="2"/>
            <w:tcBorders>
              <w:top w:val="single" w:sz="6" w:space="0" w:color="000000"/>
              <w:left w:val="single" w:sz="6" w:space="0" w:color="000000"/>
              <w:bottom w:val="single" w:sz="6" w:space="0" w:color="000000"/>
              <w:right w:val="double" w:sz="6" w:space="0" w:color="000000"/>
            </w:tcBorders>
          </w:tcPr>
          <w:p w14:paraId="653E6034" w14:textId="2EB2E06B" w:rsidR="00370682" w:rsidRDefault="00370682" w:rsidP="00370682">
            <w:pPr>
              <w:spacing w:after="0" w:line="259" w:lineRule="auto"/>
              <w:ind w:left="3" w:right="0" w:firstLine="0"/>
              <w:jc w:val="left"/>
            </w:pPr>
            <w:r>
              <w:t xml:space="preserve">SMĚRNICE REKTORA  </w:t>
            </w:r>
          </w:p>
        </w:tc>
      </w:tr>
      <w:tr w:rsidR="00370682" w14:paraId="52D8DBDC" w14:textId="77777777" w:rsidTr="0058184D">
        <w:trPr>
          <w:trHeight w:val="290"/>
        </w:trPr>
        <w:tc>
          <w:tcPr>
            <w:tcW w:w="2894" w:type="dxa"/>
            <w:tcBorders>
              <w:top w:val="single" w:sz="6" w:space="0" w:color="000000"/>
              <w:left w:val="double" w:sz="6" w:space="0" w:color="000000"/>
              <w:bottom w:val="single" w:sz="6" w:space="0" w:color="000000"/>
              <w:right w:val="single" w:sz="6" w:space="0" w:color="000000"/>
            </w:tcBorders>
          </w:tcPr>
          <w:p w14:paraId="2CE26B38" w14:textId="1F582710" w:rsidR="00370682" w:rsidRDefault="00370682" w:rsidP="00370682">
            <w:pPr>
              <w:spacing w:after="0" w:line="259" w:lineRule="auto"/>
              <w:ind w:left="0" w:right="0" w:firstLine="0"/>
            </w:pPr>
            <w:r>
              <w:t>Číslo jednací:</w:t>
            </w:r>
          </w:p>
        </w:tc>
        <w:tc>
          <w:tcPr>
            <w:tcW w:w="6631" w:type="dxa"/>
            <w:gridSpan w:val="2"/>
            <w:tcBorders>
              <w:top w:val="single" w:sz="6" w:space="0" w:color="000000"/>
              <w:left w:val="single" w:sz="6" w:space="0" w:color="000000"/>
              <w:bottom w:val="single" w:sz="6" w:space="0" w:color="000000"/>
              <w:right w:val="double" w:sz="6" w:space="0" w:color="000000"/>
            </w:tcBorders>
          </w:tcPr>
          <w:p w14:paraId="05381060" w14:textId="13DF6183" w:rsidR="00370682" w:rsidRDefault="00370682" w:rsidP="00370682">
            <w:pPr>
              <w:spacing w:after="0" w:line="259" w:lineRule="auto"/>
              <w:ind w:left="3" w:right="0" w:firstLine="0"/>
              <w:jc w:val="left"/>
            </w:pPr>
            <w:r>
              <w:t>UTB/26/</w:t>
            </w:r>
            <w:proofErr w:type="spellStart"/>
            <w:r>
              <w:t>xxxxxx</w:t>
            </w:r>
            <w:proofErr w:type="spellEnd"/>
          </w:p>
        </w:tc>
      </w:tr>
      <w:tr w:rsidR="00370682" w14:paraId="2ED22EF9" w14:textId="77777777" w:rsidTr="0058184D">
        <w:trPr>
          <w:trHeight w:val="290"/>
        </w:trPr>
        <w:tc>
          <w:tcPr>
            <w:tcW w:w="2894" w:type="dxa"/>
            <w:tcBorders>
              <w:top w:val="single" w:sz="6" w:space="0" w:color="000000"/>
              <w:left w:val="double" w:sz="6" w:space="0" w:color="000000"/>
              <w:bottom w:val="single" w:sz="6" w:space="0" w:color="000000"/>
              <w:right w:val="single" w:sz="6" w:space="0" w:color="000000"/>
            </w:tcBorders>
          </w:tcPr>
          <w:p w14:paraId="64776E79" w14:textId="7BACAA1D" w:rsidR="00370682" w:rsidRDefault="00370682" w:rsidP="00370682">
            <w:pPr>
              <w:spacing w:after="0" w:line="259" w:lineRule="auto"/>
              <w:ind w:left="0" w:right="0" w:firstLine="0"/>
              <w:jc w:val="left"/>
            </w:pPr>
            <w:r>
              <w:t>Klasifikace dokumentu:</w:t>
            </w:r>
          </w:p>
        </w:tc>
        <w:tc>
          <w:tcPr>
            <w:tcW w:w="6631" w:type="dxa"/>
            <w:gridSpan w:val="2"/>
            <w:tcBorders>
              <w:top w:val="single" w:sz="6" w:space="0" w:color="000000"/>
              <w:left w:val="single" w:sz="6" w:space="0" w:color="000000"/>
              <w:bottom w:val="single" w:sz="6" w:space="0" w:color="000000"/>
              <w:right w:val="double" w:sz="6" w:space="0" w:color="000000"/>
            </w:tcBorders>
          </w:tcPr>
          <w:p w14:paraId="54D5F2D8" w14:textId="2A071E56" w:rsidR="00370682" w:rsidRDefault="00370682" w:rsidP="00370682">
            <w:pPr>
              <w:spacing w:after="0" w:line="259" w:lineRule="auto"/>
              <w:ind w:left="3" w:right="0" w:firstLine="0"/>
              <w:jc w:val="left"/>
            </w:pPr>
            <w:r>
              <w:t>INTERNÍ</w:t>
            </w:r>
          </w:p>
        </w:tc>
      </w:tr>
      <w:tr w:rsidR="00F470FF" w14:paraId="1F3E478E" w14:textId="77777777" w:rsidTr="0058184D">
        <w:trPr>
          <w:trHeight w:val="566"/>
        </w:trPr>
        <w:tc>
          <w:tcPr>
            <w:tcW w:w="2894" w:type="dxa"/>
            <w:tcBorders>
              <w:top w:val="single" w:sz="6" w:space="0" w:color="000000"/>
              <w:left w:val="double" w:sz="6" w:space="0" w:color="000000"/>
              <w:bottom w:val="single" w:sz="6" w:space="0" w:color="000000"/>
              <w:right w:val="single" w:sz="6" w:space="0" w:color="000000"/>
            </w:tcBorders>
          </w:tcPr>
          <w:p w14:paraId="5060CC84" w14:textId="77777777" w:rsidR="00F470FF" w:rsidRDefault="001A54DC">
            <w:pPr>
              <w:spacing w:after="0" w:line="259" w:lineRule="auto"/>
              <w:ind w:left="0" w:right="0" w:firstLine="0"/>
              <w:jc w:val="left"/>
            </w:pPr>
            <w:r>
              <w:t xml:space="preserve">Název: </w:t>
            </w:r>
          </w:p>
        </w:tc>
        <w:tc>
          <w:tcPr>
            <w:tcW w:w="6631" w:type="dxa"/>
            <w:gridSpan w:val="2"/>
            <w:tcBorders>
              <w:top w:val="single" w:sz="6" w:space="0" w:color="000000"/>
              <w:left w:val="single" w:sz="6" w:space="0" w:color="000000"/>
              <w:bottom w:val="single" w:sz="6" w:space="0" w:color="000000"/>
              <w:right w:val="double" w:sz="6" w:space="0" w:color="000000"/>
            </w:tcBorders>
          </w:tcPr>
          <w:p w14:paraId="2C92B76D" w14:textId="77777777" w:rsidR="00F470FF" w:rsidRDefault="001A54DC">
            <w:pPr>
              <w:spacing w:after="0" w:line="259" w:lineRule="auto"/>
              <w:ind w:left="3" w:right="0" w:firstLine="0"/>
              <w:jc w:val="left"/>
            </w:pPr>
            <w:r>
              <w:t xml:space="preserve">Pravidla projednávání návrhů studijních programů  </w:t>
            </w:r>
          </w:p>
          <w:p w14:paraId="1393916A" w14:textId="77777777" w:rsidR="00F470FF" w:rsidRDefault="001A54DC">
            <w:pPr>
              <w:spacing w:after="0" w:line="259" w:lineRule="auto"/>
              <w:ind w:left="3" w:right="0" w:firstLine="0"/>
              <w:jc w:val="left"/>
            </w:pPr>
            <w:r>
              <w:t xml:space="preserve">Radou pro vnitřní hodnocení Univerzity Tomáše Bati ve Zlíně </w:t>
            </w:r>
          </w:p>
        </w:tc>
      </w:tr>
      <w:tr w:rsidR="00F470FF" w14:paraId="659C86E4" w14:textId="77777777" w:rsidTr="0058184D">
        <w:trPr>
          <w:trHeight w:val="293"/>
        </w:trPr>
        <w:tc>
          <w:tcPr>
            <w:tcW w:w="2894" w:type="dxa"/>
            <w:tcBorders>
              <w:top w:val="single" w:sz="6" w:space="0" w:color="000000"/>
              <w:left w:val="double" w:sz="6" w:space="0" w:color="000000"/>
              <w:bottom w:val="single" w:sz="6" w:space="0" w:color="000000"/>
              <w:right w:val="single" w:sz="6" w:space="0" w:color="000000"/>
            </w:tcBorders>
          </w:tcPr>
          <w:p w14:paraId="334BE755" w14:textId="77777777" w:rsidR="00F470FF" w:rsidRDefault="001A54DC">
            <w:pPr>
              <w:spacing w:after="0" w:line="259" w:lineRule="auto"/>
              <w:ind w:left="0" w:right="0" w:firstLine="0"/>
              <w:jc w:val="left"/>
            </w:pPr>
            <w:r>
              <w:t xml:space="preserve">Organizační závaznost: </w:t>
            </w:r>
          </w:p>
        </w:tc>
        <w:tc>
          <w:tcPr>
            <w:tcW w:w="6631" w:type="dxa"/>
            <w:gridSpan w:val="2"/>
            <w:tcBorders>
              <w:top w:val="single" w:sz="6" w:space="0" w:color="000000"/>
              <w:left w:val="single" w:sz="6" w:space="0" w:color="000000"/>
              <w:bottom w:val="single" w:sz="6" w:space="0" w:color="000000"/>
              <w:right w:val="double" w:sz="6" w:space="0" w:color="000000"/>
            </w:tcBorders>
          </w:tcPr>
          <w:p w14:paraId="01F66C11" w14:textId="77777777" w:rsidR="00F470FF" w:rsidRDefault="001A54DC">
            <w:pPr>
              <w:spacing w:after="0" w:line="259" w:lineRule="auto"/>
              <w:ind w:left="3" w:right="0" w:firstLine="0"/>
              <w:jc w:val="left"/>
            </w:pPr>
            <w:r>
              <w:t xml:space="preserve">Univerzita Tomáše Bati ve Zlíně </w:t>
            </w:r>
          </w:p>
        </w:tc>
      </w:tr>
      <w:tr w:rsidR="00370682" w14:paraId="1BE4A0D3" w14:textId="77777777" w:rsidTr="0058184D">
        <w:trPr>
          <w:trHeight w:val="290"/>
        </w:trPr>
        <w:tc>
          <w:tcPr>
            <w:tcW w:w="2894" w:type="dxa"/>
            <w:tcBorders>
              <w:top w:val="single" w:sz="6" w:space="0" w:color="000000"/>
              <w:left w:val="double" w:sz="6" w:space="0" w:color="000000"/>
              <w:bottom w:val="single" w:sz="6" w:space="0" w:color="000000"/>
              <w:right w:val="single" w:sz="6" w:space="0" w:color="000000"/>
            </w:tcBorders>
          </w:tcPr>
          <w:p w14:paraId="40EFB3F2" w14:textId="6E239032" w:rsidR="00370682" w:rsidRDefault="00370682" w:rsidP="00370682">
            <w:pPr>
              <w:spacing w:after="0" w:line="259" w:lineRule="auto"/>
              <w:ind w:left="0" w:right="0" w:firstLine="0"/>
              <w:jc w:val="left"/>
            </w:pPr>
            <w:r>
              <w:t xml:space="preserve">Datum vydání: </w:t>
            </w:r>
          </w:p>
        </w:tc>
        <w:tc>
          <w:tcPr>
            <w:tcW w:w="3131" w:type="dxa"/>
            <w:tcBorders>
              <w:top w:val="single" w:sz="6" w:space="0" w:color="000000"/>
              <w:left w:val="single" w:sz="6" w:space="0" w:color="000000"/>
              <w:bottom w:val="single" w:sz="6" w:space="0" w:color="000000"/>
              <w:right w:val="double" w:sz="6" w:space="0" w:color="000000"/>
            </w:tcBorders>
          </w:tcPr>
          <w:p w14:paraId="46D71099" w14:textId="655FCEE4" w:rsidR="00370682" w:rsidRDefault="00370682" w:rsidP="00370682">
            <w:pPr>
              <w:spacing w:after="0" w:line="259" w:lineRule="auto"/>
              <w:ind w:left="3" w:right="0" w:firstLine="0"/>
              <w:jc w:val="left"/>
            </w:pPr>
            <w:proofErr w:type="spellStart"/>
            <w:r>
              <w:t>xx</w:t>
            </w:r>
            <w:proofErr w:type="spellEnd"/>
            <w:r>
              <w:t xml:space="preserve">. xx. 2026  </w:t>
            </w:r>
          </w:p>
        </w:tc>
        <w:tc>
          <w:tcPr>
            <w:tcW w:w="3500" w:type="dxa"/>
            <w:tcBorders>
              <w:top w:val="single" w:sz="6" w:space="0" w:color="000000"/>
              <w:left w:val="double" w:sz="6" w:space="0" w:color="000000"/>
              <w:bottom w:val="single" w:sz="6" w:space="0" w:color="000000"/>
              <w:right w:val="double" w:sz="6" w:space="0" w:color="000000"/>
            </w:tcBorders>
          </w:tcPr>
          <w:p w14:paraId="43A49493" w14:textId="2790DD11" w:rsidR="00370682" w:rsidRDefault="00370682" w:rsidP="00370682">
            <w:pPr>
              <w:spacing w:after="0" w:line="259" w:lineRule="auto"/>
              <w:ind w:left="2" w:right="0" w:firstLine="0"/>
              <w:jc w:val="left"/>
            </w:pPr>
            <w:r>
              <w:t>Verze: 01</w:t>
            </w:r>
          </w:p>
        </w:tc>
      </w:tr>
      <w:tr w:rsidR="00F470FF" w14:paraId="5A4069D9" w14:textId="77777777" w:rsidTr="0058184D">
        <w:trPr>
          <w:trHeight w:val="290"/>
        </w:trPr>
        <w:tc>
          <w:tcPr>
            <w:tcW w:w="2894" w:type="dxa"/>
            <w:tcBorders>
              <w:top w:val="single" w:sz="6" w:space="0" w:color="000000"/>
              <w:left w:val="double" w:sz="6" w:space="0" w:color="000000"/>
              <w:bottom w:val="single" w:sz="6" w:space="0" w:color="000000"/>
              <w:right w:val="single" w:sz="6" w:space="0" w:color="000000"/>
            </w:tcBorders>
          </w:tcPr>
          <w:p w14:paraId="2CFA74D4" w14:textId="77777777" w:rsidR="00F470FF" w:rsidRDefault="001A54DC">
            <w:pPr>
              <w:spacing w:after="0" w:line="259" w:lineRule="auto"/>
              <w:ind w:left="0" w:right="0" w:firstLine="0"/>
              <w:jc w:val="left"/>
            </w:pPr>
            <w:r>
              <w:t xml:space="preserve">Účinnost: </w:t>
            </w:r>
          </w:p>
        </w:tc>
        <w:tc>
          <w:tcPr>
            <w:tcW w:w="6631" w:type="dxa"/>
            <w:gridSpan w:val="2"/>
            <w:tcBorders>
              <w:top w:val="single" w:sz="6" w:space="0" w:color="000000"/>
              <w:left w:val="single" w:sz="6" w:space="0" w:color="000000"/>
              <w:bottom w:val="single" w:sz="6" w:space="0" w:color="000000"/>
              <w:right w:val="double" w:sz="6" w:space="0" w:color="000000"/>
            </w:tcBorders>
          </w:tcPr>
          <w:p w14:paraId="1F60A902" w14:textId="78A9C765" w:rsidR="00F470FF" w:rsidRDefault="001017F8">
            <w:pPr>
              <w:spacing w:after="0" w:line="259" w:lineRule="auto"/>
              <w:ind w:left="3" w:right="0" w:firstLine="0"/>
              <w:jc w:val="left"/>
            </w:pPr>
            <w:proofErr w:type="spellStart"/>
            <w:r>
              <w:t>xx</w:t>
            </w:r>
            <w:proofErr w:type="spellEnd"/>
            <w:r>
              <w:t xml:space="preserve">. xx. 2026   </w:t>
            </w:r>
          </w:p>
        </w:tc>
      </w:tr>
      <w:tr w:rsidR="00F470FF" w14:paraId="0ED74244" w14:textId="77777777" w:rsidTr="0058184D">
        <w:trPr>
          <w:trHeight w:val="290"/>
        </w:trPr>
        <w:tc>
          <w:tcPr>
            <w:tcW w:w="2894" w:type="dxa"/>
            <w:tcBorders>
              <w:top w:val="single" w:sz="6" w:space="0" w:color="000000"/>
              <w:left w:val="double" w:sz="6" w:space="0" w:color="000000"/>
              <w:bottom w:val="single" w:sz="6" w:space="0" w:color="000000"/>
              <w:right w:val="single" w:sz="6" w:space="0" w:color="000000"/>
            </w:tcBorders>
          </w:tcPr>
          <w:p w14:paraId="7429858B" w14:textId="77777777" w:rsidR="00F470FF" w:rsidRDefault="001A54DC">
            <w:pPr>
              <w:spacing w:after="0" w:line="259" w:lineRule="auto"/>
              <w:ind w:left="0" w:right="0" w:firstLine="0"/>
              <w:jc w:val="left"/>
            </w:pPr>
            <w:r>
              <w:t xml:space="preserve">Vydává: </w:t>
            </w:r>
          </w:p>
        </w:tc>
        <w:tc>
          <w:tcPr>
            <w:tcW w:w="6631" w:type="dxa"/>
            <w:gridSpan w:val="2"/>
            <w:tcBorders>
              <w:top w:val="single" w:sz="6" w:space="0" w:color="000000"/>
              <w:left w:val="single" w:sz="6" w:space="0" w:color="000000"/>
              <w:bottom w:val="single" w:sz="6" w:space="0" w:color="000000"/>
              <w:right w:val="double" w:sz="6" w:space="0" w:color="000000"/>
            </w:tcBorders>
          </w:tcPr>
          <w:p w14:paraId="77F50BEC" w14:textId="77777777" w:rsidR="00F470FF" w:rsidRDefault="001A54DC">
            <w:pPr>
              <w:spacing w:after="0" w:line="259" w:lineRule="auto"/>
              <w:ind w:left="3" w:right="0" w:firstLine="0"/>
              <w:jc w:val="left"/>
            </w:pPr>
            <w:r>
              <w:t>prof. Mgr. Milan Adámek, Ph.D.,</w:t>
            </w:r>
            <w:r>
              <w:rPr>
                <w:rFonts w:ascii="Arial" w:eastAsia="Arial" w:hAnsi="Arial" w:cs="Arial"/>
                <w:sz w:val="20"/>
              </w:rPr>
              <w:t xml:space="preserve"> r</w:t>
            </w:r>
            <w:r>
              <w:t xml:space="preserve">ektor </w:t>
            </w:r>
          </w:p>
        </w:tc>
      </w:tr>
      <w:tr w:rsidR="00370682" w14:paraId="12F46E25" w14:textId="77777777" w:rsidTr="0058184D">
        <w:trPr>
          <w:trHeight w:val="291"/>
        </w:trPr>
        <w:tc>
          <w:tcPr>
            <w:tcW w:w="2894" w:type="dxa"/>
            <w:tcBorders>
              <w:top w:val="single" w:sz="6" w:space="0" w:color="000000"/>
              <w:left w:val="double" w:sz="6" w:space="0" w:color="000000"/>
              <w:bottom w:val="single" w:sz="6" w:space="0" w:color="000000"/>
              <w:right w:val="single" w:sz="6" w:space="0" w:color="000000"/>
            </w:tcBorders>
          </w:tcPr>
          <w:p w14:paraId="7315E2F9" w14:textId="7B7D9FA7" w:rsidR="00370682" w:rsidRDefault="00370682" w:rsidP="00370682">
            <w:pPr>
              <w:spacing w:after="0" w:line="259" w:lineRule="auto"/>
              <w:ind w:left="0" w:right="0" w:firstLine="0"/>
              <w:jc w:val="left"/>
            </w:pPr>
            <w:r>
              <w:t xml:space="preserve">Zpracoval: </w:t>
            </w:r>
          </w:p>
        </w:tc>
        <w:tc>
          <w:tcPr>
            <w:tcW w:w="6631" w:type="dxa"/>
            <w:gridSpan w:val="2"/>
            <w:tcBorders>
              <w:top w:val="single" w:sz="6" w:space="0" w:color="000000"/>
              <w:left w:val="single" w:sz="6" w:space="0" w:color="000000"/>
              <w:bottom w:val="single" w:sz="6" w:space="0" w:color="000000"/>
              <w:right w:val="double" w:sz="6" w:space="0" w:color="000000"/>
            </w:tcBorders>
          </w:tcPr>
          <w:p w14:paraId="29B1541C" w14:textId="1D62B8A4" w:rsidR="00370682" w:rsidRDefault="00370682" w:rsidP="00370682">
            <w:pPr>
              <w:spacing w:after="0" w:line="259" w:lineRule="auto"/>
              <w:ind w:left="3" w:right="0" w:firstLine="0"/>
              <w:jc w:val="left"/>
            </w:pPr>
            <w:r>
              <w:t xml:space="preserve">Mgr. Lenka Drábková, Ph.D.  </w:t>
            </w:r>
          </w:p>
        </w:tc>
      </w:tr>
      <w:tr w:rsidR="00370682" w14:paraId="4931C802" w14:textId="77777777" w:rsidTr="0058184D">
        <w:trPr>
          <w:trHeight w:val="293"/>
        </w:trPr>
        <w:tc>
          <w:tcPr>
            <w:tcW w:w="2894" w:type="dxa"/>
            <w:tcBorders>
              <w:top w:val="single" w:sz="6" w:space="0" w:color="000000"/>
              <w:left w:val="double" w:sz="6" w:space="0" w:color="000000"/>
              <w:bottom w:val="single" w:sz="6" w:space="0" w:color="000000"/>
              <w:right w:val="single" w:sz="6" w:space="0" w:color="000000"/>
            </w:tcBorders>
          </w:tcPr>
          <w:p w14:paraId="46324F38" w14:textId="6F521F80" w:rsidR="00370682" w:rsidRDefault="00370682" w:rsidP="00370682">
            <w:pPr>
              <w:spacing w:after="0" w:line="259" w:lineRule="auto"/>
              <w:ind w:left="0" w:right="0" w:firstLine="0"/>
              <w:jc w:val="left"/>
            </w:pPr>
            <w:r>
              <w:t xml:space="preserve">Spolupracoval: </w:t>
            </w:r>
          </w:p>
        </w:tc>
        <w:tc>
          <w:tcPr>
            <w:tcW w:w="6631" w:type="dxa"/>
            <w:gridSpan w:val="2"/>
            <w:tcBorders>
              <w:top w:val="single" w:sz="6" w:space="0" w:color="000000"/>
              <w:left w:val="single" w:sz="6" w:space="0" w:color="000000"/>
              <w:bottom w:val="single" w:sz="6" w:space="0" w:color="000000"/>
              <w:right w:val="double" w:sz="6" w:space="0" w:color="000000"/>
            </w:tcBorders>
          </w:tcPr>
          <w:p w14:paraId="1315DFA7" w14:textId="3C8F6CFB" w:rsidR="00370682" w:rsidRDefault="00370682" w:rsidP="00370682">
            <w:pPr>
              <w:spacing w:after="0" w:line="259" w:lineRule="auto"/>
              <w:ind w:left="3" w:right="0" w:firstLine="0"/>
              <w:jc w:val="left"/>
            </w:pPr>
            <w:r>
              <w:t>Mgr. Martina Šmotková, Mgr. Petr Bernatík</w:t>
            </w:r>
          </w:p>
        </w:tc>
      </w:tr>
      <w:tr w:rsidR="00F470FF" w14:paraId="1FA342BA" w14:textId="77777777" w:rsidTr="0058184D">
        <w:trPr>
          <w:trHeight w:val="290"/>
        </w:trPr>
        <w:tc>
          <w:tcPr>
            <w:tcW w:w="2894" w:type="dxa"/>
            <w:tcBorders>
              <w:top w:val="single" w:sz="6" w:space="0" w:color="000000"/>
              <w:left w:val="double" w:sz="6" w:space="0" w:color="000000"/>
              <w:bottom w:val="single" w:sz="6" w:space="0" w:color="000000"/>
              <w:right w:val="single" w:sz="6" w:space="0" w:color="000000"/>
            </w:tcBorders>
          </w:tcPr>
          <w:p w14:paraId="15D2D35D" w14:textId="77777777" w:rsidR="00F470FF" w:rsidRDefault="001A54DC">
            <w:pPr>
              <w:spacing w:after="0" w:line="259" w:lineRule="auto"/>
              <w:ind w:left="0" w:right="0" w:firstLine="0"/>
              <w:jc w:val="left"/>
            </w:pPr>
            <w:r>
              <w:t xml:space="preserve">Počet stran: </w:t>
            </w:r>
          </w:p>
        </w:tc>
        <w:tc>
          <w:tcPr>
            <w:tcW w:w="6631" w:type="dxa"/>
            <w:gridSpan w:val="2"/>
            <w:tcBorders>
              <w:top w:val="single" w:sz="6" w:space="0" w:color="000000"/>
              <w:left w:val="single" w:sz="6" w:space="0" w:color="000000"/>
              <w:bottom w:val="single" w:sz="6" w:space="0" w:color="000000"/>
              <w:right w:val="double" w:sz="6" w:space="0" w:color="000000"/>
            </w:tcBorders>
          </w:tcPr>
          <w:p w14:paraId="54035A12" w14:textId="77777777" w:rsidR="00F470FF" w:rsidRDefault="001A54DC">
            <w:pPr>
              <w:spacing w:after="0" w:line="259" w:lineRule="auto"/>
              <w:ind w:left="3" w:right="0" w:firstLine="0"/>
              <w:jc w:val="left"/>
            </w:pPr>
            <w:r>
              <w:t xml:space="preserve">5 </w:t>
            </w:r>
          </w:p>
        </w:tc>
      </w:tr>
      <w:tr w:rsidR="00F470FF" w14:paraId="32566742" w14:textId="77777777" w:rsidTr="0058184D">
        <w:trPr>
          <w:trHeight w:val="290"/>
        </w:trPr>
        <w:tc>
          <w:tcPr>
            <w:tcW w:w="2894" w:type="dxa"/>
            <w:tcBorders>
              <w:top w:val="single" w:sz="6" w:space="0" w:color="000000"/>
              <w:left w:val="double" w:sz="6" w:space="0" w:color="000000"/>
              <w:bottom w:val="single" w:sz="6" w:space="0" w:color="000000"/>
              <w:right w:val="single" w:sz="6" w:space="0" w:color="000000"/>
            </w:tcBorders>
          </w:tcPr>
          <w:p w14:paraId="55439969" w14:textId="77777777" w:rsidR="00F470FF" w:rsidRDefault="001A54DC">
            <w:pPr>
              <w:spacing w:after="0" w:line="259" w:lineRule="auto"/>
              <w:ind w:left="0" w:right="0" w:firstLine="0"/>
              <w:jc w:val="left"/>
            </w:pPr>
            <w:r>
              <w:t xml:space="preserve">Počet příloh: </w:t>
            </w:r>
          </w:p>
        </w:tc>
        <w:tc>
          <w:tcPr>
            <w:tcW w:w="6631" w:type="dxa"/>
            <w:gridSpan w:val="2"/>
            <w:tcBorders>
              <w:top w:val="single" w:sz="6" w:space="0" w:color="000000"/>
              <w:left w:val="single" w:sz="6" w:space="0" w:color="000000"/>
              <w:bottom w:val="single" w:sz="6" w:space="0" w:color="000000"/>
              <w:right w:val="double" w:sz="6" w:space="0" w:color="000000"/>
            </w:tcBorders>
          </w:tcPr>
          <w:p w14:paraId="1D6121B2" w14:textId="77777777" w:rsidR="00F470FF" w:rsidRDefault="001A54DC">
            <w:pPr>
              <w:spacing w:after="0" w:line="259" w:lineRule="auto"/>
              <w:ind w:left="3" w:right="0" w:firstLine="0"/>
              <w:jc w:val="left"/>
            </w:pPr>
            <w:r>
              <w:t xml:space="preserve">0 </w:t>
            </w:r>
          </w:p>
        </w:tc>
      </w:tr>
      <w:tr w:rsidR="00F470FF" w14:paraId="7C8B78AC" w14:textId="77777777" w:rsidTr="0058184D">
        <w:trPr>
          <w:trHeight w:val="566"/>
        </w:trPr>
        <w:tc>
          <w:tcPr>
            <w:tcW w:w="2894" w:type="dxa"/>
            <w:tcBorders>
              <w:top w:val="single" w:sz="6" w:space="0" w:color="000000"/>
              <w:left w:val="double" w:sz="6" w:space="0" w:color="000000"/>
              <w:bottom w:val="single" w:sz="6" w:space="0" w:color="000000"/>
              <w:right w:val="single" w:sz="6" w:space="0" w:color="000000"/>
            </w:tcBorders>
          </w:tcPr>
          <w:p w14:paraId="37C40E4B" w14:textId="77777777" w:rsidR="00F470FF" w:rsidRDefault="001A54DC">
            <w:pPr>
              <w:spacing w:after="0" w:line="259" w:lineRule="auto"/>
              <w:ind w:left="0" w:right="0" w:firstLine="0"/>
              <w:jc w:val="left"/>
            </w:pPr>
            <w:r>
              <w:t xml:space="preserve">Rozdělovník: </w:t>
            </w:r>
          </w:p>
        </w:tc>
        <w:tc>
          <w:tcPr>
            <w:tcW w:w="6631" w:type="dxa"/>
            <w:gridSpan w:val="2"/>
            <w:tcBorders>
              <w:top w:val="single" w:sz="6" w:space="0" w:color="000000"/>
              <w:left w:val="single" w:sz="6" w:space="0" w:color="000000"/>
              <w:bottom w:val="single" w:sz="6" w:space="0" w:color="000000"/>
              <w:right w:val="double" w:sz="6" w:space="0" w:color="000000"/>
            </w:tcBorders>
          </w:tcPr>
          <w:p w14:paraId="77651960" w14:textId="77777777" w:rsidR="00F470FF" w:rsidRDefault="001A54DC">
            <w:pPr>
              <w:spacing w:after="0" w:line="259" w:lineRule="auto"/>
              <w:ind w:left="3" w:right="0" w:firstLine="0"/>
              <w:jc w:val="left"/>
            </w:pPr>
            <w:r>
              <w:t xml:space="preserve">Rektor, prorektoři, děkani fakult, proděkani pro pedagogickou činnost, garanti studijních programů, předseda AS UTB </w:t>
            </w:r>
          </w:p>
        </w:tc>
      </w:tr>
      <w:tr w:rsidR="00F470FF" w14:paraId="2BDDFF60" w14:textId="77777777" w:rsidTr="0058184D">
        <w:trPr>
          <w:trHeight w:val="583"/>
        </w:trPr>
        <w:tc>
          <w:tcPr>
            <w:tcW w:w="2894" w:type="dxa"/>
            <w:tcBorders>
              <w:top w:val="single" w:sz="6" w:space="0" w:color="000000"/>
              <w:left w:val="double" w:sz="6" w:space="0" w:color="000000"/>
              <w:bottom w:val="double" w:sz="6" w:space="0" w:color="000000"/>
              <w:right w:val="single" w:sz="6" w:space="0" w:color="000000"/>
            </w:tcBorders>
          </w:tcPr>
          <w:p w14:paraId="0DA167FB" w14:textId="77777777" w:rsidR="00F470FF" w:rsidRDefault="001A54DC">
            <w:pPr>
              <w:spacing w:after="0" w:line="259" w:lineRule="auto"/>
              <w:ind w:left="0" w:right="0" w:firstLine="0"/>
              <w:jc w:val="left"/>
            </w:pPr>
            <w:r>
              <w:t xml:space="preserve">Podpis oprávněné osoby: </w:t>
            </w:r>
          </w:p>
        </w:tc>
        <w:tc>
          <w:tcPr>
            <w:tcW w:w="6631" w:type="dxa"/>
            <w:gridSpan w:val="2"/>
            <w:tcBorders>
              <w:top w:val="single" w:sz="6" w:space="0" w:color="000000"/>
              <w:left w:val="single" w:sz="6" w:space="0" w:color="000000"/>
              <w:bottom w:val="double" w:sz="6" w:space="0" w:color="000000"/>
              <w:right w:val="double" w:sz="6" w:space="0" w:color="000000"/>
            </w:tcBorders>
            <w:vAlign w:val="center"/>
          </w:tcPr>
          <w:p w14:paraId="041EC7A7" w14:textId="6554C035" w:rsidR="00F470FF" w:rsidRDefault="00F470FF">
            <w:pPr>
              <w:spacing w:after="0" w:line="259" w:lineRule="auto"/>
              <w:ind w:left="4" w:right="0" w:firstLine="0"/>
              <w:jc w:val="center"/>
            </w:pPr>
          </w:p>
        </w:tc>
      </w:tr>
    </w:tbl>
    <w:bookmarkEnd w:id="0"/>
    <w:p w14:paraId="7E9AD811" w14:textId="77777777" w:rsidR="00F470FF" w:rsidRPr="009D3DA9" w:rsidRDefault="001A54DC">
      <w:pPr>
        <w:spacing w:after="0" w:line="259" w:lineRule="auto"/>
        <w:ind w:left="65" w:right="0" w:firstLine="0"/>
        <w:jc w:val="center"/>
        <w:rPr>
          <w:szCs w:val="24"/>
        </w:rPr>
      </w:pPr>
      <w:r w:rsidRPr="009D3DA9">
        <w:rPr>
          <w:szCs w:val="24"/>
        </w:rPr>
        <w:t xml:space="preserve"> </w:t>
      </w:r>
    </w:p>
    <w:p w14:paraId="0C928D55" w14:textId="77777777" w:rsidR="00F372FC" w:rsidRPr="009D3DA9" w:rsidRDefault="00F372FC">
      <w:pPr>
        <w:spacing w:after="0" w:line="259" w:lineRule="auto"/>
        <w:ind w:left="65" w:right="0" w:firstLine="0"/>
        <w:jc w:val="center"/>
        <w:rPr>
          <w:szCs w:val="24"/>
        </w:rPr>
      </w:pPr>
    </w:p>
    <w:p w14:paraId="557D0078" w14:textId="77777777" w:rsidR="00F372FC" w:rsidRPr="009D3DA9" w:rsidRDefault="00F372FC">
      <w:pPr>
        <w:spacing w:after="0" w:line="259" w:lineRule="auto"/>
        <w:ind w:left="65" w:right="0" w:firstLine="0"/>
        <w:jc w:val="center"/>
        <w:rPr>
          <w:b/>
          <w:bCs/>
          <w:szCs w:val="24"/>
        </w:rPr>
      </w:pPr>
    </w:p>
    <w:p w14:paraId="5517523F" w14:textId="77777777" w:rsidR="00FB23DF" w:rsidRPr="00FB23DF" w:rsidRDefault="00FB23DF" w:rsidP="00FB23DF">
      <w:pPr>
        <w:spacing w:after="0" w:line="259" w:lineRule="auto"/>
        <w:ind w:right="7"/>
        <w:jc w:val="center"/>
        <w:rPr>
          <w:b/>
          <w:bCs/>
          <w:szCs w:val="24"/>
        </w:rPr>
      </w:pPr>
      <w:r w:rsidRPr="00FB23DF">
        <w:rPr>
          <w:b/>
          <w:bCs/>
          <w:szCs w:val="24"/>
        </w:rPr>
        <w:t xml:space="preserve">ČÁST PRVNÍ </w:t>
      </w:r>
    </w:p>
    <w:p w14:paraId="7ABB195E" w14:textId="77777777" w:rsidR="00FB23DF" w:rsidRPr="00FB23DF" w:rsidRDefault="00FB23DF" w:rsidP="00FB23DF">
      <w:pPr>
        <w:spacing w:after="0" w:line="259" w:lineRule="auto"/>
        <w:ind w:right="8"/>
        <w:jc w:val="center"/>
        <w:rPr>
          <w:b/>
          <w:bCs/>
          <w:szCs w:val="24"/>
        </w:rPr>
      </w:pPr>
      <w:r w:rsidRPr="00FB23DF">
        <w:rPr>
          <w:b/>
          <w:bCs/>
          <w:szCs w:val="24"/>
        </w:rPr>
        <w:t xml:space="preserve">ZÁKLADNÍ USTANOVENÍ </w:t>
      </w:r>
    </w:p>
    <w:p w14:paraId="76C92D39" w14:textId="77777777" w:rsidR="00FB23DF" w:rsidRPr="009D3DA9" w:rsidRDefault="00FB23DF" w:rsidP="00FB23DF">
      <w:pPr>
        <w:spacing w:after="0" w:line="259" w:lineRule="auto"/>
        <w:ind w:left="65" w:right="0" w:firstLine="0"/>
        <w:jc w:val="center"/>
        <w:rPr>
          <w:szCs w:val="24"/>
        </w:rPr>
      </w:pPr>
      <w:r w:rsidRPr="009D3DA9">
        <w:rPr>
          <w:szCs w:val="24"/>
        </w:rPr>
        <w:t xml:space="preserve"> </w:t>
      </w:r>
    </w:p>
    <w:p w14:paraId="6F46A926" w14:textId="77777777" w:rsidR="00FB23DF" w:rsidRPr="009D3DA9" w:rsidRDefault="00FB23DF" w:rsidP="00FB23DF">
      <w:pPr>
        <w:spacing w:after="0" w:line="259" w:lineRule="auto"/>
        <w:ind w:left="65" w:right="0" w:firstLine="0"/>
        <w:jc w:val="center"/>
        <w:rPr>
          <w:szCs w:val="24"/>
        </w:rPr>
      </w:pPr>
    </w:p>
    <w:p w14:paraId="1ED8CA23" w14:textId="77777777" w:rsidR="00FB23DF" w:rsidRDefault="00FB23DF" w:rsidP="00FB23DF">
      <w:pPr>
        <w:pStyle w:val="Nadpis1"/>
        <w:spacing w:after="0"/>
      </w:pPr>
      <w:r>
        <w:t xml:space="preserve">Článek 1 </w:t>
      </w:r>
    </w:p>
    <w:p w14:paraId="7DCF5FE0" w14:textId="77777777" w:rsidR="00FB23DF" w:rsidRDefault="00FB23DF" w:rsidP="00FB23DF">
      <w:pPr>
        <w:pStyle w:val="Nadpis1"/>
        <w:spacing w:after="0"/>
      </w:pPr>
      <w:r>
        <w:t xml:space="preserve">Úvodní ustanovení </w:t>
      </w:r>
    </w:p>
    <w:p w14:paraId="44DA361F" w14:textId="77777777" w:rsidR="00FB23DF" w:rsidRPr="00FB23DF" w:rsidRDefault="00FB23DF" w:rsidP="00896829">
      <w:pPr>
        <w:spacing w:after="0"/>
      </w:pPr>
    </w:p>
    <w:p w14:paraId="179E194D" w14:textId="5C5D72D6" w:rsidR="00FB23DF" w:rsidRPr="001017F8" w:rsidRDefault="00FB23DF" w:rsidP="007A2D18">
      <w:pPr>
        <w:numPr>
          <w:ilvl w:val="0"/>
          <w:numId w:val="11"/>
        </w:numPr>
        <w:tabs>
          <w:tab w:val="left" w:pos="426"/>
        </w:tabs>
        <w:ind w:left="426" w:right="0" w:hanging="426"/>
      </w:pPr>
      <w:r w:rsidRPr="001017F8">
        <w:t xml:space="preserve">Tato vnitřní norma Univerzity Tomáše Bati ve Zlíně (dále jen „UTB“) se vydává </w:t>
      </w:r>
      <w:r w:rsidR="00E345DE">
        <w:br/>
      </w:r>
      <w:r w:rsidRPr="001017F8">
        <w:t xml:space="preserve">na základě čl. 24 odst. 1 a na základě čl. 33 odst. 1 vnitřního předpisu UTB Řád pro tvorbu, schvalování, uskutečňování a změny studijních programů UTB (dále jen „Řád SP“) a vyjadřuje se k ní Rada pro vnitřní hodnocení UTB (dále jen „Rada “). </w:t>
      </w:r>
    </w:p>
    <w:p w14:paraId="273D5B71" w14:textId="5F01DF83" w:rsidR="00FB23DF" w:rsidRDefault="00FB23DF" w:rsidP="007A2D18">
      <w:pPr>
        <w:pStyle w:val="Odstavecseseznamem"/>
        <w:numPr>
          <w:ilvl w:val="0"/>
          <w:numId w:val="11"/>
        </w:numPr>
        <w:tabs>
          <w:tab w:val="left" w:pos="426"/>
        </w:tabs>
        <w:ind w:left="426" w:right="0" w:hanging="426"/>
      </w:pPr>
      <w:r w:rsidRPr="001017F8">
        <w:t>Tato vnitřní norma UTB upravuje podrobnosti projednávání návrhů studijních programů</w:t>
      </w:r>
      <w:r>
        <w:t xml:space="preserve"> </w:t>
      </w:r>
      <w:r w:rsidR="00A4034D">
        <w:br/>
      </w:r>
      <w:r>
        <w:t>pro udělení oprávnění uskutečňovat studijní program Radou v rámci institucionální akreditace (dále jen „vnitřní akreditace“), návrhů na rozšíření vnitřní akreditace, návrhů na závažné změny ve studijním programu</w:t>
      </w:r>
      <w:r w:rsidRPr="000D67F4">
        <w:rPr>
          <w:sz w:val="22"/>
        </w:rPr>
        <w:t xml:space="preserve"> </w:t>
      </w:r>
      <w:r>
        <w:t xml:space="preserve">či prodloužení vnitřní akreditace. Soubor vnitřních požadavků závazných pro udělení vnitřní akreditace je vymezen ve vnitřní normě UTB Standardy studijních programů UTB, ke které se vyjadřuje Rada. </w:t>
      </w:r>
    </w:p>
    <w:p w14:paraId="77E9C7ED" w14:textId="77777777" w:rsidR="00FB23DF" w:rsidRDefault="00FB23DF" w:rsidP="007A2D18">
      <w:pPr>
        <w:numPr>
          <w:ilvl w:val="0"/>
          <w:numId w:val="11"/>
        </w:numPr>
        <w:tabs>
          <w:tab w:val="left" w:pos="426"/>
        </w:tabs>
        <w:spacing w:after="0"/>
        <w:ind w:left="426" w:right="0" w:hanging="426"/>
      </w:pPr>
      <w:r>
        <w:t>Ustanovení této vnitřní normy UTB se vztahují také k postupu Rady při projednávání návrhů předložit žádost o akreditaci nového studijního programu, návrhů na rozšíření studijního programu, návrhů na závažné změny ve studijním programu</w:t>
      </w:r>
      <w:r>
        <w:rPr>
          <w:sz w:val="22"/>
        </w:rPr>
        <w:t xml:space="preserve"> </w:t>
      </w:r>
      <w:r>
        <w:t xml:space="preserve">či prodloužení doby </w:t>
      </w:r>
      <w:r>
        <w:lastRenderedPageBreak/>
        <w:t xml:space="preserve">platnosti akreditace Národnímu akreditačnímu úřadu pro terciární vzdělávání (dále jen „NAÚ“). </w:t>
      </w:r>
    </w:p>
    <w:p w14:paraId="1305156B" w14:textId="77777777" w:rsidR="00FB23DF" w:rsidRDefault="00FB23DF" w:rsidP="00FB23DF">
      <w:pPr>
        <w:pStyle w:val="Nadpis1"/>
        <w:spacing w:after="0"/>
      </w:pPr>
    </w:p>
    <w:p w14:paraId="5146EF9E" w14:textId="77777777" w:rsidR="00FB23DF" w:rsidRPr="00FB23DF" w:rsidRDefault="00FB23DF" w:rsidP="00FB23DF">
      <w:pPr>
        <w:spacing w:after="0"/>
      </w:pPr>
    </w:p>
    <w:p w14:paraId="5EA7D30B" w14:textId="7686234C" w:rsidR="00FB23DF" w:rsidRPr="00027286" w:rsidRDefault="00FB23DF" w:rsidP="00FB23DF">
      <w:pPr>
        <w:pStyle w:val="Nadpis1"/>
        <w:spacing w:after="0"/>
      </w:pPr>
      <w:r w:rsidRPr="00027286">
        <w:t xml:space="preserve">Článek 2 </w:t>
      </w:r>
    </w:p>
    <w:p w14:paraId="67584840" w14:textId="77777777" w:rsidR="00FB23DF" w:rsidRDefault="00FB23DF" w:rsidP="00E20D70">
      <w:pPr>
        <w:pStyle w:val="Nadpis1"/>
        <w:spacing w:after="0"/>
      </w:pPr>
      <w:r w:rsidRPr="00027286">
        <w:t>Náležitosti návrhů</w:t>
      </w:r>
      <w:r>
        <w:t xml:space="preserve"> </w:t>
      </w:r>
    </w:p>
    <w:p w14:paraId="4388ED39" w14:textId="77777777" w:rsidR="00E20D70" w:rsidRPr="00E20D70" w:rsidRDefault="00E20D70" w:rsidP="00E20D70">
      <w:pPr>
        <w:spacing w:after="0"/>
      </w:pPr>
    </w:p>
    <w:p w14:paraId="40D8B7BC" w14:textId="77777777" w:rsidR="00FB23DF" w:rsidRDefault="00FB23DF" w:rsidP="007A2D18">
      <w:pPr>
        <w:spacing w:after="0"/>
        <w:ind w:left="0" w:right="0" w:firstLine="426"/>
      </w:pPr>
      <w:r>
        <w:t xml:space="preserve">Náležitosti návrhů podle čl. 1 odst. 2 a 3 jsou vymezeny v čl. 22 a 32 Řádu SP. </w:t>
      </w:r>
    </w:p>
    <w:p w14:paraId="550D8422" w14:textId="77777777" w:rsidR="00FB23DF" w:rsidRPr="009D3DA9" w:rsidRDefault="00FB23DF" w:rsidP="00896829">
      <w:pPr>
        <w:pStyle w:val="Nadpis1"/>
        <w:spacing w:after="0"/>
        <w:rPr>
          <w:rFonts w:eastAsia="Calibri"/>
          <w:b w:val="0"/>
          <w:szCs w:val="24"/>
        </w:rPr>
      </w:pPr>
    </w:p>
    <w:p w14:paraId="28B17D49" w14:textId="77777777" w:rsidR="00FB23DF" w:rsidRPr="00FB23DF" w:rsidRDefault="00FB23DF" w:rsidP="00896829">
      <w:pPr>
        <w:spacing w:after="0"/>
        <w:rPr>
          <w:rFonts w:eastAsia="Calibri"/>
        </w:rPr>
      </w:pPr>
    </w:p>
    <w:p w14:paraId="0292E838" w14:textId="77777777" w:rsidR="00FB23DF" w:rsidRDefault="00FB23DF" w:rsidP="00896829">
      <w:pPr>
        <w:pStyle w:val="Nadpis1"/>
        <w:spacing w:after="0"/>
      </w:pPr>
      <w:r>
        <w:t xml:space="preserve">Článek 3 </w:t>
      </w:r>
    </w:p>
    <w:p w14:paraId="58E353FB" w14:textId="77777777" w:rsidR="00FB23DF" w:rsidRDefault="00FB23DF" w:rsidP="00E20D70">
      <w:pPr>
        <w:pStyle w:val="Nadpis1"/>
        <w:spacing w:after="0"/>
      </w:pPr>
      <w:r>
        <w:t xml:space="preserve">Hodnotitelé </w:t>
      </w:r>
    </w:p>
    <w:p w14:paraId="010658FB" w14:textId="77777777" w:rsidR="00E20D70" w:rsidRPr="00E20D70" w:rsidRDefault="00E20D70" w:rsidP="00E20D70">
      <w:pPr>
        <w:spacing w:after="0"/>
      </w:pPr>
    </w:p>
    <w:p w14:paraId="2419A166" w14:textId="77777777" w:rsidR="00FB23DF" w:rsidRDefault="00FB23DF" w:rsidP="007A2D18">
      <w:pPr>
        <w:numPr>
          <w:ilvl w:val="0"/>
          <w:numId w:val="12"/>
        </w:numPr>
        <w:tabs>
          <w:tab w:val="left" w:pos="426"/>
        </w:tabs>
        <w:ind w:left="426" w:right="0" w:hanging="426"/>
      </w:pPr>
      <w:r>
        <w:t xml:space="preserve">Pro účely posuzování projednávaných návrhů podle čl. 1 odst. 2 a 3 jmenuje předseda Rady   na návrh Rady podle čl. 6 Jednacího řádu Rady interní a externí hodnotitele. </w:t>
      </w:r>
    </w:p>
    <w:p w14:paraId="06518F0A" w14:textId="77777777" w:rsidR="00FB23DF" w:rsidRDefault="00FB23DF" w:rsidP="007A2D18">
      <w:pPr>
        <w:numPr>
          <w:ilvl w:val="0"/>
          <w:numId w:val="12"/>
        </w:numPr>
        <w:tabs>
          <w:tab w:val="left" w:pos="426"/>
        </w:tabs>
        <w:spacing w:after="0"/>
        <w:ind w:left="426" w:right="0" w:hanging="426"/>
      </w:pPr>
      <w:r>
        <w:t xml:space="preserve">Hodnotitel vypracovává na základě předložených podkladů   písemný posudek. Posudek se zpracovává na formuláři s okruhy hodnocení, ke kterým se hodnotitel vyjadřuje.  </w:t>
      </w:r>
    </w:p>
    <w:p w14:paraId="5825D3F2" w14:textId="77777777" w:rsidR="00E20D70" w:rsidRPr="009D3DA9" w:rsidRDefault="00E20D70" w:rsidP="00E20D70">
      <w:pPr>
        <w:spacing w:after="0" w:line="259" w:lineRule="auto"/>
        <w:ind w:left="65" w:right="0" w:firstLine="0"/>
        <w:jc w:val="center"/>
        <w:rPr>
          <w:szCs w:val="24"/>
        </w:rPr>
      </w:pPr>
    </w:p>
    <w:p w14:paraId="4698D888" w14:textId="77777777" w:rsidR="00E20D70" w:rsidRPr="009D3DA9" w:rsidRDefault="00E20D70" w:rsidP="00FB23DF">
      <w:pPr>
        <w:spacing w:after="0" w:line="259" w:lineRule="auto"/>
        <w:ind w:left="65" w:right="0" w:firstLine="0"/>
        <w:jc w:val="center"/>
        <w:rPr>
          <w:szCs w:val="24"/>
        </w:rPr>
      </w:pPr>
    </w:p>
    <w:p w14:paraId="01E922F7" w14:textId="036B4DEB" w:rsidR="00FB23DF" w:rsidRPr="009D3DA9" w:rsidRDefault="00FB23DF" w:rsidP="00FB23DF">
      <w:pPr>
        <w:spacing w:after="0" w:line="259" w:lineRule="auto"/>
        <w:ind w:left="65" w:right="0" w:firstLine="0"/>
        <w:jc w:val="center"/>
        <w:rPr>
          <w:szCs w:val="24"/>
        </w:rPr>
      </w:pPr>
      <w:r w:rsidRPr="009D3DA9">
        <w:rPr>
          <w:szCs w:val="24"/>
        </w:rPr>
        <w:t xml:space="preserve"> </w:t>
      </w:r>
    </w:p>
    <w:p w14:paraId="67EF1746" w14:textId="77777777" w:rsidR="00FB23DF" w:rsidRPr="00E20D70" w:rsidRDefault="00FB23DF" w:rsidP="00FB23DF">
      <w:pPr>
        <w:spacing w:after="0" w:line="259" w:lineRule="auto"/>
        <w:ind w:right="6"/>
        <w:jc w:val="center"/>
        <w:rPr>
          <w:b/>
          <w:bCs/>
          <w:szCs w:val="24"/>
        </w:rPr>
      </w:pPr>
      <w:r w:rsidRPr="00E20D70">
        <w:rPr>
          <w:b/>
          <w:bCs/>
          <w:szCs w:val="24"/>
        </w:rPr>
        <w:t xml:space="preserve">ČÁST DRUHÁ </w:t>
      </w:r>
    </w:p>
    <w:p w14:paraId="5A5CC574" w14:textId="77777777" w:rsidR="00FB23DF" w:rsidRPr="00E20D70" w:rsidRDefault="00FB23DF" w:rsidP="00FB23DF">
      <w:pPr>
        <w:spacing w:after="0" w:line="259" w:lineRule="auto"/>
        <w:ind w:right="9"/>
        <w:jc w:val="center"/>
        <w:rPr>
          <w:b/>
          <w:bCs/>
          <w:szCs w:val="24"/>
        </w:rPr>
      </w:pPr>
      <w:r w:rsidRPr="00E20D70">
        <w:rPr>
          <w:b/>
          <w:bCs/>
          <w:szCs w:val="24"/>
        </w:rPr>
        <w:t xml:space="preserve">UDĚLENÍ OPRÁVNĚNÍ USKUTEČŇOVAT STUDIJNÍ PROGRAMY </w:t>
      </w:r>
    </w:p>
    <w:p w14:paraId="340FC8A3" w14:textId="77777777" w:rsidR="00FB23DF" w:rsidRDefault="00FB23DF" w:rsidP="00FB23DF">
      <w:pPr>
        <w:spacing w:after="0" w:line="259" w:lineRule="auto"/>
        <w:ind w:right="7"/>
        <w:jc w:val="center"/>
      </w:pPr>
      <w:r w:rsidRPr="00E20D70">
        <w:rPr>
          <w:b/>
          <w:bCs/>
          <w:szCs w:val="24"/>
        </w:rPr>
        <w:t>V RÁMCI INSTITUCIONÁLNÍ AKREDITACE</w:t>
      </w:r>
      <w:r>
        <w:rPr>
          <w:sz w:val="28"/>
        </w:rPr>
        <w:t xml:space="preserve"> </w:t>
      </w:r>
    </w:p>
    <w:p w14:paraId="5C90D25B" w14:textId="77777777" w:rsidR="00FB23DF" w:rsidRDefault="00FB23DF" w:rsidP="009D3DA9">
      <w:pPr>
        <w:spacing w:after="0" w:line="259" w:lineRule="auto"/>
        <w:ind w:left="55" w:right="0" w:firstLine="0"/>
        <w:jc w:val="center"/>
      </w:pPr>
      <w:r>
        <w:t xml:space="preserve"> </w:t>
      </w:r>
    </w:p>
    <w:p w14:paraId="17D2BDD6" w14:textId="77777777" w:rsidR="00E20D70" w:rsidRDefault="00E20D70" w:rsidP="009D3DA9">
      <w:pPr>
        <w:spacing w:after="0" w:line="259" w:lineRule="auto"/>
        <w:ind w:left="55" w:right="0" w:firstLine="0"/>
        <w:jc w:val="center"/>
      </w:pPr>
    </w:p>
    <w:p w14:paraId="3AE2CF4A" w14:textId="77777777" w:rsidR="00FB23DF" w:rsidRDefault="00FB23DF" w:rsidP="00E20D70">
      <w:pPr>
        <w:pStyle w:val="Nadpis1"/>
        <w:spacing w:after="0"/>
      </w:pPr>
      <w:r>
        <w:t xml:space="preserve">Článek 4 </w:t>
      </w:r>
    </w:p>
    <w:p w14:paraId="2A3728BE" w14:textId="77777777" w:rsidR="00FB23DF" w:rsidRDefault="00FB23DF" w:rsidP="00E20D70">
      <w:pPr>
        <w:pStyle w:val="Nadpis1"/>
        <w:spacing w:after="0"/>
      </w:pPr>
      <w:r>
        <w:t xml:space="preserve">Projednávání a předkládání návrhu studijního programu pro vnitřní akreditaci </w:t>
      </w:r>
    </w:p>
    <w:p w14:paraId="2A0B7311" w14:textId="77777777" w:rsidR="00E20D70" w:rsidRPr="00E20D70" w:rsidRDefault="00E20D70" w:rsidP="00E20D70">
      <w:pPr>
        <w:spacing w:after="0"/>
      </w:pPr>
    </w:p>
    <w:p w14:paraId="2122D937" w14:textId="77777777" w:rsidR="00FB23DF" w:rsidRDefault="00FB23DF" w:rsidP="00652D5F">
      <w:pPr>
        <w:numPr>
          <w:ilvl w:val="0"/>
          <w:numId w:val="13"/>
        </w:numPr>
        <w:tabs>
          <w:tab w:val="left" w:pos="426"/>
        </w:tabs>
        <w:spacing w:after="0"/>
        <w:ind w:left="426" w:right="0" w:hanging="426"/>
      </w:pPr>
      <w:r>
        <w:t xml:space="preserve">Pro posouzení návrhu studijního programu navrhne Radě předseda Rady podle čl. 3 jednoho interního hodnotitele pro obecné posouzení návrhu a jednoho externího hodnotitele pro odborné posouzení návrhu. Předseda Rady zajistí potřebný souhlas navržených hodnotitelů se zpracováním posudku. </w:t>
      </w:r>
    </w:p>
    <w:p w14:paraId="50F3E4CD" w14:textId="77777777" w:rsidR="00FB23DF" w:rsidRDefault="00FB23DF" w:rsidP="00652D5F">
      <w:pPr>
        <w:numPr>
          <w:ilvl w:val="0"/>
          <w:numId w:val="13"/>
        </w:numPr>
        <w:tabs>
          <w:tab w:val="left" w:pos="426"/>
        </w:tabs>
        <w:spacing w:before="240"/>
        <w:ind w:left="426" w:right="0" w:hanging="426"/>
      </w:pPr>
      <w:r>
        <w:t xml:space="preserve">Rada posoudí, zda lze od navržených hodnotitelů očekávat kvalifikované posouzení návrhu, případně navrhne vlastní hodnotitele tak, aby byla splněna podmínka složení hodnotitelů uvedená v odstavci 1.  </w:t>
      </w:r>
    </w:p>
    <w:p w14:paraId="379D73CD" w14:textId="77777777" w:rsidR="00FB23DF" w:rsidRDefault="00FB23DF" w:rsidP="00652D5F">
      <w:pPr>
        <w:numPr>
          <w:ilvl w:val="0"/>
          <w:numId w:val="13"/>
        </w:numPr>
        <w:tabs>
          <w:tab w:val="left" w:pos="426"/>
          <w:tab w:val="left" w:pos="851"/>
        </w:tabs>
        <w:ind w:left="426" w:right="0" w:hanging="426"/>
      </w:pPr>
      <w:r>
        <w:t>Pro posouzení návrhu studijního programu může předseda Rady navrhnout podle čl. 7 Jednacího řádu Rady pracovní skupinu, která je zpravidla pětičlenná.</w:t>
      </w:r>
    </w:p>
    <w:p w14:paraId="2E704575" w14:textId="77777777" w:rsidR="00FB23DF" w:rsidRDefault="00FB23DF" w:rsidP="00652D5F">
      <w:pPr>
        <w:numPr>
          <w:ilvl w:val="0"/>
          <w:numId w:val="13"/>
        </w:numPr>
        <w:tabs>
          <w:tab w:val="left" w:pos="426"/>
        </w:tabs>
        <w:ind w:left="426" w:right="0" w:hanging="426"/>
      </w:pPr>
      <w:r>
        <w:t xml:space="preserve">Rada návrh projedná v souladu s čl. 24 odst. 1 Řádu SP, přičemž vezme v úvahu posudky hodnotitelů a případně stanovisko pracovní skupiny podle odstavce 3. </w:t>
      </w:r>
    </w:p>
    <w:p w14:paraId="24256602" w14:textId="77777777" w:rsidR="00FB23DF" w:rsidRDefault="00FB23DF" w:rsidP="00652D5F">
      <w:pPr>
        <w:numPr>
          <w:ilvl w:val="0"/>
          <w:numId w:val="13"/>
        </w:numPr>
        <w:tabs>
          <w:tab w:val="left" w:pos="426"/>
        </w:tabs>
        <w:ind w:left="426" w:right="0" w:hanging="426"/>
      </w:pPr>
      <w:r>
        <w:t xml:space="preserve">Rada může v odůvodněných případech podle čl. 24 odst. 2 Řádu SP projednávání návrhu přerušit a požádat předkladatele o jeho doplnění, případně úpravu, k čemuž stanoví předkladateli lhůtu. </w:t>
      </w:r>
    </w:p>
    <w:p w14:paraId="49C71FA9" w14:textId="77777777" w:rsidR="00FB23DF" w:rsidRDefault="00FB23DF" w:rsidP="00652D5F">
      <w:pPr>
        <w:numPr>
          <w:ilvl w:val="0"/>
          <w:numId w:val="13"/>
        </w:numPr>
        <w:tabs>
          <w:tab w:val="left" w:pos="426"/>
        </w:tabs>
        <w:ind w:left="426" w:right="0" w:hanging="426"/>
      </w:pPr>
      <w:r>
        <w:lastRenderedPageBreak/>
        <w:t xml:space="preserve">Po projednání návrhu se Rada usnese, zda udělí studijnímu programu vnitřní akreditaci v souladu s čl. 25 Řádu SP, nebo se usnese o neudělení vnitřní akreditace, v souladu s čl. 26 Řádu SP. </w:t>
      </w:r>
    </w:p>
    <w:p w14:paraId="7716746D" w14:textId="77777777" w:rsidR="00FB23DF" w:rsidRDefault="00FB23DF" w:rsidP="00652D5F">
      <w:pPr>
        <w:numPr>
          <w:ilvl w:val="0"/>
          <w:numId w:val="13"/>
        </w:numPr>
        <w:tabs>
          <w:tab w:val="left" w:pos="426"/>
        </w:tabs>
        <w:spacing w:after="0"/>
        <w:ind w:right="0" w:hanging="260"/>
      </w:pPr>
      <w:r>
        <w:t xml:space="preserve">Usnesení vydá Rada v souladu s čl. 24 odst. 4 Řádu SP. </w:t>
      </w:r>
    </w:p>
    <w:p w14:paraId="337D783A" w14:textId="77777777" w:rsidR="00FB23DF" w:rsidRDefault="00FB23DF" w:rsidP="00E20D70">
      <w:pPr>
        <w:spacing w:after="0" w:line="259" w:lineRule="auto"/>
        <w:ind w:left="0" w:right="0" w:firstLine="0"/>
        <w:jc w:val="left"/>
      </w:pPr>
      <w:r>
        <w:t xml:space="preserve"> </w:t>
      </w:r>
    </w:p>
    <w:p w14:paraId="238113E5" w14:textId="77777777" w:rsidR="00E20D70" w:rsidRDefault="00E20D70" w:rsidP="00E20D70">
      <w:pPr>
        <w:spacing w:after="0" w:line="259" w:lineRule="auto"/>
        <w:ind w:left="0" w:right="0" w:firstLine="0"/>
        <w:jc w:val="left"/>
      </w:pPr>
    </w:p>
    <w:p w14:paraId="6F7A2202" w14:textId="77777777" w:rsidR="00FB23DF" w:rsidRDefault="00FB23DF" w:rsidP="004C3E63">
      <w:pPr>
        <w:pStyle w:val="Nadpis1"/>
        <w:spacing w:after="0"/>
      </w:pPr>
      <w:r>
        <w:t xml:space="preserve">Článek 5 </w:t>
      </w:r>
    </w:p>
    <w:p w14:paraId="3B7797DE" w14:textId="77777777" w:rsidR="00FB23DF" w:rsidRDefault="00FB23DF" w:rsidP="00E20D70">
      <w:pPr>
        <w:pStyle w:val="Nadpis1"/>
        <w:spacing w:after="0"/>
      </w:pPr>
      <w:r>
        <w:t xml:space="preserve">Rozšíření vnitřní akreditace a změny ve studijním programu </w:t>
      </w:r>
    </w:p>
    <w:p w14:paraId="7411C966" w14:textId="77777777" w:rsidR="00E20D70" w:rsidRPr="00E20D70" w:rsidRDefault="00E20D70" w:rsidP="00E20D70">
      <w:pPr>
        <w:spacing w:after="0"/>
      </w:pPr>
    </w:p>
    <w:p w14:paraId="760A0446" w14:textId="2462F06A" w:rsidR="00FB23DF" w:rsidRDefault="00FB23DF" w:rsidP="00EB2F17">
      <w:pPr>
        <w:numPr>
          <w:ilvl w:val="0"/>
          <w:numId w:val="14"/>
        </w:numPr>
        <w:tabs>
          <w:tab w:val="left" w:pos="426"/>
        </w:tabs>
        <w:ind w:left="426" w:right="0" w:hanging="426"/>
      </w:pPr>
      <w:r>
        <w:t xml:space="preserve">Během uskutečňování studijního programu může nositel vnitřní akreditace v souladu s čl. 28 odst. 1 Řádu SP požádat o rozšíření či prodloužení vnitřní akreditace a o změny </w:t>
      </w:r>
      <w:r w:rsidR="000971C6">
        <w:br/>
      </w:r>
      <w:r>
        <w:t xml:space="preserve">ve studijním programu a v souladu s čl. 42 odst. 5 Řádu SP může požádat o změnu garanta studijního programu nebo garanta specializace příslušného studijního programu. </w:t>
      </w:r>
    </w:p>
    <w:p w14:paraId="7952EF75" w14:textId="77777777" w:rsidR="00FB23DF" w:rsidRDefault="00FB23DF" w:rsidP="00EB2F17">
      <w:pPr>
        <w:numPr>
          <w:ilvl w:val="0"/>
          <w:numId w:val="14"/>
        </w:numPr>
        <w:tabs>
          <w:tab w:val="left" w:pos="426"/>
        </w:tabs>
        <w:spacing w:after="0"/>
        <w:ind w:right="0" w:hanging="260"/>
      </w:pPr>
      <w:r>
        <w:t xml:space="preserve">Při projednávání návrhu se postupuje podle čl. 4. </w:t>
      </w:r>
    </w:p>
    <w:p w14:paraId="7DB9496C" w14:textId="13E92382" w:rsidR="00FB23DF" w:rsidRPr="009D3DA9" w:rsidRDefault="00FB23DF" w:rsidP="00E20D70">
      <w:pPr>
        <w:spacing w:after="0" w:line="259" w:lineRule="auto"/>
        <w:ind w:left="260" w:right="0" w:firstLine="0"/>
        <w:jc w:val="center"/>
        <w:rPr>
          <w:szCs w:val="24"/>
        </w:rPr>
      </w:pPr>
    </w:p>
    <w:p w14:paraId="0BC07A2D" w14:textId="77777777" w:rsidR="00E20D70" w:rsidRPr="009D3DA9" w:rsidRDefault="00E20D70" w:rsidP="00FB23DF">
      <w:pPr>
        <w:spacing w:after="0" w:line="259" w:lineRule="auto"/>
        <w:ind w:left="65" w:right="0" w:firstLine="0"/>
        <w:jc w:val="center"/>
        <w:rPr>
          <w:szCs w:val="24"/>
        </w:rPr>
      </w:pPr>
    </w:p>
    <w:p w14:paraId="7AFFC44B" w14:textId="77777777" w:rsidR="00E20D70" w:rsidRPr="009D3DA9" w:rsidRDefault="00E20D70" w:rsidP="00FB23DF">
      <w:pPr>
        <w:spacing w:after="0" w:line="259" w:lineRule="auto"/>
        <w:ind w:left="65" w:right="0" w:firstLine="0"/>
        <w:jc w:val="center"/>
        <w:rPr>
          <w:szCs w:val="24"/>
        </w:rPr>
      </w:pPr>
    </w:p>
    <w:p w14:paraId="4842A00E" w14:textId="77777777" w:rsidR="00FB23DF" w:rsidRPr="00E20D70" w:rsidRDefault="00FB23DF" w:rsidP="00FB23DF">
      <w:pPr>
        <w:spacing w:after="0" w:line="259" w:lineRule="auto"/>
        <w:ind w:right="7"/>
        <w:jc w:val="center"/>
        <w:rPr>
          <w:b/>
          <w:bCs/>
          <w:szCs w:val="24"/>
        </w:rPr>
      </w:pPr>
      <w:r w:rsidRPr="00E20D70">
        <w:rPr>
          <w:b/>
          <w:bCs/>
          <w:szCs w:val="24"/>
        </w:rPr>
        <w:t xml:space="preserve">ČÁST TŘETÍ </w:t>
      </w:r>
    </w:p>
    <w:p w14:paraId="3F03219C" w14:textId="77777777" w:rsidR="00FB23DF" w:rsidRPr="00E20D70" w:rsidRDefault="00FB23DF" w:rsidP="00FB23DF">
      <w:pPr>
        <w:spacing w:after="0" w:line="259" w:lineRule="auto"/>
        <w:ind w:right="6"/>
        <w:jc w:val="center"/>
        <w:rPr>
          <w:b/>
          <w:bCs/>
          <w:szCs w:val="24"/>
        </w:rPr>
      </w:pPr>
      <w:r w:rsidRPr="00E20D70">
        <w:rPr>
          <w:b/>
          <w:bCs/>
          <w:szCs w:val="24"/>
        </w:rPr>
        <w:t xml:space="preserve">AKREDITACE STUDIJNÍHO PROGRAMU NAÚ </w:t>
      </w:r>
    </w:p>
    <w:p w14:paraId="762D466B" w14:textId="77777777" w:rsidR="00FB23DF" w:rsidRDefault="00FB23DF" w:rsidP="009D3DA9">
      <w:pPr>
        <w:spacing w:after="0" w:line="259" w:lineRule="auto"/>
        <w:ind w:left="55" w:right="0" w:firstLine="0"/>
        <w:jc w:val="center"/>
      </w:pPr>
      <w:r>
        <w:t xml:space="preserve"> </w:t>
      </w:r>
    </w:p>
    <w:p w14:paraId="71F80CEA" w14:textId="77777777" w:rsidR="00E20D70" w:rsidRDefault="00E20D70" w:rsidP="00E20D70">
      <w:pPr>
        <w:spacing w:after="0" w:line="259" w:lineRule="auto"/>
        <w:ind w:left="55" w:right="0" w:firstLine="0"/>
        <w:jc w:val="center"/>
      </w:pPr>
    </w:p>
    <w:p w14:paraId="41F37487" w14:textId="77777777" w:rsidR="00FB23DF" w:rsidRDefault="00FB23DF" w:rsidP="00E20D70">
      <w:pPr>
        <w:pStyle w:val="Nadpis1"/>
        <w:spacing w:after="0"/>
      </w:pPr>
      <w:r>
        <w:t xml:space="preserve">Článek 6 </w:t>
      </w:r>
    </w:p>
    <w:p w14:paraId="33CA2A0C" w14:textId="77777777" w:rsidR="00FB23DF" w:rsidRDefault="00FB23DF" w:rsidP="00E20D70">
      <w:pPr>
        <w:pStyle w:val="Nadpis1"/>
        <w:spacing w:after="0"/>
      </w:pPr>
      <w:r>
        <w:t xml:space="preserve">Projednávání a předkládání návrhu žádosti o akreditaci studijního programu NAÚ </w:t>
      </w:r>
    </w:p>
    <w:p w14:paraId="6C2539BA" w14:textId="77777777" w:rsidR="00E20D70" w:rsidRPr="00E20D70" w:rsidRDefault="00E20D70" w:rsidP="00E20D70">
      <w:pPr>
        <w:spacing w:after="0"/>
      </w:pPr>
    </w:p>
    <w:p w14:paraId="6DBBE161" w14:textId="059AE20B" w:rsidR="00FB23DF" w:rsidRDefault="00FB23DF" w:rsidP="00EB2F17">
      <w:pPr>
        <w:numPr>
          <w:ilvl w:val="0"/>
          <w:numId w:val="15"/>
        </w:numPr>
        <w:tabs>
          <w:tab w:val="left" w:pos="426"/>
        </w:tabs>
        <w:spacing w:after="0"/>
        <w:ind w:left="426" w:right="0" w:hanging="426"/>
      </w:pPr>
      <w:r>
        <w:t xml:space="preserve">Pro posouzení návrhu žádosti o akreditaci nového studijního programu navrhne Radě   předseda Rady podle čl. 3 jednoho interního hodnotitele pro obecné posouzení návrhu </w:t>
      </w:r>
      <w:r w:rsidR="000971C6">
        <w:br/>
      </w:r>
      <w:r>
        <w:t>a jednoho externího hodnotitele pro odborné posouzení návrhu. Předseda Rady zajistí potřebný souhlas navržených hodnotitelů se zpracováním posudku.</w:t>
      </w:r>
      <w:r>
        <w:rPr>
          <w:rFonts w:ascii="Calibri" w:eastAsia="Calibri" w:hAnsi="Calibri" w:cs="Calibri"/>
          <w:sz w:val="22"/>
        </w:rPr>
        <w:t xml:space="preserve">  </w:t>
      </w:r>
    </w:p>
    <w:p w14:paraId="5BC229F7" w14:textId="77777777" w:rsidR="00FB23DF" w:rsidRDefault="00FB23DF" w:rsidP="00EB2F17">
      <w:pPr>
        <w:numPr>
          <w:ilvl w:val="0"/>
          <w:numId w:val="15"/>
        </w:numPr>
        <w:tabs>
          <w:tab w:val="left" w:pos="426"/>
        </w:tabs>
        <w:spacing w:before="240"/>
        <w:ind w:left="426" w:right="0" w:hanging="426"/>
      </w:pPr>
      <w:r>
        <w:t xml:space="preserve">Rada posoudí, zda lze od navržených hodnotitelů očekávat kvalifikované posouzení návrhu, případně navrhne vlastní hodnotitele tak, aby byla splněna podmínka složení hodnotitelů uvedená v odstavci 1. </w:t>
      </w:r>
    </w:p>
    <w:p w14:paraId="42D0DFF1" w14:textId="77777777" w:rsidR="00FB23DF" w:rsidRDefault="00FB23DF" w:rsidP="00EB2F17">
      <w:pPr>
        <w:numPr>
          <w:ilvl w:val="0"/>
          <w:numId w:val="15"/>
        </w:numPr>
        <w:tabs>
          <w:tab w:val="left" w:pos="426"/>
        </w:tabs>
        <w:ind w:left="426" w:right="0" w:hanging="426"/>
      </w:pPr>
      <w:r>
        <w:t xml:space="preserve">Pro posouzení návrhu studijního programu může předseda Rady podle čl. 7 Jednacího řádu Rady navrhnout pracovní skupinu, která je zpravidla pětičlenná. </w:t>
      </w:r>
    </w:p>
    <w:p w14:paraId="622BFA03" w14:textId="77777777" w:rsidR="00FB23DF" w:rsidRDefault="00FB23DF" w:rsidP="00EB2F17">
      <w:pPr>
        <w:numPr>
          <w:ilvl w:val="0"/>
          <w:numId w:val="15"/>
        </w:numPr>
        <w:tabs>
          <w:tab w:val="left" w:pos="426"/>
        </w:tabs>
        <w:ind w:left="426" w:right="0" w:hanging="426"/>
      </w:pPr>
      <w:r>
        <w:t xml:space="preserve">Rada návrh projedná v souladu s čl. 33 odst. 1 Řádu SP, přičemž vezme v úvahu posudky hodnotitelů a případně stanovisko pracovní skupiny podle odstavce 3. </w:t>
      </w:r>
    </w:p>
    <w:p w14:paraId="4C2340A5" w14:textId="77777777" w:rsidR="00FB23DF" w:rsidRDefault="00FB23DF" w:rsidP="00EB2F17">
      <w:pPr>
        <w:numPr>
          <w:ilvl w:val="0"/>
          <w:numId w:val="15"/>
        </w:numPr>
        <w:tabs>
          <w:tab w:val="left" w:pos="426"/>
        </w:tabs>
        <w:ind w:left="426" w:right="0" w:hanging="426"/>
      </w:pPr>
      <w:r>
        <w:t xml:space="preserve">Rada může v odůvodněných případech podle čl. 33 odst. 2 Řádu SP projednávání návrhu záměru přerušit a požádat předkladatele o jeho doplnění, případně úpravu, k čemuž stanoví předkladateli lhůtu. </w:t>
      </w:r>
    </w:p>
    <w:p w14:paraId="7F73E7EF" w14:textId="77777777" w:rsidR="00FB23DF" w:rsidRDefault="00FB23DF" w:rsidP="00EB2F17">
      <w:pPr>
        <w:numPr>
          <w:ilvl w:val="0"/>
          <w:numId w:val="15"/>
        </w:numPr>
        <w:tabs>
          <w:tab w:val="left" w:pos="426"/>
        </w:tabs>
        <w:ind w:left="426" w:right="0" w:hanging="426"/>
      </w:pPr>
      <w:r>
        <w:t xml:space="preserve">Po projednání návrhu se Rada usnese, zda návrh postoupí v souladu s čl. 33 </w:t>
      </w:r>
      <w:r>
        <w:br/>
        <w:t xml:space="preserve">odst. 3 Řádu SP, nebo návrh neschválí v souladu s čl. 33 odst. 4 Řádu SP. </w:t>
      </w:r>
    </w:p>
    <w:p w14:paraId="1C95AE8B" w14:textId="77777777" w:rsidR="00FB23DF" w:rsidRDefault="00FB23DF" w:rsidP="00EB2F17">
      <w:pPr>
        <w:numPr>
          <w:ilvl w:val="0"/>
          <w:numId w:val="15"/>
        </w:numPr>
        <w:tabs>
          <w:tab w:val="left" w:pos="426"/>
        </w:tabs>
        <w:spacing w:after="0"/>
        <w:ind w:left="426" w:right="0" w:hanging="426"/>
      </w:pPr>
      <w:r>
        <w:t xml:space="preserve">Je-li pro vykonávání povolání, které je obsahem předkládaného návrhu třeba souhlasné stanovisko regulačního orgánu, předkladatel stanovisko zajistí předem a přiloží jako součást podkladů pro zaslání na NAÚ.  </w:t>
      </w:r>
      <w:r>
        <w:rPr>
          <w:rFonts w:ascii="Arial" w:eastAsia="Arial" w:hAnsi="Arial" w:cs="Arial"/>
          <w:sz w:val="20"/>
        </w:rPr>
        <w:t xml:space="preserve"> </w:t>
      </w:r>
    </w:p>
    <w:p w14:paraId="0B450B64" w14:textId="77777777" w:rsidR="000971C6" w:rsidRDefault="000971C6" w:rsidP="00FB23DF">
      <w:pPr>
        <w:spacing w:after="0" w:line="259" w:lineRule="auto"/>
        <w:ind w:left="0" w:right="0" w:firstLine="0"/>
        <w:jc w:val="left"/>
      </w:pPr>
    </w:p>
    <w:p w14:paraId="4A626521" w14:textId="77777777" w:rsidR="00FB23DF" w:rsidRDefault="00FB23DF" w:rsidP="00E20D70">
      <w:pPr>
        <w:pStyle w:val="Nadpis1"/>
        <w:spacing w:after="0"/>
      </w:pPr>
      <w:r>
        <w:t xml:space="preserve">Článek 7 </w:t>
      </w:r>
    </w:p>
    <w:p w14:paraId="2E44C348" w14:textId="77777777" w:rsidR="00E20D70" w:rsidRDefault="00FB23DF" w:rsidP="00E20D70">
      <w:pPr>
        <w:pStyle w:val="Nadpis1"/>
        <w:spacing w:after="0"/>
        <w:rPr>
          <w:b w:val="0"/>
        </w:rPr>
      </w:pPr>
      <w:r>
        <w:t xml:space="preserve">Rozšíření a prodloužení akreditace studijního programu </w:t>
      </w:r>
      <w:r>
        <w:rPr>
          <w:b w:val="0"/>
        </w:rPr>
        <w:t xml:space="preserve"> </w:t>
      </w:r>
    </w:p>
    <w:p w14:paraId="3BCE8332" w14:textId="00C204F4" w:rsidR="00FB23DF" w:rsidRDefault="00FB23DF" w:rsidP="00E20D70">
      <w:pPr>
        <w:pStyle w:val="Nadpis1"/>
        <w:spacing w:after="0"/>
      </w:pPr>
      <w:r>
        <w:t xml:space="preserve"> </w:t>
      </w:r>
    </w:p>
    <w:p w14:paraId="7C8BF7B1" w14:textId="05F7A986" w:rsidR="00FB23DF" w:rsidRDefault="00E20D70" w:rsidP="004C3E63">
      <w:pPr>
        <w:spacing w:after="0"/>
        <w:ind w:left="-5" w:right="0"/>
      </w:pPr>
      <w:r>
        <w:t>Rada postupuje</w:t>
      </w:r>
      <w:r w:rsidR="00FB23DF">
        <w:t xml:space="preserve"> při projednávání návrhu na rozšíření studijního programu či prodloužení doby platnosti jeho akreditace podle čl. 6 obdobně.  </w:t>
      </w:r>
    </w:p>
    <w:p w14:paraId="20AA3C09" w14:textId="77777777" w:rsidR="00FB23DF" w:rsidRDefault="00FB23DF" w:rsidP="004C3E63">
      <w:pPr>
        <w:spacing w:after="0" w:line="259" w:lineRule="auto"/>
        <w:ind w:left="0" w:right="0" w:firstLine="0"/>
        <w:jc w:val="left"/>
      </w:pPr>
      <w:r>
        <w:t xml:space="preserve"> </w:t>
      </w:r>
    </w:p>
    <w:p w14:paraId="20067863" w14:textId="77777777" w:rsidR="004C3E63" w:rsidRDefault="004C3E63" w:rsidP="004C3E63">
      <w:pPr>
        <w:spacing w:after="0" w:line="259" w:lineRule="auto"/>
        <w:ind w:left="0" w:right="0" w:firstLine="0"/>
        <w:jc w:val="left"/>
      </w:pPr>
    </w:p>
    <w:p w14:paraId="3DCDED20" w14:textId="77777777" w:rsidR="00FB23DF" w:rsidRDefault="00FB23DF" w:rsidP="00E20D70">
      <w:pPr>
        <w:pStyle w:val="Nadpis1"/>
        <w:spacing w:after="0"/>
      </w:pPr>
      <w:r>
        <w:t xml:space="preserve">Článek 8 </w:t>
      </w:r>
    </w:p>
    <w:p w14:paraId="200EC5E2" w14:textId="77777777" w:rsidR="00FB23DF" w:rsidRDefault="00FB23DF" w:rsidP="00E20D70">
      <w:pPr>
        <w:pStyle w:val="Nadpis1"/>
        <w:spacing w:after="0"/>
        <w:rPr>
          <w:b w:val="0"/>
        </w:rPr>
      </w:pPr>
      <w:r>
        <w:t>Postup při změně akreditovaných studijních programů</w:t>
      </w:r>
      <w:r>
        <w:rPr>
          <w:b w:val="0"/>
        </w:rPr>
        <w:t xml:space="preserve"> </w:t>
      </w:r>
    </w:p>
    <w:p w14:paraId="696AE5C5" w14:textId="77777777" w:rsidR="00E20D70" w:rsidRPr="00E20D70" w:rsidRDefault="00E20D70" w:rsidP="004C3E63">
      <w:pPr>
        <w:spacing w:after="0"/>
      </w:pPr>
    </w:p>
    <w:p w14:paraId="71CA4019" w14:textId="77777777" w:rsidR="00FB23DF" w:rsidRDefault="00FB23DF" w:rsidP="00EB2F17">
      <w:pPr>
        <w:numPr>
          <w:ilvl w:val="0"/>
          <w:numId w:val="16"/>
        </w:numPr>
        <w:tabs>
          <w:tab w:val="left" w:pos="426"/>
        </w:tabs>
        <w:ind w:left="426" w:right="0" w:hanging="426"/>
      </w:pPr>
      <w:r>
        <w:t xml:space="preserve">Rada projedná na žádost předloženou rektorem návrh na závažné změny ve studijním programu ovlivňující profil absolventa a obsah státní zkoušky a návrh na změnu garanta studijního programu nebo na změnu garanta specializace příslušného studijního programu. </w:t>
      </w:r>
    </w:p>
    <w:p w14:paraId="7709E67B" w14:textId="080B50F0" w:rsidR="00FB23DF" w:rsidRDefault="00FB23DF" w:rsidP="00EB2F17">
      <w:pPr>
        <w:numPr>
          <w:ilvl w:val="0"/>
          <w:numId w:val="16"/>
        </w:numPr>
        <w:tabs>
          <w:tab w:val="left" w:pos="426"/>
        </w:tabs>
        <w:spacing w:after="0"/>
        <w:ind w:left="426" w:right="0" w:hanging="426"/>
      </w:pPr>
      <w:r>
        <w:t xml:space="preserve">Po projednání v Radě a jejím schválení je žádost postoupena rektorovi k podpisu </w:t>
      </w:r>
      <w:r w:rsidR="00E345DE">
        <w:br/>
      </w:r>
      <w:r>
        <w:t xml:space="preserve">a následně zaslána NAÚ. Při projednání postupuje Rada přiměřeně podle čl. 6.  </w:t>
      </w:r>
    </w:p>
    <w:p w14:paraId="51DBEFFF" w14:textId="00D92985" w:rsidR="00FB23DF" w:rsidRDefault="00FB23DF" w:rsidP="00E20D70">
      <w:pPr>
        <w:spacing w:after="0" w:line="259" w:lineRule="auto"/>
        <w:ind w:right="0" w:firstLine="0"/>
        <w:jc w:val="left"/>
      </w:pPr>
    </w:p>
    <w:p w14:paraId="72074961" w14:textId="77777777" w:rsidR="00E20D70" w:rsidRDefault="00E20D70" w:rsidP="00E20D70">
      <w:pPr>
        <w:spacing w:after="0" w:line="259" w:lineRule="auto"/>
        <w:ind w:left="0" w:right="0" w:firstLine="0"/>
        <w:jc w:val="left"/>
      </w:pPr>
    </w:p>
    <w:p w14:paraId="512E9D27" w14:textId="77777777" w:rsidR="00E20D70" w:rsidRDefault="00E20D70" w:rsidP="00E20D70">
      <w:pPr>
        <w:spacing w:after="0" w:line="259" w:lineRule="auto"/>
        <w:ind w:left="0" w:right="0" w:firstLine="0"/>
        <w:jc w:val="left"/>
      </w:pPr>
    </w:p>
    <w:p w14:paraId="7D92F874" w14:textId="77777777" w:rsidR="00FB23DF" w:rsidRPr="004C3E63" w:rsidRDefault="00FB23DF" w:rsidP="00E20D70">
      <w:pPr>
        <w:spacing w:after="0" w:line="259" w:lineRule="auto"/>
        <w:ind w:right="6"/>
        <w:jc w:val="center"/>
        <w:rPr>
          <w:b/>
          <w:bCs/>
          <w:szCs w:val="24"/>
        </w:rPr>
      </w:pPr>
      <w:r w:rsidRPr="004C3E63">
        <w:rPr>
          <w:b/>
          <w:bCs/>
          <w:szCs w:val="24"/>
        </w:rPr>
        <w:t xml:space="preserve">ČÁST ČTVRTÁ </w:t>
      </w:r>
    </w:p>
    <w:p w14:paraId="0A526CC9" w14:textId="77777777" w:rsidR="00FB23DF" w:rsidRPr="004C3E63" w:rsidRDefault="00FB23DF" w:rsidP="00FB23DF">
      <w:pPr>
        <w:spacing w:after="0" w:line="259" w:lineRule="auto"/>
        <w:ind w:right="8"/>
        <w:jc w:val="center"/>
        <w:rPr>
          <w:b/>
          <w:bCs/>
          <w:szCs w:val="24"/>
        </w:rPr>
      </w:pPr>
      <w:r w:rsidRPr="004C3E63">
        <w:rPr>
          <w:b/>
          <w:bCs/>
          <w:szCs w:val="24"/>
        </w:rPr>
        <w:t xml:space="preserve">SPOLEČNÁ USTANOVENÍ </w:t>
      </w:r>
    </w:p>
    <w:p w14:paraId="17240B34" w14:textId="77777777" w:rsidR="00FB23DF" w:rsidRDefault="00FB23DF" w:rsidP="00E20D70">
      <w:pPr>
        <w:spacing w:after="0" w:line="259" w:lineRule="auto"/>
        <w:ind w:left="0" w:right="0" w:firstLine="0"/>
        <w:jc w:val="left"/>
      </w:pPr>
      <w:r>
        <w:t xml:space="preserve"> </w:t>
      </w:r>
    </w:p>
    <w:p w14:paraId="56E6F5E1" w14:textId="0A50BF09" w:rsidR="00E20D70" w:rsidRDefault="00E20D70" w:rsidP="00E20D70">
      <w:pPr>
        <w:spacing w:after="0" w:line="259" w:lineRule="auto"/>
        <w:ind w:left="0" w:right="0" w:firstLine="0"/>
        <w:jc w:val="left"/>
      </w:pPr>
    </w:p>
    <w:p w14:paraId="5CCE757F" w14:textId="77777777" w:rsidR="00FB23DF" w:rsidRDefault="00FB23DF" w:rsidP="00E20D70">
      <w:pPr>
        <w:pStyle w:val="Nadpis1"/>
        <w:spacing w:after="0"/>
      </w:pPr>
      <w:r>
        <w:t xml:space="preserve">Článek 9 </w:t>
      </w:r>
    </w:p>
    <w:p w14:paraId="777E7E65" w14:textId="77777777" w:rsidR="00FB23DF" w:rsidRDefault="00FB23DF" w:rsidP="00E20D70">
      <w:pPr>
        <w:pStyle w:val="Nadpis1"/>
        <w:spacing w:after="0"/>
        <w:rPr>
          <w:b w:val="0"/>
        </w:rPr>
      </w:pPr>
      <w:r>
        <w:t xml:space="preserve">Nápravná opatření při nedostatcích uskutečňování studijního programu </w:t>
      </w:r>
      <w:r>
        <w:rPr>
          <w:b w:val="0"/>
        </w:rPr>
        <w:t xml:space="preserve"> </w:t>
      </w:r>
    </w:p>
    <w:p w14:paraId="2BE5CFCD" w14:textId="77777777" w:rsidR="00E20D70" w:rsidRPr="00E20D70" w:rsidRDefault="00E20D70" w:rsidP="00E20D70">
      <w:pPr>
        <w:spacing w:after="0"/>
      </w:pPr>
    </w:p>
    <w:p w14:paraId="4AC3F329" w14:textId="77777777" w:rsidR="00FB23DF" w:rsidRDefault="00FB23DF" w:rsidP="00E20D70">
      <w:pPr>
        <w:spacing w:after="0"/>
        <w:ind w:right="0" w:firstLine="0"/>
      </w:pPr>
      <w:r>
        <w:t xml:space="preserve"> Při projednávání závažných nedostatků se u studijních programů uskutečňovaných na základě vnitřní akreditace postupuje podle čl. 29 Řádu SP, u studijních programů akreditovaných NAÚ se postupuje podle čl. 41 Řádu SP. </w:t>
      </w:r>
    </w:p>
    <w:p w14:paraId="5A543925" w14:textId="77777777" w:rsidR="00FB23DF" w:rsidRDefault="00FB23DF" w:rsidP="009D3DA9">
      <w:pPr>
        <w:spacing w:after="0" w:line="259" w:lineRule="auto"/>
        <w:ind w:left="0" w:right="0" w:firstLine="0"/>
        <w:jc w:val="left"/>
      </w:pPr>
      <w:r>
        <w:t xml:space="preserve"> </w:t>
      </w:r>
    </w:p>
    <w:p w14:paraId="3222D026" w14:textId="77777777" w:rsidR="00E20D70" w:rsidRDefault="00E20D70" w:rsidP="009D3DA9">
      <w:pPr>
        <w:spacing w:after="0" w:line="259" w:lineRule="auto"/>
        <w:ind w:left="0" w:right="0" w:firstLine="0"/>
        <w:jc w:val="left"/>
      </w:pPr>
    </w:p>
    <w:p w14:paraId="6C2124B1" w14:textId="77777777" w:rsidR="00FB23DF" w:rsidRDefault="00FB23DF" w:rsidP="00E20D70">
      <w:pPr>
        <w:pStyle w:val="Nadpis1"/>
        <w:spacing w:after="0"/>
      </w:pPr>
      <w:r>
        <w:t xml:space="preserve">Článek 10 </w:t>
      </w:r>
    </w:p>
    <w:p w14:paraId="4E899BDA" w14:textId="77777777" w:rsidR="00FB23DF" w:rsidRDefault="00FB23DF" w:rsidP="00E20D70">
      <w:pPr>
        <w:pStyle w:val="Nadpis1"/>
        <w:spacing w:after="0"/>
        <w:rPr>
          <w:b w:val="0"/>
        </w:rPr>
      </w:pPr>
      <w:r>
        <w:t>Projednávání kontrolních zpráv</w:t>
      </w:r>
      <w:r>
        <w:rPr>
          <w:b w:val="0"/>
        </w:rPr>
        <w:t xml:space="preserve"> </w:t>
      </w:r>
    </w:p>
    <w:p w14:paraId="3F2D7021" w14:textId="77777777" w:rsidR="00E20D70" w:rsidRPr="00E20D70" w:rsidRDefault="00E20D70" w:rsidP="00E20D70">
      <w:pPr>
        <w:spacing w:after="0"/>
      </w:pPr>
    </w:p>
    <w:p w14:paraId="102CD649" w14:textId="352CCED2" w:rsidR="00FB23DF" w:rsidRDefault="00FB23DF" w:rsidP="00342BB6">
      <w:pPr>
        <w:numPr>
          <w:ilvl w:val="0"/>
          <w:numId w:val="17"/>
        </w:numPr>
        <w:tabs>
          <w:tab w:val="left" w:pos="426"/>
        </w:tabs>
        <w:spacing w:after="0"/>
        <w:ind w:left="426" w:right="0" w:hanging="426"/>
      </w:pPr>
      <w:r>
        <w:t xml:space="preserve">Ustanovení tohoto článku se týkají kontrolních zpráv vyžádaných NAÚ nebo Radou </w:t>
      </w:r>
      <w:r w:rsidR="00E345DE">
        <w:br/>
      </w:r>
      <w:r>
        <w:t xml:space="preserve">v době platnosti akreditace nebo vnitřní akreditace studijního programu. </w:t>
      </w:r>
    </w:p>
    <w:p w14:paraId="23256B10" w14:textId="13071AA5" w:rsidR="00FB23DF" w:rsidRDefault="00FB23DF" w:rsidP="00342BB6">
      <w:pPr>
        <w:numPr>
          <w:ilvl w:val="0"/>
          <w:numId w:val="17"/>
        </w:numPr>
        <w:tabs>
          <w:tab w:val="left" w:pos="426"/>
        </w:tabs>
        <w:spacing w:before="240"/>
        <w:ind w:left="426" w:right="0" w:hanging="426"/>
      </w:pPr>
      <w:r>
        <w:t xml:space="preserve">Kontrolní zprávu vyžádanou Radou vypracuje garant studijního programu a rektorovi </w:t>
      </w:r>
      <w:r w:rsidR="00E345DE">
        <w:br/>
      </w:r>
      <w:r>
        <w:t>ji předloží nositel vnitřní akreditace. Rektor následně zprávu předloží Radě.</w:t>
      </w:r>
    </w:p>
    <w:p w14:paraId="6D8915A8" w14:textId="1295E2F1" w:rsidR="00FB23DF" w:rsidRDefault="00FB23DF" w:rsidP="00342BB6">
      <w:pPr>
        <w:numPr>
          <w:ilvl w:val="0"/>
          <w:numId w:val="17"/>
        </w:numPr>
        <w:tabs>
          <w:tab w:val="left" w:pos="426"/>
        </w:tabs>
        <w:ind w:left="426" w:right="0" w:hanging="426"/>
      </w:pPr>
      <w:r>
        <w:t xml:space="preserve">Kontrolní zprávu vyžádanou NAÚ vypracuje garant studijního programu a rektorovi </w:t>
      </w:r>
      <w:r w:rsidR="00E345DE">
        <w:br/>
      </w:r>
      <w:r>
        <w:t>ji předloží nositel akreditace studijního programu nejpozději 14 dnů před termínem stanoveným NAÚ. Prorektor pro pedagogickou činnost posoudí, zda zpráva odpovídá požadavku NAÚ, nebo zda je třeba zprávu doplnit, případně přepracovat.  Po odsouhlasení prorektorem pro pedagogickou činnost rektor následně zprávu předloží NAÚ.</w:t>
      </w:r>
    </w:p>
    <w:p w14:paraId="02B64645" w14:textId="77777777" w:rsidR="00FB23DF" w:rsidRDefault="00FB23DF" w:rsidP="00E20D70">
      <w:pPr>
        <w:pStyle w:val="Nadpis1"/>
        <w:spacing w:after="0"/>
        <w:ind w:left="3423" w:right="2841"/>
      </w:pPr>
      <w:r>
        <w:lastRenderedPageBreak/>
        <w:t xml:space="preserve">Článek 11 </w:t>
      </w:r>
    </w:p>
    <w:p w14:paraId="25B27446" w14:textId="77777777" w:rsidR="00FB23DF" w:rsidRDefault="00FB23DF" w:rsidP="00E20D70">
      <w:pPr>
        <w:pStyle w:val="Nadpis1"/>
        <w:spacing w:after="0"/>
        <w:ind w:left="3423" w:right="2841"/>
      </w:pPr>
      <w:r>
        <w:t xml:space="preserve">Závěrečná ustanovení </w:t>
      </w:r>
    </w:p>
    <w:p w14:paraId="5E344D57" w14:textId="77777777" w:rsidR="00E20D70" w:rsidRPr="00E20D70" w:rsidRDefault="00E20D70" w:rsidP="00E20D70">
      <w:pPr>
        <w:spacing w:after="0"/>
      </w:pPr>
    </w:p>
    <w:p w14:paraId="5C44FB0A" w14:textId="77777777" w:rsidR="00B13E4D" w:rsidRDefault="00B13E4D" w:rsidP="00B13E4D">
      <w:pPr>
        <w:numPr>
          <w:ilvl w:val="0"/>
          <w:numId w:val="18"/>
        </w:numPr>
        <w:tabs>
          <w:tab w:val="left" w:pos="426"/>
        </w:tabs>
        <w:spacing w:before="240"/>
        <w:ind w:right="0" w:hanging="259"/>
      </w:pPr>
      <w:r>
        <w:t xml:space="preserve">Rada se k této vnitřní normě vyjádřila dne 19. května 2026. </w:t>
      </w:r>
    </w:p>
    <w:p w14:paraId="4A23658B" w14:textId="10DD5B1F" w:rsidR="00FB23DF" w:rsidRDefault="00FB23DF" w:rsidP="00EB2F17">
      <w:pPr>
        <w:numPr>
          <w:ilvl w:val="0"/>
          <w:numId w:val="18"/>
        </w:numPr>
        <w:tabs>
          <w:tab w:val="left" w:pos="426"/>
        </w:tabs>
        <w:spacing w:after="0"/>
        <w:ind w:right="0" w:hanging="259"/>
      </w:pPr>
      <w:r>
        <w:t xml:space="preserve">Tato směrnice </w:t>
      </w:r>
      <w:r w:rsidR="00B13E4D">
        <w:t xml:space="preserve">ruší a </w:t>
      </w:r>
      <w:r>
        <w:t xml:space="preserve">nahrazuje Směrnici rektora č. 25/2024. </w:t>
      </w:r>
    </w:p>
    <w:p w14:paraId="5C7C9026" w14:textId="512CDFBC" w:rsidR="00F470FF" w:rsidRDefault="00F470FF" w:rsidP="00F372FC">
      <w:pPr>
        <w:spacing w:after="0" w:line="259" w:lineRule="auto"/>
        <w:ind w:left="0" w:right="0" w:firstLine="0"/>
        <w:jc w:val="left"/>
      </w:pPr>
    </w:p>
    <w:p w14:paraId="1FC487C1" w14:textId="77777777" w:rsidR="00370682" w:rsidRDefault="00370682" w:rsidP="00F372FC">
      <w:pPr>
        <w:spacing w:after="0" w:line="259" w:lineRule="auto"/>
        <w:ind w:left="0" w:right="0" w:firstLine="0"/>
        <w:jc w:val="left"/>
      </w:pPr>
    </w:p>
    <w:p w14:paraId="1B243CA0" w14:textId="77777777" w:rsidR="00370682" w:rsidRDefault="00370682" w:rsidP="00F372FC">
      <w:pPr>
        <w:spacing w:after="0" w:line="259" w:lineRule="auto"/>
        <w:ind w:left="0" w:right="0" w:firstLine="0"/>
        <w:jc w:val="left"/>
      </w:pPr>
    </w:p>
    <w:p w14:paraId="537CFA52" w14:textId="77777777" w:rsidR="00370682" w:rsidRDefault="00370682" w:rsidP="00F372FC">
      <w:pPr>
        <w:spacing w:after="0" w:line="259" w:lineRule="auto"/>
        <w:ind w:left="0" w:right="0" w:firstLine="0"/>
        <w:jc w:val="left"/>
      </w:pPr>
    </w:p>
    <w:p w14:paraId="68AB7579" w14:textId="77777777" w:rsidR="00F372FC" w:rsidRDefault="00F372FC" w:rsidP="00F372FC">
      <w:pPr>
        <w:spacing w:after="0" w:line="259" w:lineRule="auto"/>
        <w:ind w:left="0" w:right="0" w:firstLine="0"/>
        <w:jc w:val="left"/>
      </w:pPr>
    </w:p>
    <w:tbl>
      <w:tblPr>
        <w:tblStyle w:val="TableGrid"/>
        <w:tblW w:w="9045" w:type="dxa"/>
        <w:tblInd w:w="14" w:type="dxa"/>
        <w:tblCellMar>
          <w:top w:w="62" w:type="dxa"/>
          <w:right w:w="115" w:type="dxa"/>
        </w:tblCellMar>
        <w:tblLook w:val="04A0" w:firstRow="1" w:lastRow="0" w:firstColumn="1" w:lastColumn="0" w:noHBand="0" w:noVBand="1"/>
      </w:tblPr>
      <w:tblGrid>
        <w:gridCol w:w="2262"/>
        <w:gridCol w:w="1553"/>
        <w:gridCol w:w="2693"/>
        <w:gridCol w:w="2537"/>
      </w:tblGrid>
      <w:tr w:rsidR="00F470FF" w14:paraId="0461ECB5" w14:textId="77777777">
        <w:trPr>
          <w:trHeight w:val="295"/>
        </w:trPr>
        <w:tc>
          <w:tcPr>
            <w:tcW w:w="2261" w:type="dxa"/>
            <w:tcBorders>
              <w:top w:val="double" w:sz="4" w:space="0" w:color="000000"/>
              <w:left w:val="double" w:sz="4" w:space="0" w:color="000000"/>
              <w:bottom w:val="single" w:sz="4" w:space="0" w:color="000000"/>
              <w:right w:val="nil"/>
            </w:tcBorders>
          </w:tcPr>
          <w:p w14:paraId="31B2FBCA" w14:textId="77777777" w:rsidR="00F470FF" w:rsidRDefault="00F470FF">
            <w:pPr>
              <w:spacing w:after="160" w:line="259" w:lineRule="auto"/>
              <w:ind w:left="0" w:right="0" w:firstLine="0"/>
              <w:jc w:val="left"/>
            </w:pPr>
          </w:p>
        </w:tc>
        <w:tc>
          <w:tcPr>
            <w:tcW w:w="1553" w:type="dxa"/>
            <w:tcBorders>
              <w:top w:val="double" w:sz="4" w:space="0" w:color="000000"/>
              <w:left w:val="nil"/>
              <w:bottom w:val="single" w:sz="4" w:space="0" w:color="000000"/>
              <w:right w:val="nil"/>
            </w:tcBorders>
          </w:tcPr>
          <w:p w14:paraId="3A724322" w14:textId="77777777" w:rsidR="00F470FF" w:rsidRDefault="00F470FF">
            <w:pPr>
              <w:spacing w:after="160" w:line="259" w:lineRule="auto"/>
              <w:ind w:left="0" w:right="0" w:firstLine="0"/>
              <w:jc w:val="left"/>
            </w:pPr>
          </w:p>
        </w:tc>
        <w:tc>
          <w:tcPr>
            <w:tcW w:w="2693" w:type="dxa"/>
            <w:tcBorders>
              <w:top w:val="double" w:sz="4" w:space="0" w:color="000000"/>
              <w:left w:val="nil"/>
              <w:bottom w:val="single" w:sz="4" w:space="0" w:color="000000"/>
              <w:right w:val="nil"/>
            </w:tcBorders>
          </w:tcPr>
          <w:p w14:paraId="4C864585" w14:textId="08896F5B" w:rsidR="00F470FF" w:rsidRDefault="00370682" w:rsidP="00A87732">
            <w:pPr>
              <w:spacing w:after="0" w:line="259" w:lineRule="auto"/>
              <w:ind w:left="0" w:right="0" w:firstLine="0"/>
              <w:jc w:val="left"/>
            </w:pPr>
            <w:r>
              <w:t>V</w:t>
            </w:r>
            <w:r w:rsidR="001A54DC">
              <w:t xml:space="preserve">erze dokumentu </w:t>
            </w:r>
          </w:p>
        </w:tc>
        <w:tc>
          <w:tcPr>
            <w:tcW w:w="2537" w:type="dxa"/>
            <w:tcBorders>
              <w:top w:val="double" w:sz="4" w:space="0" w:color="000000"/>
              <w:left w:val="nil"/>
              <w:bottom w:val="single" w:sz="4" w:space="0" w:color="000000"/>
              <w:right w:val="double" w:sz="4" w:space="0" w:color="000000"/>
            </w:tcBorders>
          </w:tcPr>
          <w:p w14:paraId="5625D4CF" w14:textId="77777777" w:rsidR="00F470FF" w:rsidRDefault="00F470FF">
            <w:pPr>
              <w:spacing w:after="160" w:line="259" w:lineRule="auto"/>
              <w:ind w:left="0" w:right="0" w:firstLine="0"/>
              <w:jc w:val="left"/>
            </w:pPr>
          </w:p>
        </w:tc>
      </w:tr>
      <w:tr w:rsidR="00F470FF" w14:paraId="250A3432" w14:textId="77777777">
        <w:trPr>
          <w:trHeight w:val="286"/>
        </w:trPr>
        <w:tc>
          <w:tcPr>
            <w:tcW w:w="2261" w:type="dxa"/>
            <w:tcBorders>
              <w:top w:val="single" w:sz="4" w:space="0" w:color="000000"/>
              <w:left w:val="double" w:sz="4" w:space="0" w:color="000000"/>
              <w:bottom w:val="single" w:sz="4" w:space="0" w:color="000000"/>
              <w:right w:val="single" w:sz="4" w:space="0" w:color="000000"/>
            </w:tcBorders>
          </w:tcPr>
          <w:p w14:paraId="3BC2979F" w14:textId="77777777" w:rsidR="00F470FF" w:rsidRDefault="001A54DC">
            <w:pPr>
              <w:spacing w:after="0" w:line="259" w:lineRule="auto"/>
              <w:ind w:left="119" w:right="0" w:firstLine="0"/>
              <w:jc w:val="center"/>
            </w:pPr>
            <w:r>
              <w:t xml:space="preserve">Datum </w:t>
            </w:r>
          </w:p>
        </w:tc>
        <w:tc>
          <w:tcPr>
            <w:tcW w:w="1553" w:type="dxa"/>
            <w:tcBorders>
              <w:top w:val="single" w:sz="4" w:space="0" w:color="000000"/>
              <w:left w:val="single" w:sz="4" w:space="0" w:color="000000"/>
              <w:bottom w:val="single" w:sz="4" w:space="0" w:color="000000"/>
              <w:right w:val="single" w:sz="4" w:space="0" w:color="000000"/>
            </w:tcBorders>
          </w:tcPr>
          <w:p w14:paraId="333F8D9F" w14:textId="77777777" w:rsidR="00F470FF" w:rsidRDefault="001A54DC">
            <w:pPr>
              <w:spacing w:after="0" w:line="259" w:lineRule="auto"/>
              <w:ind w:left="114" w:right="0" w:firstLine="0"/>
              <w:jc w:val="center"/>
            </w:pPr>
            <w:r>
              <w:t xml:space="preserve">Verze </w:t>
            </w:r>
          </w:p>
        </w:tc>
        <w:tc>
          <w:tcPr>
            <w:tcW w:w="2693" w:type="dxa"/>
            <w:tcBorders>
              <w:top w:val="single" w:sz="4" w:space="0" w:color="000000"/>
              <w:left w:val="single" w:sz="4" w:space="0" w:color="000000"/>
              <w:bottom w:val="single" w:sz="4" w:space="0" w:color="000000"/>
              <w:right w:val="single" w:sz="4" w:space="0" w:color="000000"/>
            </w:tcBorders>
          </w:tcPr>
          <w:p w14:paraId="2828E4F4" w14:textId="77777777" w:rsidR="00F470FF" w:rsidRDefault="001A54DC">
            <w:pPr>
              <w:spacing w:after="0" w:line="259" w:lineRule="auto"/>
              <w:ind w:left="112" w:right="0" w:firstLine="0"/>
              <w:jc w:val="center"/>
            </w:pPr>
            <w:r>
              <w:t xml:space="preserve">Změněno </w:t>
            </w:r>
          </w:p>
        </w:tc>
        <w:tc>
          <w:tcPr>
            <w:tcW w:w="2537" w:type="dxa"/>
            <w:tcBorders>
              <w:top w:val="single" w:sz="4" w:space="0" w:color="000000"/>
              <w:left w:val="single" w:sz="4" w:space="0" w:color="000000"/>
              <w:bottom w:val="single" w:sz="4" w:space="0" w:color="000000"/>
              <w:right w:val="double" w:sz="4" w:space="0" w:color="000000"/>
            </w:tcBorders>
          </w:tcPr>
          <w:p w14:paraId="43E43676" w14:textId="77777777" w:rsidR="00F470FF" w:rsidRDefault="001A54DC">
            <w:pPr>
              <w:spacing w:after="0" w:line="259" w:lineRule="auto"/>
              <w:ind w:left="121" w:right="0" w:firstLine="0"/>
              <w:jc w:val="center"/>
            </w:pPr>
            <w:r>
              <w:t xml:space="preserve">Popis změny </w:t>
            </w:r>
          </w:p>
        </w:tc>
      </w:tr>
      <w:tr w:rsidR="00F470FF" w14:paraId="481BC1BB" w14:textId="77777777">
        <w:trPr>
          <w:trHeight w:val="286"/>
        </w:trPr>
        <w:tc>
          <w:tcPr>
            <w:tcW w:w="2261" w:type="dxa"/>
            <w:tcBorders>
              <w:top w:val="single" w:sz="4" w:space="0" w:color="000000"/>
              <w:left w:val="double" w:sz="4" w:space="0" w:color="000000"/>
              <w:bottom w:val="single" w:sz="4" w:space="0" w:color="000000"/>
              <w:right w:val="single" w:sz="4" w:space="0" w:color="000000"/>
            </w:tcBorders>
          </w:tcPr>
          <w:p w14:paraId="13812826" w14:textId="21CF6FAA" w:rsidR="00F470FF" w:rsidRDefault="00F00F23">
            <w:pPr>
              <w:spacing w:after="0" w:line="259" w:lineRule="auto"/>
              <w:ind w:left="120" w:right="0" w:firstLine="0"/>
              <w:jc w:val="center"/>
            </w:pPr>
            <w:r>
              <w:t>x. 5. 2026</w:t>
            </w:r>
          </w:p>
        </w:tc>
        <w:tc>
          <w:tcPr>
            <w:tcW w:w="1553" w:type="dxa"/>
            <w:tcBorders>
              <w:top w:val="single" w:sz="4" w:space="0" w:color="000000"/>
              <w:left w:val="single" w:sz="4" w:space="0" w:color="000000"/>
              <w:bottom w:val="single" w:sz="4" w:space="0" w:color="000000"/>
              <w:right w:val="single" w:sz="4" w:space="0" w:color="000000"/>
            </w:tcBorders>
          </w:tcPr>
          <w:p w14:paraId="5CEE064E" w14:textId="2DFB9E35" w:rsidR="00F470FF" w:rsidRDefault="00F00F23">
            <w:pPr>
              <w:spacing w:after="0" w:line="259" w:lineRule="auto"/>
              <w:ind w:left="113" w:right="0" w:firstLine="0"/>
              <w:jc w:val="center"/>
            </w:pPr>
            <w:r>
              <w:t>01</w:t>
            </w:r>
            <w:r w:rsidR="007B3A73">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274C9A2" w14:textId="77777777" w:rsidR="00F470FF" w:rsidRDefault="001A54DC">
            <w:pPr>
              <w:spacing w:after="0" w:line="259" w:lineRule="auto"/>
              <w:ind w:left="113" w:right="0" w:firstLine="0"/>
              <w:jc w:val="center"/>
            </w:pPr>
            <w:r>
              <w:t xml:space="preserve">Tajemnice RVH </w:t>
            </w:r>
          </w:p>
        </w:tc>
        <w:tc>
          <w:tcPr>
            <w:tcW w:w="2537" w:type="dxa"/>
            <w:tcBorders>
              <w:top w:val="single" w:sz="4" w:space="0" w:color="000000"/>
              <w:left w:val="single" w:sz="4" w:space="0" w:color="000000"/>
              <w:bottom w:val="single" w:sz="4" w:space="0" w:color="000000"/>
              <w:right w:val="double" w:sz="4" w:space="0" w:color="000000"/>
            </w:tcBorders>
          </w:tcPr>
          <w:p w14:paraId="456829E3" w14:textId="77777777" w:rsidR="00F470FF" w:rsidRDefault="001A54DC">
            <w:pPr>
              <w:spacing w:after="0" w:line="259" w:lineRule="auto"/>
              <w:ind w:left="110" w:right="0" w:firstLine="0"/>
              <w:jc w:val="left"/>
            </w:pPr>
            <w:r>
              <w:t xml:space="preserve">Vytvoření dokumentu </w:t>
            </w:r>
          </w:p>
        </w:tc>
      </w:tr>
      <w:tr w:rsidR="00F470FF" w14:paraId="1F1D8F2F" w14:textId="77777777">
        <w:trPr>
          <w:trHeight w:val="288"/>
        </w:trPr>
        <w:tc>
          <w:tcPr>
            <w:tcW w:w="2261" w:type="dxa"/>
            <w:tcBorders>
              <w:top w:val="single" w:sz="4" w:space="0" w:color="000000"/>
              <w:left w:val="double" w:sz="4" w:space="0" w:color="000000"/>
              <w:bottom w:val="single" w:sz="4" w:space="0" w:color="000000"/>
              <w:right w:val="single" w:sz="4" w:space="0" w:color="000000"/>
            </w:tcBorders>
          </w:tcPr>
          <w:p w14:paraId="6BE3FBB9" w14:textId="77777777" w:rsidR="00F470FF" w:rsidRDefault="001A54DC">
            <w:pPr>
              <w:spacing w:after="0" w:line="259" w:lineRule="auto"/>
              <w:ind w:left="110" w:right="0" w:firstLine="0"/>
              <w:jc w:val="left"/>
            </w:pPr>
            <w: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243CCB6A" w14:textId="77777777" w:rsidR="00F470FF" w:rsidRDefault="001A54DC">
            <w:pPr>
              <w:spacing w:after="0" w:line="259" w:lineRule="auto"/>
              <w:ind w:left="109" w:right="0" w:firstLine="0"/>
              <w:jc w:val="left"/>
            </w:pPr>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4B5467DD" w14:textId="77777777" w:rsidR="00F470FF" w:rsidRDefault="001A54DC">
            <w:pPr>
              <w:spacing w:after="0" w:line="259" w:lineRule="auto"/>
              <w:ind w:left="108" w:right="0" w:firstLine="0"/>
              <w:jc w:val="left"/>
            </w:pPr>
            <w:r>
              <w:t xml:space="preserve"> </w:t>
            </w:r>
          </w:p>
        </w:tc>
        <w:tc>
          <w:tcPr>
            <w:tcW w:w="2537" w:type="dxa"/>
            <w:tcBorders>
              <w:top w:val="single" w:sz="4" w:space="0" w:color="000000"/>
              <w:left w:val="single" w:sz="4" w:space="0" w:color="000000"/>
              <w:bottom w:val="single" w:sz="4" w:space="0" w:color="000000"/>
              <w:right w:val="double" w:sz="4" w:space="0" w:color="000000"/>
            </w:tcBorders>
          </w:tcPr>
          <w:p w14:paraId="002178A2" w14:textId="77777777" w:rsidR="00F470FF" w:rsidRDefault="001A54DC">
            <w:pPr>
              <w:spacing w:after="0" w:line="259" w:lineRule="auto"/>
              <w:ind w:left="110" w:right="0" w:firstLine="0"/>
              <w:jc w:val="left"/>
            </w:pPr>
            <w:r>
              <w:t xml:space="preserve"> </w:t>
            </w:r>
          </w:p>
        </w:tc>
      </w:tr>
      <w:tr w:rsidR="00F470FF" w14:paraId="44BF49A2" w14:textId="77777777">
        <w:trPr>
          <w:trHeight w:val="286"/>
        </w:trPr>
        <w:tc>
          <w:tcPr>
            <w:tcW w:w="2261" w:type="dxa"/>
            <w:tcBorders>
              <w:top w:val="single" w:sz="4" w:space="0" w:color="000000"/>
              <w:left w:val="double" w:sz="4" w:space="0" w:color="000000"/>
              <w:bottom w:val="single" w:sz="4" w:space="0" w:color="000000"/>
              <w:right w:val="single" w:sz="4" w:space="0" w:color="000000"/>
            </w:tcBorders>
          </w:tcPr>
          <w:p w14:paraId="4C0AB79F" w14:textId="77777777" w:rsidR="00F470FF" w:rsidRDefault="001A54DC">
            <w:pPr>
              <w:spacing w:after="0" w:line="259" w:lineRule="auto"/>
              <w:ind w:left="110" w:right="0" w:firstLine="0"/>
              <w:jc w:val="left"/>
            </w:pPr>
            <w: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523323CE" w14:textId="77777777" w:rsidR="00F470FF" w:rsidRDefault="001A54DC">
            <w:pPr>
              <w:spacing w:after="0" w:line="259" w:lineRule="auto"/>
              <w:ind w:left="109" w:right="0" w:firstLine="0"/>
              <w:jc w:val="left"/>
            </w:pPr>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0EF175E6" w14:textId="77777777" w:rsidR="00F470FF" w:rsidRDefault="001A54DC">
            <w:pPr>
              <w:spacing w:after="0" w:line="259" w:lineRule="auto"/>
              <w:ind w:left="108" w:right="0" w:firstLine="0"/>
              <w:jc w:val="left"/>
            </w:pPr>
            <w:r>
              <w:t xml:space="preserve"> </w:t>
            </w:r>
          </w:p>
        </w:tc>
        <w:tc>
          <w:tcPr>
            <w:tcW w:w="2537" w:type="dxa"/>
            <w:tcBorders>
              <w:top w:val="single" w:sz="4" w:space="0" w:color="000000"/>
              <w:left w:val="single" w:sz="4" w:space="0" w:color="000000"/>
              <w:bottom w:val="single" w:sz="4" w:space="0" w:color="000000"/>
              <w:right w:val="double" w:sz="4" w:space="0" w:color="000000"/>
            </w:tcBorders>
          </w:tcPr>
          <w:p w14:paraId="6044A6C9" w14:textId="77777777" w:rsidR="00F470FF" w:rsidRDefault="001A54DC">
            <w:pPr>
              <w:spacing w:after="0" w:line="259" w:lineRule="auto"/>
              <w:ind w:left="110" w:right="0" w:firstLine="0"/>
              <w:jc w:val="left"/>
            </w:pPr>
            <w:r>
              <w:t xml:space="preserve"> </w:t>
            </w:r>
          </w:p>
        </w:tc>
      </w:tr>
      <w:tr w:rsidR="00F470FF" w14:paraId="53569DFF" w14:textId="77777777">
        <w:trPr>
          <w:trHeight w:val="295"/>
        </w:trPr>
        <w:tc>
          <w:tcPr>
            <w:tcW w:w="2261" w:type="dxa"/>
            <w:tcBorders>
              <w:top w:val="single" w:sz="4" w:space="0" w:color="000000"/>
              <w:left w:val="double" w:sz="4" w:space="0" w:color="000000"/>
              <w:bottom w:val="double" w:sz="4" w:space="0" w:color="000000"/>
              <w:right w:val="single" w:sz="4" w:space="0" w:color="000000"/>
            </w:tcBorders>
          </w:tcPr>
          <w:p w14:paraId="797892CE" w14:textId="77777777" w:rsidR="00F470FF" w:rsidRDefault="001A54DC">
            <w:pPr>
              <w:spacing w:after="0" w:line="259" w:lineRule="auto"/>
              <w:ind w:left="110" w:right="0" w:firstLine="0"/>
              <w:jc w:val="left"/>
            </w:pPr>
            <w:r>
              <w:t xml:space="preserve"> </w:t>
            </w:r>
          </w:p>
        </w:tc>
        <w:tc>
          <w:tcPr>
            <w:tcW w:w="1553" w:type="dxa"/>
            <w:tcBorders>
              <w:top w:val="single" w:sz="4" w:space="0" w:color="000000"/>
              <w:left w:val="single" w:sz="4" w:space="0" w:color="000000"/>
              <w:bottom w:val="double" w:sz="4" w:space="0" w:color="000000"/>
              <w:right w:val="single" w:sz="4" w:space="0" w:color="000000"/>
            </w:tcBorders>
          </w:tcPr>
          <w:p w14:paraId="21A4E991" w14:textId="77777777" w:rsidR="00F470FF" w:rsidRDefault="001A54DC">
            <w:pPr>
              <w:spacing w:after="0" w:line="259" w:lineRule="auto"/>
              <w:ind w:left="109" w:right="0" w:firstLine="0"/>
              <w:jc w:val="left"/>
            </w:pPr>
            <w:r>
              <w:t xml:space="preserve"> </w:t>
            </w:r>
          </w:p>
        </w:tc>
        <w:tc>
          <w:tcPr>
            <w:tcW w:w="2693" w:type="dxa"/>
            <w:tcBorders>
              <w:top w:val="single" w:sz="4" w:space="0" w:color="000000"/>
              <w:left w:val="single" w:sz="4" w:space="0" w:color="000000"/>
              <w:bottom w:val="double" w:sz="4" w:space="0" w:color="000000"/>
              <w:right w:val="single" w:sz="4" w:space="0" w:color="000000"/>
            </w:tcBorders>
          </w:tcPr>
          <w:p w14:paraId="4EA1158C" w14:textId="77777777" w:rsidR="00F470FF" w:rsidRDefault="001A54DC">
            <w:pPr>
              <w:spacing w:after="0" w:line="259" w:lineRule="auto"/>
              <w:ind w:left="108" w:right="0" w:firstLine="0"/>
              <w:jc w:val="left"/>
            </w:pPr>
            <w:r>
              <w:t xml:space="preserve"> </w:t>
            </w:r>
          </w:p>
        </w:tc>
        <w:tc>
          <w:tcPr>
            <w:tcW w:w="2537" w:type="dxa"/>
            <w:tcBorders>
              <w:top w:val="single" w:sz="4" w:space="0" w:color="000000"/>
              <w:left w:val="single" w:sz="4" w:space="0" w:color="000000"/>
              <w:bottom w:val="double" w:sz="4" w:space="0" w:color="000000"/>
              <w:right w:val="double" w:sz="4" w:space="0" w:color="000000"/>
            </w:tcBorders>
          </w:tcPr>
          <w:p w14:paraId="14C48CB4" w14:textId="77777777" w:rsidR="00F470FF" w:rsidRDefault="001A54DC">
            <w:pPr>
              <w:spacing w:after="0" w:line="259" w:lineRule="auto"/>
              <w:ind w:left="110" w:right="0" w:firstLine="0"/>
              <w:jc w:val="left"/>
            </w:pPr>
            <w:r>
              <w:t xml:space="preserve"> </w:t>
            </w:r>
          </w:p>
        </w:tc>
      </w:tr>
    </w:tbl>
    <w:p w14:paraId="3CF819DA" w14:textId="77777777" w:rsidR="00F470FF" w:rsidRDefault="001A54DC">
      <w:pPr>
        <w:spacing w:after="0" w:line="259" w:lineRule="auto"/>
        <w:ind w:left="0" w:right="0" w:firstLine="0"/>
        <w:jc w:val="left"/>
      </w:pPr>
      <w:r>
        <w:t xml:space="preserve"> </w:t>
      </w:r>
    </w:p>
    <w:sectPr w:rsidR="00F470FF">
      <w:headerReference w:type="even" r:id="rId8"/>
      <w:headerReference w:type="default" r:id="rId9"/>
      <w:footerReference w:type="even" r:id="rId10"/>
      <w:footerReference w:type="default" r:id="rId11"/>
      <w:headerReference w:type="first" r:id="rId12"/>
      <w:footerReference w:type="first" r:id="rId13"/>
      <w:pgSz w:w="11906" w:h="16838"/>
      <w:pgMar w:top="1473" w:right="1412" w:bottom="1419" w:left="1416" w:header="757"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76B21" w14:textId="77777777" w:rsidR="009C7004" w:rsidRDefault="009C7004">
      <w:pPr>
        <w:spacing w:after="0" w:line="240" w:lineRule="auto"/>
      </w:pPr>
      <w:r>
        <w:separator/>
      </w:r>
    </w:p>
  </w:endnote>
  <w:endnote w:type="continuationSeparator" w:id="0">
    <w:p w14:paraId="0FE1EFF8" w14:textId="77777777" w:rsidR="009C7004" w:rsidRDefault="009C7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6697A" w14:textId="77777777" w:rsidR="00F470FF" w:rsidRDefault="001A54DC">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p w14:paraId="52592D75" w14:textId="77777777" w:rsidR="00F470FF" w:rsidRDefault="001A54DC">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D092" w14:textId="0D34A06B" w:rsidR="00F470FF" w:rsidRDefault="001A54DC">
    <w:pPr>
      <w:spacing w:after="0" w:line="259" w:lineRule="auto"/>
      <w:ind w:left="0" w:right="5" w:firstLine="0"/>
      <w:jc w:val="center"/>
    </w:pPr>
    <w:r>
      <w:fldChar w:fldCharType="begin"/>
    </w:r>
    <w:r>
      <w:instrText xml:space="preserve"> PAGE   \* MERGEFORMAT </w:instrText>
    </w:r>
    <w:r>
      <w:fldChar w:fldCharType="separate"/>
    </w:r>
    <w:r w:rsidR="00C57018">
      <w:rPr>
        <w:noProof/>
      </w:rPr>
      <w:t>1</w:t>
    </w:r>
    <w:r>
      <w:fldChar w:fldCharType="end"/>
    </w:r>
    <w:r>
      <w:t xml:space="preserve"> </w:t>
    </w:r>
  </w:p>
  <w:p w14:paraId="590F31DA" w14:textId="77777777" w:rsidR="00F470FF" w:rsidRDefault="001A54DC">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F85F" w14:textId="77777777" w:rsidR="00F470FF" w:rsidRDefault="001A54DC">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p w14:paraId="458A2848" w14:textId="77777777" w:rsidR="00F470FF" w:rsidRDefault="001A54DC">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3C75A" w14:textId="77777777" w:rsidR="009C7004" w:rsidRDefault="009C7004">
      <w:pPr>
        <w:spacing w:after="0" w:line="240" w:lineRule="auto"/>
      </w:pPr>
      <w:r>
        <w:separator/>
      </w:r>
    </w:p>
  </w:footnote>
  <w:footnote w:type="continuationSeparator" w:id="0">
    <w:p w14:paraId="1620282E" w14:textId="77777777" w:rsidR="009C7004" w:rsidRDefault="009C7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77E9" w14:textId="77777777" w:rsidR="00F470FF" w:rsidRDefault="001A54DC">
    <w:pPr>
      <w:spacing w:after="132" w:line="259" w:lineRule="auto"/>
      <w:ind w:left="0" w:right="11"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71F12F0" wp14:editId="4E263749">
              <wp:simplePos x="0" y="0"/>
              <wp:positionH relativeFrom="page">
                <wp:posOffset>881177</wp:posOffset>
              </wp:positionH>
              <wp:positionV relativeFrom="page">
                <wp:posOffset>672084</wp:posOffset>
              </wp:positionV>
              <wp:extent cx="5798185" cy="6096"/>
              <wp:effectExtent l="0" t="0" r="0" b="0"/>
              <wp:wrapSquare wrapText="bothSides"/>
              <wp:docPr id="8641" name="Group 8641"/>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8988" name="Shape 8988"/>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41" style="width:456.55pt;height:0.47998pt;position:absolute;mso-position-horizontal-relative:page;mso-position-horizontal:absolute;margin-left:69.384pt;mso-position-vertical-relative:page;margin-top:52.92pt;" coordsize="57981,60">
              <v:shape id="Shape 8989" style="position:absolute;width:57981;height:91;left:0;top:0;" coordsize="5798185,9144" path="m0,0l5798185,0l5798185,9144l0,9144l0,0">
                <v:stroke on="false" weight="0pt" color="#000000" opacity="0" miterlimit="10" joinstyle="miter" endcap="flat"/>
                <v:fill on="true" color="#000000"/>
              </v:shape>
              <w10:wrap type="square"/>
            </v:group>
          </w:pict>
        </mc:Fallback>
      </mc:AlternateContent>
    </w:r>
    <w:r>
      <w:rPr>
        <w:i/>
        <w:sz w:val="20"/>
      </w:rPr>
      <w:t xml:space="preserve">Vnitřní normy Univerzity Tomáše Bati ve Zlíně </w:t>
    </w:r>
  </w:p>
  <w:p w14:paraId="782A1AC1" w14:textId="77777777" w:rsidR="00F470FF" w:rsidRDefault="001A54DC">
    <w:pPr>
      <w:spacing w:after="0" w:line="259" w:lineRule="auto"/>
      <w:ind w:left="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4197" w14:textId="77777777" w:rsidR="00F470FF" w:rsidRDefault="001A54DC">
    <w:pPr>
      <w:spacing w:after="132" w:line="259" w:lineRule="auto"/>
      <w:ind w:left="0" w:right="11"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B23CAE8" wp14:editId="172BE287">
              <wp:simplePos x="0" y="0"/>
              <wp:positionH relativeFrom="page">
                <wp:posOffset>881177</wp:posOffset>
              </wp:positionH>
              <wp:positionV relativeFrom="page">
                <wp:posOffset>672084</wp:posOffset>
              </wp:positionV>
              <wp:extent cx="5798185" cy="6096"/>
              <wp:effectExtent l="0" t="0" r="0" b="0"/>
              <wp:wrapSquare wrapText="bothSides"/>
              <wp:docPr id="8619" name="Group 8619"/>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8986" name="Shape 8986"/>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19" style="width:456.55pt;height:0.47998pt;position:absolute;mso-position-horizontal-relative:page;mso-position-horizontal:absolute;margin-left:69.384pt;mso-position-vertical-relative:page;margin-top:52.92pt;" coordsize="57981,60">
              <v:shape id="Shape 8987" style="position:absolute;width:57981;height:91;left:0;top:0;" coordsize="5798185,9144" path="m0,0l5798185,0l5798185,9144l0,9144l0,0">
                <v:stroke on="false" weight="0pt" color="#000000" opacity="0" miterlimit="10" joinstyle="miter" endcap="flat"/>
                <v:fill on="true" color="#000000"/>
              </v:shape>
              <w10:wrap type="square"/>
            </v:group>
          </w:pict>
        </mc:Fallback>
      </mc:AlternateContent>
    </w:r>
    <w:r>
      <w:rPr>
        <w:i/>
        <w:sz w:val="20"/>
      </w:rPr>
      <w:t xml:space="preserve">Vnitřní normy Univerzity Tomáše Bati ve Zlíně </w:t>
    </w:r>
  </w:p>
  <w:p w14:paraId="1253E293" w14:textId="77777777" w:rsidR="00F470FF" w:rsidRDefault="001A54DC">
    <w:pPr>
      <w:spacing w:after="0" w:line="259" w:lineRule="auto"/>
      <w:ind w:left="0"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4D0D" w14:textId="77777777" w:rsidR="00F470FF" w:rsidRDefault="001A54DC">
    <w:pPr>
      <w:spacing w:after="132" w:line="259" w:lineRule="auto"/>
      <w:ind w:left="0" w:right="11"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99E0A05" wp14:editId="0EF32568">
              <wp:simplePos x="0" y="0"/>
              <wp:positionH relativeFrom="page">
                <wp:posOffset>881177</wp:posOffset>
              </wp:positionH>
              <wp:positionV relativeFrom="page">
                <wp:posOffset>672084</wp:posOffset>
              </wp:positionV>
              <wp:extent cx="5798185" cy="6096"/>
              <wp:effectExtent l="0" t="0" r="0" b="0"/>
              <wp:wrapSquare wrapText="bothSides"/>
              <wp:docPr id="8597" name="Group 8597"/>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8984" name="Shape 8984"/>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97" style="width:456.55pt;height:0.47998pt;position:absolute;mso-position-horizontal-relative:page;mso-position-horizontal:absolute;margin-left:69.384pt;mso-position-vertical-relative:page;margin-top:52.92pt;" coordsize="57981,60">
              <v:shape id="Shape 8985" style="position:absolute;width:57981;height:91;left:0;top:0;" coordsize="5798185,9144" path="m0,0l5798185,0l5798185,9144l0,9144l0,0">
                <v:stroke on="false" weight="0pt" color="#000000" opacity="0" miterlimit="10" joinstyle="miter" endcap="flat"/>
                <v:fill on="true" color="#000000"/>
              </v:shape>
              <w10:wrap type="square"/>
            </v:group>
          </w:pict>
        </mc:Fallback>
      </mc:AlternateContent>
    </w:r>
    <w:r>
      <w:rPr>
        <w:i/>
        <w:sz w:val="20"/>
      </w:rPr>
      <w:t xml:space="preserve">Vnitřní normy Univerzity Tomáše Bati ve Zlíně </w:t>
    </w:r>
  </w:p>
  <w:p w14:paraId="7BDBD644" w14:textId="77777777" w:rsidR="00F470FF" w:rsidRDefault="001A54DC">
    <w:pPr>
      <w:spacing w:after="0" w:line="259" w:lineRule="auto"/>
      <w:ind w:left="0"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F8B"/>
    <w:multiLevelType w:val="hybridMultilevel"/>
    <w:tmpl w:val="01E4071C"/>
    <w:lvl w:ilvl="0" w:tplc="0024CEFA">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6406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2877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B025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C045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643A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9498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D2DE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74C7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9C089F"/>
    <w:multiLevelType w:val="hybridMultilevel"/>
    <w:tmpl w:val="BD283F02"/>
    <w:lvl w:ilvl="0" w:tplc="13C4CC18">
      <w:start w:val="1"/>
      <w:numFmt w:val="decimal"/>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2719CF"/>
    <w:multiLevelType w:val="hybridMultilevel"/>
    <w:tmpl w:val="A28E9C7E"/>
    <w:lvl w:ilvl="0" w:tplc="0ABC121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A6FC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02FA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2463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7A97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480E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E2CB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DE3C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7810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9B5180"/>
    <w:multiLevelType w:val="hybridMultilevel"/>
    <w:tmpl w:val="C4F6B558"/>
    <w:lvl w:ilvl="0" w:tplc="8E76DBE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F8F8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32D8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3E24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66C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E8FF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16CF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0A36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8A0E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CB3BA3"/>
    <w:multiLevelType w:val="hybridMultilevel"/>
    <w:tmpl w:val="5012363E"/>
    <w:lvl w:ilvl="0" w:tplc="13C4CC18">
      <w:start w:val="1"/>
      <w:numFmt w:val="decimal"/>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C01B2D"/>
    <w:multiLevelType w:val="hybridMultilevel"/>
    <w:tmpl w:val="AD10B7B2"/>
    <w:lvl w:ilvl="0" w:tplc="13C4CC18">
      <w:start w:val="1"/>
      <w:numFmt w:val="decimal"/>
      <w:lvlText w:val="(%1)"/>
      <w:lvlJc w:val="left"/>
      <w:pPr>
        <w:ind w:left="1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2765FB"/>
    <w:multiLevelType w:val="hybridMultilevel"/>
    <w:tmpl w:val="1BEA4E32"/>
    <w:lvl w:ilvl="0" w:tplc="4EDCC904">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6045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304B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662A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64F9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C0E7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448E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88CB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5875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6069E8"/>
    <w:multiLevelType w:val="hybridMultilevel"/>
    <w:tmpl w:val="5CB2AB42"/>
    <w:lvl w:ilvl="0" w:tplc="13C4CC18">
      <w:start w:val="1"/>
      <w:numFmt w:val="decimal"/>
      <w:lvlText w:val="(%1)"/>
      <w:lvlJc w:val="left"/>
      <w:pPr>
        <w:ind w:left="2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F811704"/>
    <w:multiLevelType w:val="hybridMultilevel"/>
    <w:tmpl w:val="35DE0898"/>
    <w:lvl w:ilvl="0" w:tplc="15081F14">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6EFF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A260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1618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98C0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C2C9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D42D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2AF3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CA57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FD4270E"/>
    <w:multiLevelType w:val="hybridMultilevel"/>
    <w:tmpl w:val="F4167CD4"/>
    <w:lvl w:ilvl="0" w:tplc="37865AD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CAFA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BC2D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04D0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F6D1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A8C3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780F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EA3B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76EA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AC015A3"/>
    <w:multiLevelType w:val="hybridMultilevel"/>
    <w:tmpl w:val="8AC64AB6"/>
    <w:lvl w:ilvl="0" w:tplc="13C4CC18">
      <w:start w:val="1"/>
      <w:numFmt w:val="decimal"/>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C531BD"/>
    <w:multiLevelType w:val="hybridMultilevel"/>
    <w:tmpl w:val="26B8D9EA"/>
    <w:lvl w:ilvl="0" w:tplc="13C4CC18">
      <w:start w:val="1"/>
      <w:numFmt w:val="decimal"/>
      <w:lvlText w:val="(%1)"/>
      <w:lvlJc w:val="left"/>
      <w:pPr>
        <w:ind w:left="2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45946CD"/>
    <w:multiLevelType w:val="hybridMultilevel"/>
    <w:tmpl w:val="E8FCA5BC"/>
    <w:lvl w:ilvl="0" w:tplc="13C4CC18">
      <w:start w:val="1"/>
      <w:numFmt w:val="decimal"/>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B0688"/>
    <w:multiLevelType w:val="hybridMultilevel"/>
    <w:tmpl w:val="83DAE03C"/>
    <w:lvl w:ilvl="0" w:tplc="FCFAB43A">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A8E8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E63B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525D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1CA3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E847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0CDB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2221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7893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E2822F5"/>
    <w:multiLevelType w:val="hybridMultilevel"/>
    <w:tmpl w:val="73B21924"/>
    <w:lvl w:ilvl="0" w:tplc="FC586D98">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BC55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AD9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F635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E070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9CEE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A8D5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FEC5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DED2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48F29BA"/>
    <w:multiLevelType w:val="hybridMultilevel"/>
    <w:tmpl w:val="FBAEDAC8"/>
    <w:lvl w:ilvl="0" w:tplc="13C4CC18">
      <w:start w:val="1"/>
      <w:numFmt w:val="decimal"/>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406481"/>
    <w:multiLevelType w:val="hybridMultilevel"/>
    <w:tmpl w:val="14E643C8"/>
    <w:lvl w:ilvl="0" w:tplc="13C4CC18">
      <w:start w:val="1"/>
      <w:numFmt w:val="decimal"/>
      <w:lvlText w:val="(%1)"/>
      <w:lvlJc w:val="left"/>
      <w:pPr>
        <w:ind w:left="1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D6250BA"/>
    <w:multiLevelType w:val="hybridMultilevel"/>
    <w:tmpl w:val="E9445672"/>
    <w:lvl w:ilvl="0" w:tplc="13C4CC18">
      <w:start w:val="1"/>
      <w:numFmt w:val="decimal"/>
      <w:lvlText w:val="(%1)"/>
      <w:lvlJc w:val="left"/>
      <w:pPr>
        <w:ind w:left="259"/>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4182968"/>
    <w:multiLevelType w:val="hybridMultilevel"/>
    <w:tmpl w:val="6E7E42B8"/>
    <w:lvl w:ilvl="0" w:tplc="EA14822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FA3B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E9C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F8DB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421D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0018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5CF6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7CBE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664D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4224474"/>
    <w:multiLevelType w:val="hybridMultilevel"/>
    <w:tmpl w:val="2C8A085E"/>
    <w:lvl w:ilvl="0" w:tplc="13C4CC18">
      <w:start w:val="1"/>
      <w:numFmt w:val="decimal"/>
      <w:lvlText w:val="(%1)"/>
      <w:lvlJc w:val="left"/>
      <w:pPr>
        <w:ind w:left="2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B2B1FC6"/>
    <w:multiLevelType w:val="hybridMultilevel"/>
    <w:tmpl w:val="F1DE6580"/>
    <w:lvl w:ilvl="0" w:tplc="13C4CC18">
      <w:start w:val="1"/>
      <w:numFmt w:val="decimal"/>
      <w:lvlText w:val="(%1)"/>
      <w:lvlJc w:val="left"/>
      <w:pPr>
        <w:ind w:left="1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A77463"/>
    <w:multiLevelType w:val="hybridMultilevel"/>
    <w:tmpl w:val="75E8CC7E"/>
    <w:lvl w:ilvl="0" w:tplc="13C4CC18">
      <w:start w:val="1"/>
      <w:numFmt w:val="decimal"/>
      <w:lvlText w:val="(%1)"/>
      <w:lvlJc w:val="left"/>
      <w:pPr>
        <w:ind w:left="73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450" w:hanging="360"/>
      </w:pPr>
    </w:lvl>
    <w:lvl w:ilvl="2" w:tplc="0405001B" w:tentative="1">
      <w:start w:val="1"/>
      <w:numFmt w:val="lowerRoman"/>
      <w:lvlText w:val="%3."/>
      <w:lvlJc w:val="right"/>
      <w:pPr>
        <w:ind w:left="2170" w:hanging="180"/>
      </w:pPr>
    </w:lvl>
    <w:lvl w:ilvl="3" w:tplc="0405000F" w:tentative="1">
      <w:start w:val="1"/>
      <w:numFmt w:val="decimal"/>
      <w:lvlText w:val="%4."/>
      <w:lvlJc w:val="left"/>
      <w:pPr>
        <w:ind w:left="2890" w:hanging="360"/>
      </w:pPr>
    </w:lvl>
    <w:lvl w:ilvl="4" w:tplc="04050019" w:tentative="1">
      <w:start w:val="1"/>
      <w:numFmt w:val="lowerLetter"/>
      <w:lvlText w:val="%5."/>
      <w:lvlJc w:val="left"/>
      <w:pPr>
        <w:ind w:left="3610" w:hanging="360"/>
      </w:pPr>
    </w:lvl>
    <w:lvl w:ilvl="5" w:tplc="0405001B" w:tentative="1">
      <w:start w:val="1"/>
      <w:numFmt w:val="lowerRoman"/>
      <w:lvlText w:val="%6."/>
      <w:lvlJc w:val="right"/>
      <w:pPr>
        <w:ind w:left="4330" w:hanging="180"/>
      </w:pPr>
    </w:lvl>
    <w:lvl w:ilvl="6" w:tplc="0405000F" w:tentative="1">
      <w:start w:val="1"/>
      <w:numFmt w:val="decimal"/>
      <w:lvlText w:val="%7."/>
      <w:lvlJc w:val="left"/>
      <w:pPr>
        <w:ind w:left="5050" w:hanging="360"/>
      </w:pPr>
    </w:lvl>
    <w:lvl w:ilvl="7" w:tplc="04050019" w:tentative="1">
      <w:start w:val="1"/>
      <w:numFmt w:val="lowerLetter"/>
      <w:lvlText w:val="%8."/>
      <w:lvlJc w:val="left"/>
      <w:pPr>
        <w:ind w:left="5770" w:hanging="360"/>
      </w:pPr>
    </w:lvl>
    <w:lvl w:ilvl="8" w:tplc="0405001B" w:tentative="1">
      <w:start w:val="1"/>
      <w:numFmt w:val="lowerRoman"/>
      <w:lvlText w:val="%9."/>
      <w:lvlJc w:val="right"/>
      <w:pPr>
        <w:ind w:left="6490" w:hanging="180"/>
      </w:pPr>
    </w:lvl>
  </w:abstractNum>
  <w:abstractNum w:abstractNumId="22" w15:restartNumberingAfterBreak="0">
    <w:nsid w:val="7B2C2280"/>
    <w:multiLevelType w:val="hybridMultilevel"/>
    <w:tmpl w:val="93B88934"/>
    <w:lvl w:ilvl="0" w:tplc="13C4CC18">
      <w:start w:val="1"/>
      <w:numFmt w:val="decimal"/>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B2D34EC"/>
    <w:multiLevelType w:val="hybridMultilevel"/>
    <w:tmpl w:val="DD327396"/>
    <w:lvl w:ilvl="0" w:tplc="BD98F05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E8CC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082C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1EA2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942F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2239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A891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2C3B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72DE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FEB3134"/>
    <w:multiLevelType w:val="hybridMultilevel"/>
    <w:tmpl w:val="7074A29E"/>
    <w:lvl w:ilvl="0" w:tplc="13C4CC18">
      <w:start w:val="1"/>
      <w:numFmt w:val="decimal"/>
      <w:lvlText w:val="(%1)"/>
      <w:lvlJc w:val="left"/>
      <w:pPr>
        <w:ind w:left="2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81974436">
    <w:abstractNumId w:val="18"/>
  </w:num>
  <w:num w:numId="2" w16cid:durableId="120391947">
    <w:abstractNumId w:val="3"/>
  </w:num>
  <w:num w:numId="3" w16cid:durableId="264732108">
    <w:abstractNumId w:val="8"/>
  </w:num>
  <w:num w:numId="4" w16cid:durableId="328607068">
    <w:abstractNumId w:val="0"/>
  </w:num>
  <w:num w:numId="5" w16cid:durableId="21591931">
    <w:abstractNumId w:val="6"/>
  </w:num>
  <w:num w:numId="6" w16cid:durableId="601038586">
    <w:abstractNumId w:val="23"/>
  </w:num>
  <w:num w:numId="7" w16cid:durableId="246574699">
    <w:abstractNumId w:val="2"/>
  </w:num>
  <w:num w:numId="8" w16cid:durableId="525756344">
    <w:abstractNumId w:val="9"/>
  </w:num>
  <w:num w:numId="9" w16cid:durableId="642273861">
    <w:abstractNumId w:val="14"/>
  </w:num>
  <w:num w:numId="10" w16cid:durableId="389502382">
    <w:abstractNumId w:val="13"/>
  </w:num>
  <w:num w:numId="11" w16cid:durableId="1881042889">
    <w:abstractNumId w:val="5"/>
  </w:num>
  <w:num w:numId="12" w16cid:durableId="398095004">
    <w:abstractNumId w:val="7"/>
  </w:num>
  <w:num w:numId="13" w16cid:durableId="127824986">
    <w:abstractNumId w:val="11"/>
  </w:num>
  <w:num w:numId="14" w16cid:durableId="1460027549">
    <w:abstractNumId w:val="19"/>
  </w:num>
  <w:num w:numId="15" w16cid:durableId="1686205958">
    <w:abstractNumId w:val="16"/>
  </w:num>
  <w:num w:numId="16" w16cid:durableId="904142247">
    <w:abstractNumId w:val="20"/>
  </w:num>
  <w:num w:numId="17" w16cid:durableId="1539472776">
    <w:abstractNumId w:val="24"/>
  </w:num>
  <w:num w:numId="18" w16cid:durableId="366296288">
    <w:abstractNumId w:val="17"/>
  </w:num>
  <w:num w:numId="19" w16cid:durableId="2113163341">
    <w:abstractNumId w:val="21"/>
  </w:num>
  <w:num w:numId="20" w16cid:durableId="1735737230">
    <w:abstractNumId w:val="12"/>
  </w:num>
  <w:num w:numId="21" w16cid:durableId="567225254">
    <w:abstractNumId w:val="1"/>
  </w:num>
  <w:num w:numId="22" w16cid:durableId="1849907327">
    <w:abstractNumId w:val="22"/>
  </w:num>
  <w:num w:numId="23" w16cid:durableId="1099254359">
    <w:abstractNumId w:val="4"/>
  </w:num>
  <w:num w:numId="24" w16cid:durableId="1108702411">
    <w:abstractNumId w:val="10"/>
  </w:num>
  <w:num w:numId="25" w16cid:durableId="19926382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0FF"/>
    <w:rsid w:val="00017F81"/>
    <w:rsid w:val="00027286"/>
    <w:rsid w:val="00075FC1"/>
    <w:rsid w:val="000971C6"/>
    <w:rsid w:val="000D67F4"/>
    <w:rsid w:val="000E3EE7"/>
    <w:rsid w:val="000F45CF"/>
    <w:rsid w:val="000F6DD9"/>
    <w:rsid w:val="001017F8"/>
    <w:rsid w:val="001021AD"/>
    <w:rsid w:val="00142013"/>
    <w:rsid w:val="001A54DC"/>
    <w:rsid w:val="001C54F4"/>
    <w:rsid w:val="001D03BE"/>
    <w:rsid w:val="001E6758"/>
    <w:rsid w:val="001F12BE"/>
    <w:rsid w:val="00223CE0"/>
    <w:rsid w:val="002353BD"/>
    <w:rsid w:val="00241DB8"/>
    <w:rsid w:val="002526EB"/>
    <w:rsid w:val="0028670C"/>
    <w:rsid w:val="00335C2C"/>
    <w:rsid w:val="00342BB6"/>
    <w:rsid w:val="0036612D"/>
    <w:rsid w:val="00370682"/>
    <w:rsid w:val="003814C3"/>
    <w:rsid w:val="003C59E5"/>
    <w:rsid w:val="003C5C42"/>
    <w:rsid w:val="003F2F3C"/>
    <w:rsid w:val="00434777"/>
    <w:rsid w:val="004A2E00"/>
    <w:rsid w:val="004C3E63"/>
    <w:rsid w:val="004E33ED"/>
    <w:rsid w:val="004E7DAD"/>
    <w:rsid w:val="0058184D"/>
    <w:rsid w:val="0058737C"/>
    <w:rsid w:val="005A2966"/>
    <w:rsid w:val="005E7EB5"/>
    <w:rsid w:val="006070B5"/>
    <w:rsid w:val="00620B21"/>
    <w:rsid w:val="00633A89"/>
    <w:rsid w:val="00652D5F"/>
    <w:rsid w:val="00654C5F"/>
    <w:rsid w:val="006B1EE7"/>
    <w:rsid w:val="006E24DF"/>
    <w:rsid w:val="006E6782"/>
    <w:rsid w:val="0071761D"/>
    <w:rsid w:val="007452A8"/>
    <w:rsid w:val="00751816"/>
    <w:rsid w:val="007612BA"/>
    <w:rsid w:val="00783F4A"/>
    <w:rsid w:val="007A2D18"/>
    <w:rsid w:val="007B3A73"/>
    <w:rsid w:val="007E7976"/>
    <w:rsid w:val="00817EED"/>
    <w:rsid w:val="00836CC3"/>
    <w:rsid w:val="0084736E"/>
    <w:rsid w:val="00896829"/>
    <w:rsid w:val="008C1BBE"/>
    <w:rsid w:val="008C6CF3"/>
    <w:rsid w:val="00931127"/>
    <w:rsid w:val="00934589"/>
    <w:rsid w:val="00942389"/>
    <w:rsid w:val="0098510F"/>
    <w:rsid w:val="009933C8"/>
    <w:rsid w:val="009C7004"/>
    <w:rsid w:val="009D3DA9"/>
    <w:rsid w:val="009D79B3"/>
    <w:rsid w:val="00A163CE"/>
    <w:rsid w:val="00A33F43"/>
    <w:rsid w:val="00A4034D"/>
    <w:rsid w:val="00A774C0"/>
    <w:rsid w:val="00A86AF4"/>
    <w:rsid w:val="00A87732"/>
    <w:rsid w:val="00AA5043"/>
    <w:rsid w:val="00AA7FFB"/>
    <w:rsid w:val="00AD3162"/>
    <w:rsid w:val="00AF459F"/>
    <w:rsid w:val="00B13E4D"/>
    <w:rsid w:val="00B1742A"/>
    <w:rsid w:val="00B52797"/>
    <w:rsid w:val="00B83EFC"/>
    <w:rsid w:val="00BD28D5"/>
    <w:rsid w:val="00C03900"/>
    <w:rsid w:val="00C10C20"/>
    <w:rsid w:val="00C57018"/>
    <w:rsid w:val="00CB42A3"/>
    <w:rsid w:val="00CB5043"/>
    <w:rsid w:val="00CC6A9D"/>
    <w:rsid w:val="00CE4AC3"/>
    <w:rsid w:val="00D219A2"/>
    <w:rsid w:val="00DC10A2"/>
    <w:rsid w:val="00DD6E17"/>
    <w:rsid w:val="00DE47B1"/>
    <w:rsid w:val="00E075F3"/>
    <w:rsid w:val="00E07DFB"/>
    <w:rsid w:val="00E20D70"/>
    <w:rsid w:val="00E345DE"/>
    <w:rsid w:val="00E5086E"/>
    <w:rsid w:val="00E658C3"/>
    <w:rsid w:val="00E8716E"/>
    <w:rsid w:val="00EA6BF1"/>
    <w:rsid w:val="00EB2F17"/>
    <w:rsid w:val="00ED3DF7"/>
    <w:rsid w:val="00ED6591"/>
    <w:rsid w:val="00EE1508"/>
    <w:rsid w:val="00EE42A4"/>
    <w:rsid w:val="00F00F23"/>
    <w:rsid w:val="00F06B44"/>
    <w:rsid w:val="00F26EB6"/>
    <w:rsid w:val="00F372FC"/>
    <w:rsid w:val="00F470FF"/>
    <w:rsid w:val="00F66C75"/>
    <w:rsid w:val="00F671D1"/>
    <w:rsid w:val="00F67B31"/>
    <w:rsid w:val="00F707AE"/>
    <w:rsid w:val="00FB23DF"/>
    <w:rsid w:val="00FD01CC"/>
    <w:rsid w:val="0CD9CC4D"/>
    <w:rsid w:val="175043F5"/>
    <w:rsid w:val="1B178128"/>
    <w:rsid w:val="1D361567"/>
    <w:rsid w:val="1FF54E39"/>
    <w:rsid w:val="21FA39C2"/>
    <w:rsid w:val="27C31BFF"/>
    <w:rsid w:val="48A0C31F"/>
    <w:rsid w:val="4AD89C1F"/>
    <w:rsid w:val="54493519"/>
    <w:rsid w:val="59459ED7"/>
    <w:rsid w:val="6AA14D22"/>
    <w:rsid w:val="6F6F78CE"/>
    <w:rsid w:val="77C27CDE"/>
    <w:rsid w:val="7D142E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939FD"/>
  <w15:docId w15:val="{5F7A589C-AD74-402A-94D5-DA5D3164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70" w:line="249" w:lineRule="auto"/>
      <w:ind w:left="10" w:right="4"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2"/>
      <w:ind w:left="10" w:right="8" w:hanging="10"/>
      <w:jc w:val="center"/>
      <w:outlineLvl w:val="0"/>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3814C3"/>
    <w:rPr>
      <w:sz w:val="16"/>
      <w:szCs w:val="16"/>
    </w:rPr>
  </w:style>
  <w:style w:type="paragraph" w:styleId="Textkomente">
    <w:name w:val="annotation text"/>
    <w:basedOn w:val="Normln"/>
    <w:link w:val="TextkomenteChar"/>
    <w:uiPriority w:val="99"/>
    <w:semiHidden/>
    <w:unhideWhenUsed/>
    <w:rsid w:val="003814C3"/>
    <w:pPr>
      <w:spacing w:line="240" w:lineRule="auto"/>
    </w:pPr>
    <w:rPr>
      <w:sz w:val="20"/>
      <w:szCs w:val="20"/>
    </w:rPr>
  </w:style>
  <w:style w:type="character" w:customStyle="1" w:styleId="TextkomenteChar">
    <w:name w:val="Text komentáře Char"/>
    <w:basedOn w:val="Standardnpsmoodstavce"/>
    <w:link w:val="Textkomente"/>
    <w:uiPriority w:val="99"/>
    <w:semiHidden/>
    <w:rsid w:val="003814C3"/>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3814C3"/>
    <w:rPr>
      <w:b/>
      <w:bCs/>
    </w:rPr>
  </w:style>
  <w:style w:type="character" w:customStyle="1" w:styleId="PedmtkomenteChar">
    <w:name w:val="Předmět komentáře Char"/>
    <w:basedOn w:val="TextkomenteChar"/>
    <w:link w:val="Pedmtkomente"/>
    <w:uiPriority w:val="99"/>
    <w:semiHidden/>
    <w:rsid w:val="003814C3"/>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3814C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814C3"/>
    <w:rPr>
      <w:rFonts w:ascii="Segoe UI" w:eastAsia="Times New Roman" w:hAnsi="Segoe UI" w:cs="Segoe UI"/>
      <w:color w:val="000000"/>
      <w:sz w:val="18"/>
      <w:szCs w:val="18"/>
    </w:rPr>
  </w:style>
  <w:style w:type="paragraph" w:styleId="Revize">
    <w:name w:val="Revision"/>
    <w:hidden/>
    <w:uiPriority w:val="99"/>
    <w:semiHidden/>
    <w:rsid w:val="00633A89"/>
    <w:pPr>
      <w:spacing w:after="0" w:line="240" w:lineRule="auto"/>
    </w:pPr>
    <w:rPr>
      <w:rFonts w:ascii="Times New Roman" w:eastAsia="Times New Roman" w:hAnsi="Times New Roman" w:cs="Times New Roman"/>
      <w:color w:val="000000"/>
      <w:sz w:val="24"/>
    </w:rPr>
  </w:style>
  <w:style w:type="paragraph" w:styleId="Odstavecseseznamem">
    <w:name w:val="List Paragraph"/>
    <w:basedOn w:val="Normln"/>
    <w:uiPriority w:val="34"/>
    <w:qFormat/>
    <w:rsid w:val="000D6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A12D1-AE65-4F43-9D30-882CBB6DD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1151</Words>
  <Characters>6794</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machackova</dc:creator>
  <cp:keywords/>
  <cp:lastModifiedBy>Martina Šmotková</cp:lastModifiedBy>
  <cp:revision>8</cp:revision>
  <dcterms:created xsi:type="dcterms:W3CDTF">2026-05-06T08:32:00Z</dcterms:created>
  <dcterms:modified xsi:type="dcterms:W3CDTF">2026-05-18T09:40:00Z</dcterms:modified>
</cp:coreProperties>
</file>