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BC2F" w14:textId="77777777" w:rsidR="007951CF" w:rsidRDefault="00C17B77">
      <w:pPr>
        <w:spacing w:after="0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026" w:type="dxa"/>
        <w:tblInd w:w="26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45"/>
        <w:gridCol w:w="2885"/>
        <w:gridCol w:w="3496"/>
      </w:tblGrid>
      <w:tr w:rsidR="007951CF" w14:paraId="236E038C" w14:textId="77777777" w:rsidTr="00A2470E">
        <w:trPr>
          <w:trHeight w:val="305"/>
        </w:trPr>
        <w:tc>
          <w:tcPr>
            <w:tcW w:w="264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120468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Kód: </w:t>
            </w:r>
          </w:p>
        </w:tc>
        <w:tc>
          <w:tcPr>
            <w:tcW w:w="638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E3FDF7F" w14:textId="4AFE006B" w:rsidR="007951CF" w:rsidRDefault="00C17B77">
            <w:pPr>
              <w:spacing w:after="0" w:line="259" w:lineRule="auto"/>
              <w:ind w:left="2" w:right="0" w:firstLine="0"/>
              <w:jc w:val="left"/>
            </w:pPr>
            <w:r>
              <w:t>SR</w:t>
            </w:r>
            <w:r w:rsidR="00946F09">
              <w:t>/</w:t>
            </w:r>
            <w:proofErr w:type="spellStart"/>
            <w:r w:rsidR="00946F09">
              <w:t>xx</w:t>
            </w:r>
            <w:proofErr w:type="spellEnd"/>
            <w:r w:rsidR="00946F09">
              <w:t>/2026</w:t>
            </w:r>
            <w:r w:rsidR="00F723F1">
              <w:t xml:space="preserve"> </w:t>
            </w:r>
            <w:r>
              <w:t xml:space="preserve">  </w:t>
            </w:r>
          </w:p>
        </w:tc>
      </w:tr>
      <w:tr w:rsidR="007951CF" w14:paraId="042A411B" w14:textId="77777777" w:rsidTr="00A2470E">
        <w:trPr>
          <w:trHeight w:val="293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E8AE7CD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Druh: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EB8A6D" w14:textId="77777777" w:rsidR="007951CF" w:rsidRDefault="00C17B77">
            <w:pPr>
              <w:spacing w:after="0" w:line="259" w:lineRule="auto"/>
              <w:ind w:left="2" w:right="0" w:firstLine="0"/>
              <w:jc w:val="left"/>
            </w:pPr>
            <w:r>
              <w:t xml:space="preserve">SMĚRNICE REKTORA  </w:t>
            </w:r>
          </w:p>
        </w:tc>
      </w:tr>
      <w:tr w:rsidR="00446624" w14:paraId="657768B7" w14:textId="77777777" w:rsidTr="00A2470E">
        <w:trPr>
          <w:trHeight w:val="290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A32569E" w14:textId="0CF7A494" w:rsidR="00446624" w:rsidRDefault="00446624">
            <w:pPr>
              <w:spacing w:after="0" w:line="259" w:lineRule="auto"/>
              <w:ind w:left="0" w:right="0" w:firstLine="0"/>
              <w:jc w:val="left"/>
            </w:pPr>
            <w:r>
              <w:t>Číslo jednací: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31B19B" w14:textId="0B65E30B" w:rsidR="00446624" w:rsidRDefault="00446624">
            <w:pPr>
              <w:spacing w:after="0" w:line="259" w:lineRule="auto"/>
              <w:ind w:left="2" w:right="0" w:firstLine="0"/>
              <w:jc w:val="left"/>
            </w:pPr>
            <w:r>
              <w:t>UTB/26/</w:t>
            </w:r>
            <w:proofErr w:type="spellStart"/>
            <w:r>
              <w:t>xxxxxx</w:t>
            </w:r>
            <w:proofErr w:type="spellEnd"/>
          </w:p>
        </w:tc>
      </w:tr>
      <w:tr w:rsidR="00446624" w14:paraId="1AF58214" w14:textId="77777777" w:rsidTr="00A2470E">
        <w:trPr>
          <w:trHeight w:val="290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5044146" w14:textId="347FD970" w:rsidR="00446624" w:rsidRDefault="00446624" w:rsidP="00446624">
            <w:pPr>
              <w:spacing w:after="0" w:line="259" w:lineRule="auto"/>
              <w:ind w:left="0" w:right="0" w:firstLine="0"/>
              <w:jc w:val="left"/>
            </w:pPr>
            <w:r>
              <w:t>Klasifikace dokumentu: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48E7E8" w14:textId="0FC45BF0" w:rsidR="00446624" w:rsidRDefault="00B00829">
            <w:pPr>
              <w:spacing w:after="0" w:line="259" w:lineRule="auto"/>
              <w:ind w:left="2" w:right="0" w:firstLine="0"/>
              <w:jc w:val="left"/>
            </w:pPr>
            <w:r>
              <w:t>INTERNÍ</w:t>
            </w:r>
          </w:p>
        </w:tc>
      </w:tr>
      <w:tr w:rsidR="007951CF" w14:paraId="0AF40697" w14:textId="77777777" w:rsidTr="00A2470E">
        <w:trPr>
          <w:trHeight w:val="290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10638D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Název: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C801A5" w14:textId="77777777" w:rsidR="007951CF" w:rsidRDefault="00C17B77">
            <w:pPr>
              <w:spacing w:after="0" w:line="259" w:lineRule="auto"/>
              <w:ind w:left="2" w:right="0" w:firstLine="0"/>
              <w:jc w:val="left"/>
            </w:pPr>
            <w:r>
              <w:t xml:space="preserve">Organizace a průběh hodnocení studijních programů </w:t>
            </w:r>
          </w:p>
        </w:tc>
      </w:tr>
      <w:tr w:rsidR="007951CF" w14:paraId="35A45A83" w14:textId="77777777" w:rsidTr="00A2470E">
        <w:trPr>
          <w:trHeight w:val="412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EAD74B2" w14:textId="36B1E199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>Organizační závaznost: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62A016" w14:textId="61288C10" w:rsidR="007951CF" w:rsidRDefault="00C17B77">
            <w:pPr>
              <w:spacing w:after="0" w:line="259" w:lineRule="auto"/>
              <w:ind w:left="2" w:right="0" w:firstLine="0"/>
              <w:jc w:val="left"/>
            </w:pPr>
            <w:r>
              <w:t>Univerzita Tomáše Bati ve Zlíně</w:t>
            </w:r>
          </w:p>
        </w:tc>
      </w:tr>
      <w:tr w:rsidR="00446624" w14:paraId="400CE2C4" w14:textId="77777777" w:rsidTr="00A2470E">
        <w:trPr>
          <w:trHeight w:val="290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312A6E" w14:textId="77777777" w:rsidR="00446624" w:rsidRDefault="00446624">
            <w:pPr>
              <w:spacing w:after="0" w:line="259" w:lineRule="auto"/>
              <w:ind w:left="0" w:right="0" w:firstLine="0"/>
              <w:jc w:val="left"/>
            </w:pPr>
            <w:r>
              <w:t xml:space="preserve">Datum vydání: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3EDC12" w14:textId="77777777" w:rsidR="00446624" w:rsidRDefault="00446624" w:rsidP="003839A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xx</w:t>
            </w:r>
            <w:proofErr w:type="spellEnd"/>
            <w:r>
              <w:t xml:space="preserve">. xx. 2026 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235ABCE" w14:textId="43248F37" w:rsidR="00446624" w:rsidRDefault="00446624" w:rsidP="003839AC">
            <w:pPr>
              <w:spacing w:after="0" w:line="259" w:lineRule="auto"/>
              <w:ind w:left="0" w:right="0" w:firstLine="0"/>
              <w:jc w:val="left"/>
            </w:pPr>
            <w:r>
              <w:t>Verze: 01</w:t>
            </w:r>
          </w:p>
        </w:tc>
      </w:tr>
      <w:tr w:rsidR="007951CF" w14:paraId="66A1F7FD" w14:textId="77777777" w:rsidTr="00A2470E">
        <w:trPr>
          <w:trHeight w:val="293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644661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Účinnost od: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6ECD487" w14:textId="348703BC" w:rsidR="007951CF" w:rsidRDefault="003839AC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xx</w:t>
            </w:r>
            <w:proofErr w:type="spellEnd"/>
            <w:r>
              <w:t xml:space="preserve">. xx. 2026  </w:t>
            </w:r>
          </w:p>
        </w:tc>
      </w:tr>
      <w:tr w:rsidR="007951CF" w14:paraId="6D30BF26" w14:textId="77777777" w:rsidTr="00A2470E">
        <w:trPr>
          <w:trHeight w:val="290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B3808C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Vydává: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575A51" w14:textId="6B9227B6" w:rsidR="007951CF" w:rsidRDefault="00446624">
            <w:pPr>
              <w:spacing w:after="0" w:line="259" w:lineRule="auto"/>
              <w:ind w:left="2" w:right="0" w:firstLine="0"/>
              <w:jc w:val="left"/>
            </w:pPr>
            <w:r>
              <w:t>prof. Mgr. Milan Adámek, Ph.D., r</w:t>
            </w:r>
            <w:r w:rsidR="00C17B77">
              <w:t xml:space="preserve">ektor </w:t>
            </w:r>
          </w:p>
        </w:tc>
      </w:tr>
      <w:tr w:rsidR="007951CF" w14:paraId="4F957CAE" w14:textId="77777777" w:rsidTr="00A2470E">
        <w:trPr>
          <w:trHeight w:val="290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21FA09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Zpracoval: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81EE07" w14:textId="610A7284" w:rsidR="007951CF" w:rsidRDefault="00446624">
            <w:pPr>
              <w:spacing w:after="0" w:line="259" w:lineRule="auto"/>
              <w:ind w:left="2" w:right="0" w:firstLine="0"/>
              <w:jc w:val="left"/>
            </w:pPr>
            <w:r>
              <w:t>Mgr. Lenka Drábková, Ph.D.</w:t>
            </w:r>
            <w:r w:rsidR="00F723F1">
              <w:t xml:space="preserve"> </w:t>
            </w:r>
            <w:r w:rsidR="00C17B77">
              <w:t xml:space="preserve"> </w:t>
            </w:r>
          </w:p>
        </w:tc>
      </w:tr>
      <w:tr w:rsidR="007951CF" w14:paraId="0B3D073C" w14:textId="77777777" w:rsidTr="00A2470E">
        <w:trPr>
          <w:trHeight w:val="369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DCEC9D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Spolupracoval: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A6E0EDD" w14:textId="458AEF56" w:rsidR="007951CF" w:rsidRDefault="00446624">
            <w:pPr>
              <w:spacing w:after="0" w:line="259" w:lineRule="auto"/>
              <w:ind w:left="2" w:right="0" w:firstLine="0"/>
              <w:jc w:val="left"/>
            </w:pPr>
            <w:r>
              <w:t>Mgr. Martina Šmotková, Mgr. Petr Bernatík</w:t>
            </w:r>
          </w:p>
        </w:tc>
      </w:tr>
      <w:tr w:rsidR="007951CF" w14:paraId="365AAF92" w14:textId="77777777" w:rsidTr="00A2470E">
        <w:trPr>
          <w:trHeight w:val="290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4B3F32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Počet stran: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C4360F" w14:textId="77777777" w:rsidR="007951CF" w:rsidRDefault="00C17B77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</w:tr>
      <w:tr w:rsidR="007951CF" w14:paraId="7B6E5B28" w14:textId="77777777" w:rsidTr="00A2470E">
        <w:trPr>
          <w:trHeight w:val="293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0E50E0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Počet příloh: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417D3D" w14:textId="1F1000D7" w:rsidR="007951CF" w:rsidRDefault="003839AC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</w:p>
        </w:tc>
      </w:tr>
      <w:tr w:rsidR="007951CF" w14:paraId="5BB3BE90" w14:textId="77777777" w:rsidTr="00A2470E">
        <w:trPr>
          <w:trHeight w:val="566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AC111B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Rozdělovník: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B191127" w14:textId="77777777" w:rsidR="007951CF" w:rsidRDefault="00C17B77">
            <w:pPr>
              <w:spacing w:after="0" w:line="259" w:lineRule="auto"/>
              <w:ind w:left="2" w:right="0" w:firstLine="0"/>
              <w:jc w:val="left"/>
            </w:pPr>
            <w:r>
              <w:t xml:space="preserve">rektor, prorektoři, děkani fakult, proděkani pro pedagogickou činnost, proděkani pro tvůrčí činnost </w:t>
            </w:r>
          </w:p>
        </w:tc>
      </w:tr>
      <w:tr w:rsidR="007951CF" w14:paraId="797C7ED7" w14:textId="77777777" w:rsidTr="00A2470E">
        <w:trPr>
          <w:trHeight w:val="702"/>
        </w:trPr>
        <w:tc>
          <w:tcPr>
            <w:tcW w:w="264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9A27966" w14:textId="77777777" w:rsidR="007951CF" w:rsidRDefault="00C17B77">
            <w:pPr>
              <w:spacing w:after="0" w:line="259" w:lineRule="auto"/>
              <w:ind w:left="0" w:right="0" w:firstLine="0"/>
              <w:jc w:val="left"/>
            </w:pPr>
            <w:r>
              <w:t xml:space="preserve">Podpis oprávněné osoby: 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91804CA" w14:textId="5336FEB5" w:rsidR="007951CF" w:rsidRDefault="007951CF">
            <w:pPr>
              <w:spacing w:after="0" w:line="259" w:lineRule="auto"/>
              <w:ind w:left="46" w:right="0" w:firstLine="0"/>
              <w:jc w:val="center"/>
            </w:pPr>
          </w:p>
        </w:tc>
      </w:tr>
    </w:tbl>
    <w:p w14:paraId="381AE68E" w14:textId="77777777" w:rsidR="007951CF" w:rsidRDefault="00C17B77">
      <w:pPr>
        <w:spacing w:after="0" w:line="259" w:lineRule="auto"/>
        <w:ind w:left="2" w:right="0" w:firstLine="0"/>
        <w:jc w:val="left"/>
        <w:rPr>
          <w:b/>
        </w:rPr>
      </w:pPr>
      <w:r>
        <w:rPr>
          <w:b/>
        </w:rPr>
        <w:t xml:space="preserve"> </w:t>
      </w:r>
    </w:p>
    <w:p w14:paraId="1C165EDF" w14:textId="77777777" w:rsidR="00A2470E" w:rsidRDefault="00A2470E">
      <w:pPr>
        <w:spacing w:after="0" w:line="259" w:lineRule="auto"/>
        <w:ind w:left="2" w:right="0" w:firstLine="0"/>
        <w:jc w:val="left"/>
      </w:pPr>
    </w:p>
    <w:p w14:paraId="0B8C2C4E" w14:textId="75DD9527" w:rsidR="007951CF" w:rsidRDefault="00C17B77" w:rsidP="00A2470E">
      <w:pPr>
        <w:spacing w:after="0" w:line="259" w:lineRule="auto"/>
        <w:ind w:left="2" w:right="0" w:firstLine="0"/>
        <w:jc w:val="left"/>
      </w:pPr>
      <w:r>
        <w:rPr>
          <w:b/>
        </w:rPr>
        <w:t xml:space="preserve">  </w:t>
      </w:r>
    </w:p>
    <w:p w14:paraId="1B8C6ECD" w14:textId="77777777" w:rsidR="007951CF" w:rsidRDefault="00C17B77">
      <w:pPr>
        <w:spacing w:after="26" w:line="259" w:lineRule="auto"/>
        <w:ind w:left="787" w:right="782" w:hanging="10"/>
        <w:jc w:val="center"/>
      </w:pPr>
      <w:r>
        <w:rPr>
          <w:b/>
        </w:rPr>
        <w:t xml:space="preserve">Článek 1 </w:t>
      </w:r>
    </w:p>
    <w:p w14:paraId="7583665E" w14:textId="77777777" w:rsidR="007951CF" w:rsidRDefault="00C17B77">
      <w:pPr>
        <w:spacing w:after="0" w:line="259" w:lineRule="auto"/>
        <w:ind w:left="787" w:right="779" w:hanging="10"/>
        <w:jc w:val="center"/>
      </w:pPr>
      <w:r>
        <w:rPr>
          <w:b/>
        </w:rPr>
        <w:t xml:space="preserve">Úvodní ustanovení </w:t>
      </w:r>
    </w:p>
    <w:p w14:paraId="4CFB1152" w14:textId="77777777" w:rsidR="007951CF" w:rsidRDefault="00C17B77" w:rsidP="00A2470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6D4434A" w14:textId="77777777" w:rsidR="007951CF" w:rsidRDefault="00C17B77" w:rsidP="00A2470E">
      <w:pPr>
        <w:numPr>
          <w:ilvl w:val="0"/>
          <w:numId w:val="1"/>
        </w:numPr>
        <w:ind w:right="0"/>
      </w:pPr>
      <w:r>
        <w:t xml:space="preserve">Tato směrnice se vydává k provedení čl. 5 odst. 9 Pravidel systému zajišťování kvality vzdělávací, tvůrčí a s nimi souvisejících činností a vnitřního hodnocení kvality vzdělávací, tvůrčí a s nimi souvisejících činností Univerzity Tomáše Bati ve Zlíně (dále jen „Pravidla systému zajišťování kvality UTB“). </w:t>
      </w:r>
    </w:p>
    <w:p w14:paraId="623817BF" w14:textId="0ADE7A47" w:rsidR="007951CF" w:rsidRDefault="00C17B77" w:rsidP="002E044E">
      <w:pPr>
        <w:numPr>
          <w:ilvl w:val="0"/>
          <w:numId w:val="1"/>
        </w:numPr>
        <w:spacing w:after="84"/>
        <w:ind w:right="0"/>
      </w:pPr>
      <w:r>
        <w:t xml:space="preserve">Tato směrnice se vztahuje na studijní programy všech typů uskutečňované na Univerzitě Tomáše Bati ve Zlíně (dále jen „UTB“): </w:t>
      </w:r>
      <w:r w:rsidR="00D73A2F">
        <w:t xml:space="preserve"> </w:t>
      </w:r>
    </w:p>
    <w:p w14:paraId="1CF3D2A8" w14:textId="77777777" w:rsidR="007951CF" w:rsidRDefault="00C17B77">
      <w:pPr>
        <w:numPr>
          <w:ilvl w:val="1"/>
          <w:numId w:val="1"/>
        </w:numPr>
        <w:spacing w:after="13"/>
        <w:ind w:right="0" w:firstLine="0"/>
      </w:pPr>
      <w:r>
        <w:t xml:space="preserve">na základě akreditace udělené Národním akreditačním úřadem </w:t>
      </w:r>
      <w:r w:rsidR="00D73A2F">
        <w:t xml:space="preserve">pro terciární vzdělávání </w:t>
      </w:r>
      <w:r>
        <w:t xml:space="preserve">a </w:t>
      </w:r>
    </w:p>
    <w:p w14:paraId="50E52975" w14:textId="77777777" w:rsidR="007951CF" w:rsidRDefault="00C17B77">
      <w:pPr>
        <w:numPr>
          <w:ilvl w:val="1"/>
          <w:numId w:val="1"/>
        </w:numPr>
        <w:ind w:right="0" w:firstLine="0"/>
      </w:pPr>
      <w:r>
        <w:t>na základě oprávnění uskutečňovat studijní program v rámci institucionální akreditace UTB</w:t>
      </w:r>
      <w:r w:rsidR="002A7163">
        <w:t xml:space="preserve"> (dále jen „vnitřní akreditace“)</w:t>
      </w:r>
      <w:r>
        <w:t xml:space="preserve">. </w:t>
      </w:r>
    </w:p>
    <w:p w14:paraId="027450B7" w14:textId="6BA5272C" w:rsidR="007951CF" w:rsidRDefault="00C17B77">
      <w:pPr>
        <w:numPr>
          <w:ilvl w:val="0"/>
          <w:numId w:val="1"/>
        </w:numPr>
        <w:ind w:right="0"/>
      </w:pPr>
      <w:r>
        <w:t xml:space="preserve">Principy hodnocení kvality studijních programů jsou vymezeny v čl. 43 až 45 Řádu pro tvorbu, schvalování, uskutečňování a změny studijních programů UTB a dále </w:t>
      </w:r>
      <w:r w:rsidR="00E974E8">
        <w:br/>
      </w:r>
      <w:r>
        <w:t xml:space="preserve">v čl. 5 Pravidel systému zajišťování kvality UTB.  </w:t>
      </w:r>
    </w:p>
    <w:p w14:paraId="43491C7A" w14:textId="77777777" w:rsidR="007951CF" w:rsidRDefault="00C17B77">
      <w:pPr>
        <w:numPr>
          <w:ilvl w:val="0"/>
          <w:numId w:val="1"/>
        </w:numPr>
        <w:ind w:right="0"/>
      </w:pPr>
      <w:r>
        <w:t>Standardy studijních programů jsou popsány ve směrnici rektora „Standardy studijních programů UTB“</w:t>
      </w:r>
      <w:r w:rsidR="00D73A2F">
        <w:t xml:space="preserve">, ke které se vyjadřuje Rada pro vnitřní hodnocení </w:t>
      </w:r>
      <w:r w:rsidR="00D73A2F">
        <w:br/>
        <w:t>UTB (dále jen „Rada“)</w:t>
      </w:r>
      <w:r>
        <w:t xml:space="preserve">. </w:t>
      </w:r>
    </w:p>
    <w:p w14:paraId="66D63D4D" w14:textId="66556467" w:rsidR="007951CF" w:rsidRDefault="00C17B77">
      <w:pPr>
        <w:numPr>
          <w:ilvl w:val="0"/>
          <w:numId w:val="1"/>
        </w:numPr>
        <w:spacing w:after="83"/>
        <w:ind w:right="0"/>
      </w:pPr>
      <w:r>
        <w:t xml:space="preserve">Pokud se v této směrnici uvádí pojem „děkan“, míní se tím u studijního programu uskutečňovaného na fakultě děkan fakulty, u studijního programu uskutečňovaného </w:t>
      </w:r>
      <w:r>
        <w:lastRenderedPageBreak/>
        <w:t xml:space="preserve">přímo UTB spolu s vysokoškolským </w:t>
      </w:r>
      <w:r w:rsidR="00A2470E">
        <w:t>ústavem a</w:t>
      </w:r>
      <w:r>
        <w:t xml:space="preserve"> u studijního programu uskutečňovaného přímo UTB rektor. </w:t>
      </w:r>
    </w:p>
    <w:p w14:paraId="75964936" w14:textId="1D99F705" w:rsidR="007951CF" w:rsidRDefault="007951CF">
      <w:pPr>
        <w:spacing w:after="0" w:line="259" w:lineRule="auto"/>
        <w:ind w:left="57" w:right="0" w:firstLine="0"/>
        <w:jc w:val="center"/>
      </w:pPr>
    </w:p>
    <w:p w14:paraId="21838166" w14:textId="77777777" w:rsidR="007951CF" w:rsidRDefault="00C17B77">
      <w:pPr>
        <w:spacing w:after="18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D07F0E8" w14:textId="77777777" w:rsidR="007951CF" w:rsidRDefault="00C17B77">
      <w:pPr>
        <w:spacing w:after="26" w:line="259" w:lineRule="auto"/>
        <w:ind w:left="787" w:right="782" w:hanging="10"/>
        <w:jc w:val="center"/>
      </w:pPr>
      <w:r>
        <w:rPr>
          <w:b/>
        </w:rPr>
        <w:t xml:space="preserve">Článek 2 </w:t>
      </w:r>
    </w:p>
    <w:p w14:paraId="44B1DFBA" w14:textId="77777777" w:rsidR="007951CF" w:rsidRDefault="00C17B77">
      <w:pPr>
        <w:spacing w:after="0" w:line="259" w:lineRule="auto"/>
        <w:ind w:left="787" w:right="783" w:hanging="10"/>
        <w:jc w:val="center"/>
      </w:pPr>
      <w:r>
        <w:rPr>
          <w:b/>
        </w:rPr>
        <w:t xml:space="preserve">Termíny hodnocení studijních programů </w:t>
      </w:r>
    </w:p>
    <w:p w14:paraId="76E0CE8A" w14:textId="77777777" w:rsidR="007951CF" w:rsidRDefault="00C17B77" w:rsidP="00A2470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29607A85" w14:textId="2965B6E1" w:rsidR="007951CF" w:rsidRDefault="00C17B77">
      <w:pPr>
        <w:numPr>
          <w:ilvl w:val="0"/>
          <w:numId w:val="2"/>
        </w:numPr>
        <w:ind w:right="0" w:hanging="360"/>
      </w:pPr>
      <w:r>
        <w:t xml:space="preserve">Studijní programy podléhají pravidelnému vnitřnímu hodnocení, které se provádí nejméně jednou za období platnosti akreditace nebo </w:t>
      </w:r>
      <w:r w:rsidR="002A7163">
        <w:t xml:space="preserve">vnitřní </w:t>
      </w:r>
      <w:r>
        <w:t>akreditace studijního programu, nerozhodne-li děkan nebo Rada, že se toto hodnocení uskuteční dříve</w:t>
      </w:r>
      <w:r w:rsidR="00B4729A">
        <w:t>.</w:t>
      </w:r>
      <w:r>
        <w:t xml:space="preserve"> </w:t>
      </w:r>
    </w:p>
    <w:p w14:paraId="754919DA" w14:textId="77777777" w:rsidR="007951CF" w:rsidRDefault="00C17B77">
      <w:pPr>
        <w:numPr>
          <w:ilvl w:val="0"/>
          <w:numId w:val="2"/>
        </w:numPr>
        <w:ind w:right="0" w:hanging="360"/>
      </w:pPr>
      <w:r>
        <w:t xml:space="preserve">Rada schvaluje roční plán hodnocení studijních programů pro daný kalendářní rok, přičemž zohlední termíny platnosti jednotlivých akreditací. </w:t>
      </w:r>
    </w:p>
    <w:p w14:paraId="1071C2B9" w14:textId="32586FF6" w:rsidR="007951CF" w:rsidRDefault="00C17B77">
      <w:pPr>
        <w:numPr>
          <w:ilvl w:val="0"/>
          <w:numId w:val="2"/>
        </w:numPr>
        <w:spacing w:after="83"/>
        <w:ind w:right="0" w:hanging="360"/>
      </w:pPr>
      <w:r>
        <w:t xml:space="preserve">Rada provádí hodnocení studijních programů podle ročního plánu hodnocení studijních programů, nebo na základě požadavku děkana, nebo na základě rozhodnutí rektora, nebo </w:t>
      </w:r>
      <w:r w:rsidR="00EA1563">
        <w:br/>
      </w:r>
      <w:r>
        <w:t xml:space="preserve">z vlastního podnětu. </w:t>
      </w:r>
    </w:p>
    <w:p w14:paraId="7747F6DD" w14:textId="77777777" w:rsidR="007951CF" w:rsidRDefault="00C17B77">
      <w:pPr>
        <w:spacing w:after="29" w:line="259" w:lineRule="auto"/>
        <w:ind w:left="2" w:right="0" w:firstLine="0"/>
        <w:jc w:val="left"/>
      </w:pPr>
      <w:r>
        <w:t xml:space="preserve"> </w:t>
      </w:r>
    </w:p>
    <w:p w14:paraId="23AA63E0" w14:textId="77777777" w:rsidR="00A2470E" w:rsidRDefault="00A2470E">
      <w:pPr>
        <w:spacing w:after="29" w:line="259" w:lineRule="auto"/>
        <w:ind w:left="2" w:right="0" w:firstLine="0"/>
        <w:jc w:val="left"/>
      </w:pPr>
    </w:p>
    <w:p w14:paraId="1ED67D50" w14:textId="77777777" w:rsidR="007951CF" w:rsidRDefault="00C17B77">
      <w:pPr>
        <w:spacing w:after="26" w:line="259" w:lineRule="auto"/>
        <w:ind w:left="787" w:right="782" w:hanging="10"/>
        <w:jc w:val="center"/>
      </w:pPr>
      <w:r>
        <w:rPr>
          <w:b/>
        </w:rPr>
        <w:t xml:space="preserve">Článek 3 </w:t>
      </w:r>
    </w:p>
    <w:p w14:paraId="259237D0" w14:textId="0DAAB5A2" w:rsidR="007951CF" w:rsidRDefault="00C17B77">
      <w:pPr>
        <w:spacing w:after="0" w:line="259" w:lineRule="auto"/>
        <w:ind w:left="787" w:right="780" w:hanging="10"/>
        <w:jc w:val="center"/>
      </w:pPr>
      <w:r>
        <w:rPr>
          <w:b/>
        </w:rPr>
        <w:t>Hodnot</w:t>
      </w:r>
      <w:r w:rsidR="002A7163">
        <w:rPr>
          <w:b/>
        </w:rPr>
        <w:t>i</w:t>
      </w:r>
      <w:r>
        <w:rPr>
          <w:b/>
        </w:rPr>
        <w:t xml:space="preserve">cí zpráva </w:t>
      </w:r>
    </w:p>
    <w:p w14:paraId="7573E08E" w14:textId="77777777" w:rsidR="007951CF" w:rsidRDefault="00C17B77" w:rsidP="00A2470E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797A980D" w14:textId="454440F2" w:rsidR="007951CF" w:rsidRDefault="00C17B77" w:rsidP="00A2470E">
      <w:pPr>
        <w:numPr>
          <w:ilvl w:val="1"/>
          <w:numId w:val="2"/>
        </w:numPr>
        <w:spacing w:after="0"/>
        <w:ind w:right="0" w:hanging="360"/>
      </w:pPr>
      <w:r>
        <w:t xml:space="preserve">Podkladem pro hodnocení studijního programu </w:t>
      </w:r>
      <w:r w:rsidR="00736740">
        <w:t>po</w:t>
      </w:r>
      <w:r>
        <w:t xml:space="preserve">dle čl. 3 odst. 2 Pravidel systému zajišťování kvality UTB je osnova </w:t>
      </w:r>
      <w:r w:rsidR="00003641">
        <w:t xml:space="preserve">hodnoticí </w:t>
      </w:r>
      <w:r>
        <w:t xml:space="preserve">zprávy, kterou zpracovává garant studijního programu ve spolupráci s vedoucími zaměstnanci ústavů a garanty studijních předmětů. </w:t>
      </w:r>
    </w:p>
    <w:p w14:paraId="6F281D49" w14:textId="39DCA837" w:rsidR="007951CF" w:rsidRDefault="0058375A" w:rsidP="00A2470E">
      <w:pPr>
        <w:numPr>
          <w:ilvl w:val="1"/>
          <w:numId w:val="2"/>
        </w:numPr>
        <w:spacing w:before="240"/>
        <w:ind w:right="0" w:hanging="360"/>
      </w:pPr>
      <w:r>
        <w:t xml:space="preserve">Hodnoticí </w:t>
      </w:r>
      <w:r w:rsidR="00C17B77">
        <w:t xml:space="preserve">zpráva hodnotí období od předchozí kontroly studijního programu nebo </w:t>
      </w:r>
      <w:r w:rsidR="00E974E8">
        <w:br/>
      </w:r>
      <w:r w:rsidR="00C17B77">
        <w:t xml:space="preserve">od začátku realizace studijního programu, pokud byla studijnímu programu udělena nová akreditace. </w:t>
      </w:r>
    </w:p>
    <w:p w14:paraId="70F86F61" w14:textId="4C67A3CF" w:rsidR="007951CF" w:rsidRDefault="00C17B77">
      <w:pPr>
        <w:numPr>
          <w:ilvl w:val="1"/>
          <w:numId w:val="2"/>
        </w:numPr>
        <w:ind w:right="0" w:hanging="360"/>
      </w:pPr>
      <w:r>
        <w:t>Podkladem pro zpracování hodnot</w:t>
      </w:r>
      <w:r w:rsidR="00736740">
        <w:t>i</w:t>
      </w:r>
      <w:r>
        <w:t xml:space="preserve">cí zprávy jsou zejména: </w:t>
      </w:r>
    </w:p>
    <w:p w14:paraId="05D5D1CE" w14:textId="77777777" w:rsidR="007951CF" w:rsidRDefault="00C17B77">
      <w:pPr>
        <w:numPr>
          <w:ilvl w:val="2"/>
          <w:numId w:val="2"/>
        </w:numPr>
        <w:ind w:right="0" w:hanging="360"/>
      </w:pPr>
      <w:r>
        <w:t xml:space="preserve">standardy studijních programů UTB uvedené v příslušné směrnici rektora, </w:t>
      </w:r>
    </w:p>
    <w:p w14:paraId="76DE7F29" w14:textId="77777777" w:rsidR="007951CF" w:rsidRDefault="00C17B77">
      <w:pPr>
        <w:numPr>
          <w:ilvl w:val="2"/>
          <w:numId w:val="2"/>
        </w:numPr>
        <w:ind w:right="0" w:hanging="360"/>
      </w:pPr>
      <w:r>
        <w:t xml:space="preserve">dokumentace studijního programu, </w:t>
      </w:r>
    </w:p>
    <w:p w14:paraId="50C131FE" w14:textId="77777777" w:rsidR="007951CF" w:rsidRDefault="00C17B77">
      <w:pPr>
        <w:numPr>
          <w:ilvl w:val="2"/>
          <w:numId w:val="2"/>
        </w:numPr>
        <w:ind w:right="0" w:hanging="360"/>
      </w:pPr>
      <w:r>
        <w:t xml:space="preserve">dokumentace a výsledky případného minulého hodnocení studijního programu, </w:t>
      </w:r>
    </w:p>
    <w:p w14:paraId="1EA7BEE8" w14:textId="77777777" w:rsidR="007951CF" w:rsidRDefault="00C17B77">
      <w:pPr>
        <w:numPr>
          <w:ilvl w:val="2"/>
          <w:numId w:val="2"/>
        </w:numPr>
        <w:ind w:right="0" w:hanging="360"/>
      </w:pPr>
      <w:r>
        <w:t xml:space="preserve">data v informačním systému studijní agendy (dále jen „IS/STAG“) zahrnující údaje o studijním programu, </w:t>
      </w:r>
    </w:p>
    <w:p w14:paraId="245397C2" w14:textId="3F0429E5" w:rsidR="007951CF" w:rsidRDefault="00C17B77">
      <w:pPr>
        <w:numPr>
          <w:ilvl w:val="2"/>
          <w:numId w:val="2"/>
        </w:numPr>
        <w:ind w:right="0" w:hanging="360"/>
      </w:pPr>
      <w:r>
        <w:t>výsledky hodnocení vzdělávací činnosti studenty</w:t>
      </w:r>
      <w:r w:rsidR="002E044E">
        <w:t>,</w:t>
      </w:r>
      <w:r>
        <w:t xml:space="preserve"> absolventy UTB </w:t>
      </w:r>
      <w:r w:rsidR="002E044E">
        <w:br/>
      </w:r>
      <w:r>
        <w:t>a zaměstnavateli</w:t>
      </w:r>
      <w:r w:rsidR="00736740">
        <w:t xml:space="preserve"> absolventů UTB</w:t>
      </w:r>
      <w:r>
        <w:t xml:space="preserve">. </w:t>
      </w:r>
    </w:p>
    <w:p w14:paraId="35F1C046" w14:textId="1F7F6E98" w:rsidR="007951CF" w:rsidRDefault="00C17B77">
      <w:pPr>
        <w:numPr>
          <w:ilvl w:val="2"/>
          <w:numId w:val="2"/>
        </w:numPr>
        <w:ind w:right="0" w:hanging="360"/>
      </w:pPr>
      <w:r>
        <w:t>Zpráva o vnitřním hodnocení kvality činností UTB</w:t>
      </w:r>
      <w:r w:rsidR="0058375A">
        <w:t>, případně její dodatky</w:t>
      </w:r>
      <w:r>
        <w:t xml:space="preserve">. </w:t>
      </w:r>
    </w:p>
    <w:p w14:paraId="166A0C42" w14:textId="6604E76B" w:rsidR="007951CF" w:rsidRDefault="00C17B77" w:rsidP="003A7522">
      <w:pPr>
        <w:numPr>
          <w:ilvl w:val="1"/>
          <w:numId w:val="2"/>
        </w:numPr>
        <w:ind w:right="0" w:hanging="423"/>
      </w:pPr>
      <w:r>
        <w:t>Hodnot</w:t>
      </w:r>
      <w:r w:rsidR="002C762A">
        <w:t>i</w:t>
      </w:r>
      <w:r>
        <w:t>cí zpráva má následující části (</w:t>
      </w:r>
      <w:r w:rsidR="00736740">
        <w:t>po</w:t>
      </w:r>
      <w:r>
        <w:t xml:space="preserve">dle čl. 5 odst. 1 Pravidel systému zajišťování kvality UTB): </w:t>
      </w:r>
    </w:p>
    <w:p w14:paraId="7D64F6BF" w14:textId="77777777" w:rsidR="007951CF" w:rsidRDefault="00C17B77">
      <w:pPr>
        <w:numPr>
          <w:ilvl w:val="2"/>
          <w:numId w:val="3"/>
        </w:numPr>
        <w:ind w:right="0" w:hanging="360"/>
      </w:pPr>
      <w:r>
        <w:t xml:space="preserve">vyhodnocení naplňování standardů studijního programu, </w:t>
      </w:r>
    </w:p>
    <w:p w14:paraId="255AF520" w14:textId="2EEE0F47" w:rsidR="007951CF" w:rsidRDefault="00C17B77">
      <w:pPr>
        <w:numPr>
          <w:ilvl w:val="2"/>
          <w:numId w:val="3"/>
        </w:numPr>
        <w:ind w:right="0" w:hanging="360"/>
      </w:pPr>
      <w:r>
        <w:lastRenderedPageBreak/>
        <w:t>výsledky studentských a absolventských hodnocení</w:t>
      </w:r>
      <w:r w:rsidR="002E044E">
        <w:t xml:space="preserve"> a hodnocení zaměstnavateli absolventů UTB</w:t>
      </w:r>
      <w:r>
        <w:t xml:space="preserve">, </w:t>
      </w:r>
    </w:p>
    <w:p w14:paraId="2D7A8A4B" w14:textId="612E08BD" w:rsidR="007951CF" w:rsidRDefault="00736740">
      <w:pPr>
        <w:numPr>
          <w:ilvl w:val="2"/>
          <w:numId w:val="3"/>
        </w:numPr>
        <w:ind w:right="0" w:hanging="360"/>
      </w:pPr>
      <w:r>
        <w:t xml:space="preserve"> přehled a zhodnocení </w:t>
      </w:r>
      <w:r w:rsidR="00C17B77">
        <w:t xml:space="preserve">související tvůrčí činnosti a jejího promítnutí </w:t>
      </w:r>
      <w:r w:rsidR="00E974E8">
        <w:br/>
      </w:r>
      <w:r w:rsidR="00C17B77">
        <w:t xml:space="preserve">do vzdělávací činnosti </w:t>
      </w:r>
      <w:r>
        <w:t>po</w:t>
      </w:r>
      <w:r w:rsidR="00C17B77">
        <w:t xml:space="preserve">dle typu a profilu studijního programu, </w:t>
      </w:r>
    </w:p>
    <w:p w14:paraId="51182587" w14:textId="4A20802C" w:rsidR="007951CF" w:rsidRDefault="00736740">
      <w:pPr>
        <w:numPr>
          <w:ilvl w:val="2"/>
          <w:numId w:val="3"/>
        </w:numPr>
        <w:ind w:right="0" w:hanging="360"/>
      </w:pPr>
      <w:r>
        <w:t xml:space="preserve"> přehled a zhodnocení </w:t>
      </w:r>
      <w:r w:rsidR="00C17B77">
        <w:t xml:space="preserve">studentské vědecké činnosti nebo spolupráce s praxí, </w:t>
      </w:r>
      <w:r>
        <w:t xml:space="preserve"> </w:t>
      </w:r>
    </w:p>
    <w:p w14:paraId="2664946C" w14:textId="5BE1EDC7" w:rsidR="007951CF" w:rsidRDefault="00736740">
      <w:pPr>
        <w:numPr>
          <w:ilvl w:val="2"/>
          <w:numId w:val="3"/>
        </w:numPr>
        <w:ind w:right="0" w:hanging="360"/>
      </w:pPr>
      <w:r>
        <w:t>z</w:t>
      </w:r>
      <w:r w:rsidR="00C17B77">
        <w:t xml:space="preserve">hodnocení mezinárodního rozměru studijního programu, </w:t>
      </w:r>
    </w:p>
    <w:p w14:paraId="7B9EA7AE" w14:textId="2953E1C6" w:rsidR="007951CF" w:rsidRDefault="00736740">
      <w:pPr>
        <w:numPr>
          <w:ilvl w:val="2"/>
          <w:numId w:val="3"/>
        </w:numPr>
        <w:ind w:right="0" w:hanging="360"/>
      </w:pPr>
      <w:r>
        <w:t xml:space="preserve"> způsob </w:t>
      </w:r>
      <w:r w:rsidR="00C17B77">
        <w:t>hodnocení kvalifikačních a případně rigorózních prací,</w:t>
      </w:r>
      <w:r>
        <w:t xml:space="preserve"> </w:t>
      </w:r>
    </w:p>
    <w:p w14:paraId="1093C41C" w14:textId="77777777" w:rsidR="007951CF" w:rsidRDefault="00C17B77">
      <w:pPr>
        <w:numPr>
          <w:ilvl w:val="2"/>
          <w:numId w:val="3"/>
        </w:numPr>
        <w:ind w:right="0" w:hanging="360"/>
      </w:pPr>
      <w:r>
        <w:t xml:space="preserve">vyhodnocení míry úspěšnosti v přijímacím řízení, studijní neúspěšnosti, míry řádného ukončení studia a uplatňování absolventů studijního programu, </w:t>
      </w:r>
    </w:p>
    <w:p w14:paraId="0FD7306E" w14:textId="1F9AAECF" w:rsidR="007951CF" w:rsidRDefault="00736740">
      <w:pPr>
        <w:numPr>
          <w:ilvl w:val="2"/>
          <w:numId w:val="3"/>
        </w:numPr>
        <w:ind w:right="0" w:hanging="360"/>
      </w:pPr>
      <w:r>
        <w:t xml:space="preserve"> </w:t>
      </w:r>
      <w:r w:rsidR="00C17B77">
        <w:t xml:space="preserve">hodnocení pedagogického, </w:t>
      </w:r>
      <w:r w:rsidR="00DA4091">
        <w:t xml:space="preserve">tvůrčího </w:t>
      </w:r>
      <w:r w:rsidR="00C17B77">
        <w:t xml:space="preserve">a technického zabezpečení studijního programu,  </w:t>
      </w:r>
    </w:p>
    <w:p w14:paraId="4D699FA9" w14:textId="77777777" w:rsidR="007951CF" w:rsidRDefault="00C17B77">
      <w:pPr>
        <w:numPr>
          <w:ilvl w:val="2"/>
          <w:numId w:val="3"/>
        </w:numPr>
        <w:spacing w:after="89"/>
        <w:ind w:right="0" w:hanging="360"/>
      </w:pPr>
      <w:r>
        <w:t xml:space="preserve">vymezení silných a slabých stránek, rizik a příležitostí dalšího rozvoje studijního programu. </w:t>
      </w:r>
    </w:p>
    <w:p w14:paraId="681EFCF8" w14:textId="77777777" w:rsidR="007951CF" w:rsidRDefault="00C17B77">
      <w:pPr>
        <w:spacing w:after="0" w:line="259" w:lineRule="auto"/>
        <w:ind w:left="1418" w:right="0" w:firstLine="0"/>
        <w:jc w:val="left"/>
      </w:pPr>
      <w:r>
        <w:t xml:space="preserve"> </w:t>
      </w:r>
    </w:p>
    <w:p w14:paraId="07DBA97D" w14:textId="77777777" w:rsidR="007951CF" w:rsidRDefault="00C17B77">
      <w:pPr>
        <w:spacing w:after="29" w:line="259" w:lineRule="auto"/>
        <w:ind w:left="360" w:right="0" w:firstLine="0"/>
        <w:jc w:val="left"/>
      </w:pPr>
      <w:r>
        <w:t xml:space="preserve"> </w:t>
      </w:r>
    </w:p>
    <w:p w14:paraId="1101C966" w14:textId="77777777" w:rsidR="007951CF" w:rsidRDefault="00C17B77">
      <w:pPr>
        <w:spacing w:after="146" w:line="259" w:lineRule="auto"/>
        <w:ind w:left="787" w:right="0" w:hanging="10"/>
        <w:jc w:val="center"/>
      </w:pPr>
      <w:r>
        <w:rPr>
          <w:b/>
        </w:rPr>
        <w:t xml:space="preserve">Článek 4 </w:t>
      </w:r>
    </w:p>
    <w:p w14:paraId="0C980F3F" w14:textId="77777777" w:rsidR="007951CF" w:rsidRDefault="00C17B77" w:rsidP="00A2470E">
      <w:pPr>
        <w:spacing w:after="0" w:line="259" w:lineRule="auto"/>
        <w:ind w:left="787" w:right="422" w:hanging="10"/>
        <w:jc w:val="center"/>
        <w:rPr>
          <w:b/>
        </w:rPr>
      </w:pPr>
      <w:r>
        <w:rPr>
          <w:b/>
        </w:rPr>
        <w:t xml:space="preserve">Projednání hodnocení studijního programu v Radě </w:t>
      </w:r>
    </w:p>
    <w:p w14:paraId="0F78B515" w14:textId="77777777" w:rsidR="00A2470E" w:rsidRDefault="00A2470E" w:rsidP="00A2470E">
      <w:pPr>
        <w:spacing w:after="0" w:line="259" w:lineRule="auto"/>
        <w:ind w:left="787" w:right="422" w:hanging="10"/>
        <w:jc w:val="center"/>
      </w:pPr>
    </w:p>
    <w:p w14:paraId="408D9869" w14:textId="4E4F4D62" w:rsidR="007951CF" w:rsidRDefault="00352553" w:rsidP="00670BB9">
      <w:pPr>
        <w:numPr>
          <w:ilvl w:val="0"/>
          <w:numId w:val="4"/>
        </w:numPr>
        <w:ind w:right="0" w:hanging="360"/>
      </w:pPr>
      <w:r>
        <w:t xml:space="preserve">Tajemník </w:t>
      </w:r>
      <w:r w:rsidR="00C17B77">
        <w:t>Rady vyzve děkana</w:t>
      </w:r>
      <w:r>
        <w:t xml:space="preserve"> a</w:t>
      </w:r>
      <w:r w:rsidR="00C17B77">
        <w:t xml:space="preserve"> garanta </w:t>
      </w:r>
      <w:r>
        <w:t xml:space="preserve">příslušného </w:t>
      </w:r>
      <w:r w:rsidR="00C17B77">
        <w:t xml:space="preserve">studijního programu </w:t>
      </w:r>
      <w:r>
        <w:t xml:space="preserve">ke zpracování </w:t>
      </w:r>
      <w:r w:rsidR="00C17B77">
        <w:t>hodnot</w:t>
      </w:r>
      <w:r w:rsidR="004A4A3A">
        <w:t>i</w:t>
      </w:r>
      <w:r w:rsidR="00C17B77">
        <w:t xml:space="preserve">cí zprávy. Zpráva je předložena Radě nejméně 21 dní před jejím zasedáním.  </w:t>
      </w:r>
      <w:r w:rsidR="00EA1563">
        <w:br/>
      </w:r>
      <w:r w:rsidR="00C17B77">
        <w:t xml:space="preserve">Na vypracování zprávy je garantovi poskytnuta lhůta nejméně 40 dní od výzvy k jejímu vypracování. </w:t>
      </w:r>
    </w:p>
    <w:p w14:paraId="131CDAA6" w14:textId="55F31AD1" w:rsidR="007951CF" w:rsidRDefault="00C17B77">
      <w:pPr>
        <w:numPr>
          <w:ilvl w:val="0"/>
          <w:numId w:val="4"/>
        </w:numPr>
        <w:ind w:right="0" w:hanging="360"/>
      </w:pPr>
      <w:r>
        <w:t>Na základě hodnot</w:t>
      </w:r>
      <w:r w:rsidR="004A4A3A">
        <w:t>i</w:t>
      </w:r>
      <w:r>
        <w:t xml:space="preserve">cí zprávy o studijním programu připraví člen Rady pověřený předsedou Rady podle čl. 5 odst. 5 Pravidel systému zajišťování kvality UTB návrh zprávy o hodnocení studijního programu. Před projednáním návrhu zprávy v Radě jej </w:t>
      </w:r>
      <w:r w:rsidR="00352553">
        <w:t>tajemník</w:t>
      </w:r>
      <w:r>
        <w:t xml:space="preserve"> Rady předloží k vyjádření garantovi studijního programu a děkanovi. Návrh zprávy o hodnocení studijního programu je předložen </w:t>
      </w:r>
      <w:r w:rsidR="00352553">
        <w:t xml:space="preserve">členům Rady </w:t>
      </w:r>
      <w:r>
        <w:t xml:space="preserve">nejméně 5 dní před zasedáním Rady. </w:t>
      </w:r>
      <w:r>
        <w:rPr>
          <w:b/>
        </w:rPr>
        <w:t xml:space="preserve"> </w:t>
      </w:r>
    </w:p>
    <w:p w14:paraId="54FCD85D" w14:textId="6A58A195" w:rsidR="007951CF" w:rsidRDefault="00C17B77">
      <w:pPr>
        <w:numPr>
          <w:ilvl w:val="0"/>
          <w:numId w:val="4"/>
        </w:numPr>
        <w:ind w:right="0" w:hanging="360"/>
      </w:pPr>
      <w:r>
        <w:t xml:space="preserve">Návrh zprávy je projednán na zasedání Rady </w:t>
      </w:r>
      <w:r w:rsidR="00D165FB">
        <w:t>s</w:t>
      </w:r>
      <w:r w:rsidR="002C762A">
        <w:t> </w:t>
      </w:r>
      <w:r w:rsidR="00D165FB">
        <w:t>účastí</w:t>
      </w:r>
      <w:r w:rsidR="002C762A">
        <w:t xml:space="preserve"> </w:t>
      </w:r>
      <w:r>
        <w:t xml:space="preserve">garanta hodnoceného studijního programu. Zasedání se též může zúčastnit děkan nebo jím pověřený zaměstnanec, případně další osoby na vyžádání předsedy Rady. </w:t>
      </w:r>
      <w:r>
        <w:rPr>
          <w:b/>
        </w:rPr>
        <w:t xml:space="preserve"> </w:t>
      </w:r>
    </w:p>
    <w:p w14:paraId="03053B42" w14:textId="09837D30" w:rsidR="007951CF" w:rsidRDefault="00C17B77">
      <w:pPr>
        <w:numPr>
          <w:ilvl w:val="0"/>
          <w:numId w:val="4"/>
        </w:numPr>
        <w:ind w:right="0" w:hanging="360"/>
      </w:pPr>
      <w:r>
        <w:t xml:space="preserve">Na základě </w:t>
      </w:r>
      <w:r w:rsidR="003D6900">
        <w:t xml:space="preserve">projednání návrhu </w:t>
      </w:r>
      <w:r>
        <w:t xml:space="preserve">zprávy o hodnocení studijního programu Rada zprávu </w:t>
      </w:r>
      <w:r w:rsidR="00EA1563">
        <w:br/>
      </w:r>
      <w:r>
        <w:t>o hodnocení studijního programu</w:t>
      </w:r>
      <w:r w:rsidR="003D6900">
        <w:t xml:space="preserve"> schválí</w:t>
      </w:r>
      <w:r>
        <w:t>. Shrnutí výsledků zprávy o hodnocení studijního programu je přístupné ve veřejné části internetových stránek UTB.</w:t>
      </w:r>
      <w:r>
        <w:rPr>
          <w:b/>
        </w:rPr>
        <w:t xml:space="preserve"> </w:t>
      </w:r>
    </w:p>
    <w:p w14:paraId="7ABF13C9" w14:textId="2DE6A8B4" w:rsidR="007951CF" w:rsidRDefault="00C17B77">
      <w:pPr>
        <w:numPr>
          <w:ilvl w:val="0"/>
          <w:numId w:val="4"/>
        </w:numPr>
        <w:spacing w:after="88"/>
        <w:ind w:right="0" w:hanging="360"/>
      </w:pPr>
      <w:r>
        <w:t>Garant studijního programu promítn</w:t>
      </w:r>
      <w:r w:rsidR="00D165FB">
        <w:t>e</w:t>
      </w:r>
      <w:r>
        <w:t xml:space="preserve"> </w:t>
      </w:r>
      <w:r w:rsidR="00165A97">
        <w:t xml:space="preserve">závěry </w:t>
      </w:r>
      <w:r>
        <w:t xml:space="preserve">zprávy o hodnocení studijního programu do dalšího rozvoje a uskutečňování studijního programu nebo do přípravy žádosti </w:t>
      </w:r>
      <w:r w:rsidR="00EA1563">
        <w:br/>
      </w:r>
      <w:r>
        <w:t xml:space="preserve">o prodloužení </w:t>
      </w:r>
      <w:r w:rsidR="00165A97">
        <w:t xml:space="preserve">nebo rozšíření </w:t>
      </w:r>
      <w:r>
        <w:t>akreditace studijního programu.</w:t>
      </w:r>
      <w:r>
        <w:rPr>
          <w:b/>
        </w:rPr>
        <w:t xml:space="preserve"> </w:t>
      </w:r>
    </w:p>
    <w:p w14:paraId="0F670ACC" w14:textId="77777777" w:rsidR="007951CF" w:rsidRDefault="00C17B77">
      <w:pPr>
        <w:spacing w:after="24" w:line="259" w:lineRule="auto"/>
        <w:ind w:left="57" w:right="0" w:firstLine="0"/>
        <w:jc w:val="center"/>
      </w:pPr>
      <w:r>
        <w:rPr>
          <w:b/>
          <w:color w:val="FF0000"/>
        </w:rPr>
        <w:t xml:space="preserve"> </w:t>
      </w:r>
    </w:p>
    <w:p w14:paraId="2AC73993" w14:textId="41A318DA" w:rsidR="007951CF" w:rsidRDefault="007951CF">
      <w:pPr>
        <w:spacing w:after="0" w:line="259" w:lineRule="auto"/>
        <w:ind w:left="57" w:right="0" w:firstLine="0"/>
        <w:jc w:val="center"/>
      </w:pPr>
    </w:p>
    <w:p w14:paraId="37F883F6" w14:textId="77777777" w:rsidR="007951CF" w:rsidRDefault="00C17B77">
      <w:pPr>
        <w:spacing w:after="24" w:line="259" w:lineRule="auto"/>
        <w:ind w:left="836" w:right="0" w:firstLine="0"/>
        <w:jc w:val="center"/>
      </w:pPr>
      <w:r>
        <w:rPr>
          <w:b/>
        </w:rPr>
        <w:t xml:space="preserve"> </w:t>
      </w:r>
    </w:p>
    <w:p w14:paraId="53EB39C0" w14:textId="737A5C5D" w:rsidR="007951CF" w:rsidRDefault="00C17B77">
      <w:pPr>
        <w:spacing w:after="26" w:line="259" w:lineRule="auto"/>
        <w:ind w:left="787" w:right="0" w:hanging="10"/>
        <w:jc w:val="center"/>
      </w:pPr>
      <w:bookmarkStart w:id="0" w:name="_Hlk228980163"/>
      <w:r>
        <w:rPr>
          <w:b/>
        </w:rPr>
        <w:lastRenderedPageBreak/>
        <w:t xml:space="preserve">Článek </w:t>
      </w:r>
      <w:r w:rsidR="0067238F">
        <w:rPr>
          <w:b/>
        </w:rPr>
        <w:t xml:space="preserve">5 </w:t>
      </w:r>
    </w:p>
    <w:p w14:paraId="02135C3C" w14:textId="77777777" w:rsidR="007951CF" w:rsidRDefault="00C17B77">
      <w:pPr>
        <w:spacing w:after="0" w:line="259" w:lineRule="auto"/>
        <w:ind w:left="787" w:right="3" w:hanging="10"/>
        <w:jc w:val="center"/>
      </w:pPr>
      <w:r>
        <w:rPr>
          <w:b/>
        </w:rPr>
        <w:t xml:space="preserve">Závěrečná ustanovení </w:t>
      </w:r>
    </w:p>
    <w:p w14:paraId="3BC62956" w14:textId="77777777" w:rsidR="007951CF" w:rsidRDefault="00C17B77">
      <w:pPr>
        <w:spacing w:after="10" w:line="259" w:lineRule="auto"/>
        <w:ind w:left="836" w:right="0" w:firstLine="0"/>
        <w:jc w:val="center"/>
      </w:pPr>
      <w:r>
        <w:rPr>
          <w:b/>
        </w:rPr>
        <w:t xml:space="preserve"> </w:t>
      </w:r>
    </w:p>
    <w:p w14:paraId="1780E63D" w14:textId="243088E5" w:rsidR="007951CF" w:rsidRDefault="00C17B77" w:rsidP="003C088A">
      <w:pPr>
        <w:numPr>
          <w:ilvl w:val="1"/>
          <w:numId w:val="5"/>
        </w:numPr>
        <w:spacing w:after="47" w:line="259" w:lineRule="auto"/>
        <w:ind w:left="715" w:right="0" w:hanging="431"/>
        <w:jc w:val="left"/>
      </w:pPr>
      <w:r>
        <w:t xml:space="preserve">Rada se k této vnitřní normě vyjádřila dne </w:t>
      </w:r>
      <w:r w:rsidR="00755FF4">
        <w:t xml:space="preserve">19. </w:t>
      </w:r>
      <w:r w:rsidR="003D6900">
        <w:t xml:space="preserve">května </w:t>
      </w:r>
      <w:r w:rsidR="00755FF4">
        <w:t>2026</w:t>
      </w:r>
      <w:r w:rsidR="003D6900">
        <w:t>.</w:t>
      </w:r>
      <w:r>
        <w:t xml:space="preserve"> </w:t>
      </w:r>
    </w:p>
    <w:p w14:paraId="470D66E9" w14:textId="0B12E13F" w:rsidR="007951CF" w:rsidRDefault="00C17B77" w:rsidP="003C088A">
      <w:pPr>
        <w:numPr>
          <w:ilvl w:val="1"/>
          <w:numId w:val="5"/>
        </w:numPr>
        <w:spacing w:before="240" w:after="0"/>
        <w:ind w:left="426" w:hanging="142"/>
      </w:pPr>
      <w:r>
        <w:t xml:space="preserve">Tato směrnice ruší a nahrazuje směrnici rektora č. </w:t>
      </w:r>
      <w:r w:rsidR="00D165FB">
        <w:t>17/2020</w:t>
      </w:r>
      <w:r>
        <w:t xml:space="preserve">. </w:t>
      </w:r>
    </w:p>
    <w:bookmarkEnd w:id="0"/>
    <w:p w14:paraId="6831CDB0" w14:textId="77777777" w:rsidR="007951CF" w:rsidRDefault="00C17B77">
      <w:pPr>
        <w:spacing w:after="0" w:line="259" w:lineRule="auto"/>
        <w:ind w:left="836" w:right="0" w:firstLine="0"/>
        <w:jc w:val="center"/>
      </w:pPr>
      <w:r>
        <w:rPr>
          <w:b/>
        </w:rPr>
        <w:t xml:space="preserve"> </w:t>
      </w:r>
    </w:p>
    <w:p w14:paraId="59ACB8FF" w14:textId="497115AA" w:rsidR="007951CF" w:rsidRDefault="00C17B77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258EAB6" w14:textId="7830F452" w:rsidR="00755FF4" w:rsidRDefault="00755FF4">
      <w:pPr>
        <w:spacing w:after="0" w:line="259" w:lineRule="auto"/>
        <w:ind w:left="2" w:right="0" w:firstLine="0"/>
        <w:jc w:val="left"/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145"/>
        <w:gridCol w:w="3108"/>
        <w:gridCol w:w="2969"/>
      </w:tblGrid>
      <w:tr w:rsidR="00446624" w14:paraId="04704925" w14:textId="77777777" w:rsidTr="00A2470E">
        <w:trPr>
          <w:trHeight w:hRule="exact" w:val="454"/>
          <w:jc w:val="center"/>
        </w:trPr>
        <w:tc>
          <w:tcPr>
            <w:tcW w:w="9050" w:type="dxa"/>
            <w:gridSpan w:val="4"/>
            <w:tcBorders>
              <w:bottom w:val="single" w:sz="4" w:space="0" w:color="auto"/>
            </w:tcBorders>
          </w:tcPr>
          <w:p w14:paraId="26DCECAC" w14:textId="77777777" w:rsidR="00446624" w:rsidRDefault="00446624" w:rsidP="002338D4">
            <w:pPr>
              <w:jc w:val="center"/>
            </w:pPr>
            <w:bookmarkStart w:id="1" w:name="_Hlk228432692"/>
            <w:r>
              <w:t>Verze dokumentu</w:t>
            </w:r>
          </w:p>
        </w:tc>
      </w:tr>
      <w:tr w:rsidR="00446624" w14:paraId="6A558542" w14:textId="77777777" w:rsidTr="00A2470E">
        <w:trPr>
          <w:trHeight w:hRule="exact"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B2CEEE" w14:textId="77777777" w:rsidR="00446624" w:rsidRDefault="00446624" w:rsidP="00A2470E">
            <w:pPr>
              <w:ind w:left="0" w:firstLine="0"/>
              <w:jc w:val="center"/>
            </w:pPr>
            <w: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D09" w14:textId="77777777" w:rsidR="00446624" w:rsidRDefault="00446624" w:rsidP="00A2470E">
            <w:pPr>
              <w:ind w:left="0" w:firstLine="0"/>
              <w:jc w:val="center"/>
            </w:pPr>
            <w:r>
              <w:t>Verze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D50" w14:textId="77777777" w:rsidR="00446624" w:rsidRDefault="00446624" w:rsidP="00A2470E">
            <w:pPr>
              <w:ind w:left="0" w:firstLine="0"/>
              <w:jc w:val="center"/>
            </w:pPr>
            <w:r>
              <w:t>Změněno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3DB4FF" w14:textId="77777777" w:rsidR="00446624" w:rsidRDefault="00446624" w:rsidP="00A2470E">
            <w:pPr>
              <w:ind w:left="0" w:firstLine="0"/>
              <w:jc w:val="center"/>
            </w:pPr>
            <w:r>
              <w:t>Popis změny</w:t>
            </w:r>
          </w:p>
        </w:tc>
      </w:tr>
      <w:tr w:rsidR="00446624" w14:paraId="7CAF56E1" w14:textId="77777777" w:rsidTr="00A2470E">
        <w:trPr>
          <w:trHeight w:hRule="exact" w:val="76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E62105" w14:textId="10BD908C" w:rsidR="00446624" w:rsidRDefault="00446624" w:rsidP="00A2470E">
            <w:pPr>
              <w:ind w:left="0" w:firstLine="0"/>
              <w:jc w:val="center"/>
            </w:pPr>
            <w:r>
              <w:t>x. 5. 2026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A2C" w14:textId="77777777" w:rsidR="00446624" w:rsidRDefault="00446624" w:rsidP="00A2470E">
            <w:pPr>
              <w:ind w:left="0" w:firstLine="0"/>
              <w:jc w:val="center"/>
            </w:pPr>
            <w:r>
              <w:t>01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F7A" w14:textId="3CC0C218" w:rsidR="00446624" w:rsidRDefault="00446624" w:rsidP="00A2470E">
            <w:pPr>
              <w:ind w:left="30" w:firstLine="0"/>
              <w:jc w:val="center"/>
            </w:pPr>
            <w:r>
              <w:t>Referát prorektorky pro pedagogickou činnost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F4CED3" w14:textId="77777777" w:rsidR="00446624" w:rsidRDefault="00446624" w:rsidP="00A2470E">
            <w:pPr>
              <w:ind w:left="0" w:firstLine="0"/>
              <w:jc w:val="center"/>
            </w:pPr>
            <w:r>
              <w:t>Vytvoření dokumentu</w:t>
            </w:r>
          </w:p>
        </w:tc>
      </w:tr>
      <w:tr w:rsidR="00446624" w14:paraId="028F5758" w14:textId="77777777" w:rsidTr="00A2470E">
        <w:trPr>
          <w:trHeight w:hRule="exact"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A4FAF5" w14:textId="77777777" w:rsidR="00446624" w:rsidRDefault="00446624" w:rsidP="002338D4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7B5" w14:textId="77777777" w:rsidR="00446624" w:rsidRDefault="00446624" w:rsidP="002338D4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A96" w14:textId="77777777" w:rsidR="00446624" w:rsidRDefault="00446624" w:rsidP="002338D4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B6029F" w14:textId="77777777" w:rsidR="00446624" w:rsidRDefault="00446624" w:rsidP="002338D4"/>
        </w:tc>
      </w:tr>
      <w:tr w:rsidR="00446624" w14:paraId="70A23C4F" w14:textId="77777777" w:rsidTr="00A2470E">
        <w:trPr>
          <w:trHeight w:hRule="exact"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168CAE" w14:textId="77777777" w:rsidR="00446624" w:rsidRDefault="00446624" w:rsidP="002338D4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485" w14:textId="77777777" w:rsidR="00446624" w:rsidRDefault="00446624" w:rsidP="002338D4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C9C" w14:textId="77777777" w:rsidR="00446624" w:rsidRDefault="00446624" w:rsidP="002338D4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72C2A5" w14:textId="77777777" w:rsidR="00446624" w:rsidRDefault="00446624" w:rsidP="002338D4"/>
        </w:tc>
      </w:tr>
      <w:tr w:rsidR="00446624" w14:paraId="6ECE3443" w14:textId="77777777" w:rsidTr="00A2470E">
        <w:trPr>
          <w:trHeight w:hRule="exact"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AF09305" w14:textId="77777777" w:rsidR="00446624" w:rsidRDefault="00446624" w:rsidP="002338D4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4E516" w14:textId="77777777" w:rsidR="00446624" w:rsidRDefault="00446624" w:rsidP="002338D4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52E4B" w14:textId="77777777" w:rsidR="00446624" w:rsidRDefault="00446624" w:rsidP="002338D4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</w:tcBorders>
          </w:tcPr>
          <w:p w14:paraId="279DE105" w14:textId="77777777" w:rsidR="00446624" w:rsidRDefault="00446624" w:rsidP="002338D4"/>
        </w:tc>
      </w:tr>
    </w:tbl>
    <w:p w14:paraId="77B7D810" w14:textId="77777777" w:rsidR="00446624" w:rsidRPr="00B34C42" w:rsidRDefault="00446624" w:rsidP="00446624"/>
    <w:bookmarkEnd w:id="1"/>
    <w:p w14:paraId="0919F470" w14:textId="5A07CA92" w:rsidR="00755FF4" w:rsidRDefault="00755FF4" w:rsidP="00446624">
      <w:pPr>
        <w:spacing w:after="0" w:line="259" w:lineRule="auto"/>
        <w:ind w:left="2" w:right="0" w:firstLine="0"/>
        <w:jc w:val="left"/>
      </w:pPr>
    </w:p>
    <w:sectPr w:rsidR="00755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412" w:bottom="1292" w:left="1414" w:header="71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8DB7" w14:textId="77777777" w:rsidR="003C4A29" w:rsidRDefault="003C4A29">
      <w:pPr>
        <w:spacing w:after="0" w:line="240" w:lineRule="auto"/>
      </w:pPr>
      <w:r>
        <w:separator/>
      </w:r>
    </w:p>
  </w:endnote>
  <w:endnote w:type="continuationSeparator" w:id="0">
    <w:p w14:paraId="7FE10248" w14:textId="77777777" w:rsidR="003C4A29" w:rsidRDefault="003C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3477" w14:textId="77777777" w:rsidR="007951CF" w:rsidRDefault="00C17B77">
    <w:pPr>
      <w:tabs>
        <w:tab w:val="center" w:pos="4539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F67B" w14:textId="77777777" w:rsidR="007951CF" w:rsidRDefault="00C17B77">
    <w:pPr>
      <w:tabs>
        <w:tab w:val="center" w:pos="4539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2B1C" w14:textId="77777777" w:rsidR="007951CF" w:rsidRDefault="00C17B77">
    <w:pPr>
      <w:tabs>
        <w:tab w:val="center" w:pos="4539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BB2D" w14:textId="77777777" w:rsidR="003C4A29" w:rsidRDefault="003C4A29">
      <w:pPr>
        <w:spacing w:after="0" w:line="240" w:lineRule="auto"/>
      </w:pPr>
      <w:r>
        <w:separator/>
      </w:r>
    </w:p>
  </w:footnote>
  <w:footnote w:type="continuationSeparator" w:id="0">
    <w:p w14:paraId="629E2F46" w14:textId="77777777" w:rsidR="003C4A29" w:rsidRDefault="003C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DB15" w14:textId="77777777" w:rsidR="007951CF" w:rsidRDefault="00C17B77">
    <w:pPr>
      <w:spacing w:after="0" w:line="259" w:lineRule="auto"/>
      <w:ind w:left="0" w:right="1" w:firstLine="0"/>
      <w:jc w:val="center"/>
    </w:pPr>
    <w:r>
      <w:rPr>
        <w:i/>
        <w:sz w:val="22"/>
      </w:rPr>
      <w:t xml:space="preserve">Vnitřní normy Univerzity Tomáše Bati ve Zlíně </w:t>
    </w:r>
  </w:p>
  <w:p w14:paraId="52F9895F" w14:textId="77777777" w:rsidR="007951CF" w:rsidRDefault="00C17B77">
    <w:pPr>
      <w:spacing w:after="0" w:line="259" w:lineRule="auto"/>
      <w:ind w:left="139" w:right="0" w:firstLine="0"/>
      <w:jc w:val="left"/>
    </w:pPr>
    <w:r>
      <w:rPr>
        <w:rFonts w:ascii="J Baskerville TxN" w:eastAsia="J Baskerville TxN" w:hAnsi="J Baskerville TxN" w:cs="J Baskerville TxN"/>
        <w:i/>
        <w:sz w:val="20"/>
      </w:rPr>
      <w:t xml:space="preserve">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E088" w14:textId="77777777" w:rsidR="007951CF" w:rsidRDefault="00C17B77">
    <w:pPr>
      <w:spacing w:after="0" w:line="259" w:lineRule="auto"/>
      <w:ind w:left="0" w:right="1" w:firstLine="0"/>
      <w:jc w:val="center"/>
    </w:pPr>
    <w:r>
      <w:rPr>
        <w:i/>
        <w:sz w:val="22"/>
      </w:rPr>
      <w:t xml:space="preserve">Vnitřní normy Univerzity Tomáše Bati ve Zlíně </w:t>
    </w:r>
  </w:p>
  <w:p w14:paraId="18FD7629" w14:textId="77777777" w:rsidR="007951CF" w:rsidRDefault="00C17B77">
    <w:pPr>
      <w:spacing w:after="0" w:line="259" w:lineRule="auto"/>
      <w:ind w:left="139" w:right="0" w:firstLine="0"/>
      <w:jc w:val="left"/>
    </w:pPr>
    <w:r>
      <w:rPr>
        <w:rFonts w:ascii="J Baskerville TxN" w:eastAsia="J Baskerville TxN" w:hAnsi="J Baskerville TxN" w:cs="J Baskerville TxN"/>
        <w:i/>
        <w:sz w:val="20"/>
      </w:rPr>
      <w:t xml:space="preserve">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D4F2" w14:textId="77777777" w:rsidR="007951CF" w:rsidRDefault="00C17B77">
    <w:pPr>
      <w:spacing w:after="0" w:line="259" w:lineRule="auto"/>
      <w:ind w:left="0" w:right="1" w:firstLine="0"/>
      <w:jc w:val="center"/>
    </w:pPr>
    <w:r>
      <w:rPr>
        <w:i/>
        <w:sz w:val="22"/>
      </w:rPr>
      <w:t xml:space="preserve">Vnitřní normy Univerzity Tomáše Bati ve Zlíně </w:t>
    </w:r>
  </w:p>
  <w:p w14:paraId="3CD6FDA3" w14:textId="77777777" w:rsidR="007951CF" w:rsidRDefault="00C17B77">
    <w:pPr>
      <w:spacing w:after="0" w:line="259" w:lineRule="auto"/>
      <w:ind w:left="139" w:right="0" w:firstLine="0"/>
      <w:jc w:val="left"/>
    </w:pPr>
    <w:r>
      <w:rPr>
        <w:rFonts w:ascii="J Baskerville TxN" w:eastAsia="J Baskerville TxN" w:hAnsi="J Baskerville TxN" w:cs="J Baskerville TxN"/>
        <w:i/>
        <w:sz w:val="20"/>
      </w:rPr>
      <w:t xml:space="preserve">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D6B"/>
    <w:multiLevelType w:val="hybridMultilevel"/>
    <w:tmpl w:val="946685B2"/>
    <w:lvl w:ilvl="0" w:tplc="98101B38">
      <w:start w:val="1"/>
      <w:numFmt w:val="decimal"/>
      <w:lvlText w:val="(%1)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E97A0">
      <w:start w:val="1"/>
      <w:numFmt w:val="lowerLetter"/>
      <w:lvlText w:val="(%2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4527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2F0A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7EC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879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6B74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2575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B3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16938"/>
    <w:multiLevelType w:val="hybridMultilevel"/>
    <w:tmpl w:val="BACCD60C"/>
    <w:lvl w:ilvl="0" w:tplc="208AB9EA">
      <w:start w:val="2"/>
      <w:numFmt w:val="decimal"/>
      <w:lvlText w:val="(%1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8D316">
      <w:start w:val="1"/>
      <w:numFmt w:val="decimal"/>
      <w:lvlText w:val="(%2)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46DD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D07C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A7E5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2230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617A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27C80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882E6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94716"/>
    <w:multiLevelType w:val="hybridMultilevel"/>
    <w:tmpl w:val="9866E594"/>
    <w:lvl w:ilvl="0" w:tplc="15AA6BCE">
      <w:start w:val="1"/>
      <w:numFmt w:val="decimal"/>
      <w:lvlText w:val="(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CC54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0B21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C448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ABA8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E084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6661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277E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8E05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C23ACC"/>
    <w:multiLevelType w:val="hybridMultilevel"/>
    <w:tmpl w:val="CE0C1CE8"/>
    <w:lvl w:ilvl="0" w:tplc="630E8D60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4D368">
      <w:start w:val="1"/>
      <w:numFmt w:val="decimal"/>
      <w:lvlText w:val="(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08780">
      <w:start w:val="1"/>
      <w:numFmt w:val="lowerLetter"/>
      <w:lvlText w:val="(%3)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0AEAE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89BFC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6B13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6F1C0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8736C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07124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243C10"/>
    <w:multiLevelType w:val="hybridMultilevel"/>
    <w:tmpl w:val="EC4A5140"/>
    <w:lvl w:ilvl="0" w:tplc="6DA6DF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25D1C">
      <w:start w:val="1"/>
      <w:numFmt w:val="lowerLetter"/>
      <w:lvlText w:val="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EC5E6">
      <w:start w:val="1"/>
      <w:numFmt w:val="lowerLetter"/>
      <w:lvlRestart w:val="0"/>
      <w:lvlText w:val="(%3)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20E30">
      <w:start w:val="1"/>
      <w:numFmt w:val="decimal"/>
      <w:lvlText w:val="%4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221A8">
      <w:start w:val="1"/>
      <w:numFmt w:val="lowerLetter"/>
      <w:lvlText w:val="%5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C56A0">
      <w:start w:val="1"/>
      <w:numFmt w:val="lowerRoman"/>
      <w:lvlText w:val="%6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87D7A">
      <w:start w:val="1"/>
      <w:numFmt w:val="decimal"/>
      <w:lvlText w:val="%7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85E7E">
      <w:start w:val="1"/>
      <w:numFmt w:val="lowerLetter"/>
      <w:lvlText w:val="%8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28F42">
      <w:start w:val="1"/>
      <w:numFmt w:val="lowerRoman"/>
      <w:lvlText w:val="%9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0657718">
    <w:abstractNumId w:val="0"/>
  </w:num>
  <w:num w:numId="2" w16cid:durableId="1854028897">
    <w:abstractNumId w:val="3"/>
  </w:num>
  <w:num w:numId="3" w16cid:durableId="448279445">
    <w:abstractNumId w:val="4"/>
  </w:num>
  <w:num w:numId="4" w16cid:durableId="650718361">
    <w:abstractNumId w:val="2"/>
  </w:num>
  <w:num w:numId="5" w16cid:durableId="149279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CF"/>
    <w:rsid w:val="00003641"/>
    <w:rsid w:val="000304BE"/>
    <w:rsid w:val="0007416D"/>
    <w:rsid w:val="00097ABD"/>
    <w:rsid w:val="000A71C1"/>
    <w:rsid w:val="000D1AFF"/>
    <w:rsid w:val="000F6DD9"/>
    <w:rsid w:val="00121F5D"/>
    <w:rsid w:val="00165A97"/>
    <w:rsid w:val="00187BB9"/>
    <w:rsid w:val="002A7163"/>
    <w:rsid w:val="002C762A"/>
    <w:rsid w:val="002E044E"/>
    <w:rsid w:val="002F3C37"/>
    <w:rsid w:val="00352553"/>
    <w:rsid w:val="003839AC"/>
    <w:rsid w:val="003A7522"/>
    <w:rsid w:val="003C088A"/>
    <w:rsid w:val="003C4A29"/>
    <w:rsid w:val="003D6900"/>
    <w:rsid w:val="00446624"/>
    <w:rsid w:val="004A4A3A"/>
    <w:rsid w:val="0058375A"/>
    <w:rsid w:val="00625704"/>
    <w:rsid w:val="006334F8"/>
    <w:rsid w:val="00645018"/>
    <w:rsid w:val="00670BB9"/>
    <w:rsid w:val="0067238F"/>
    <w:rsid w:val="006B111B"/>
    <w:rsid w:val="006C0320"/>
    <w:rsid w:val="00736740"/>
    <w:rsid w:val="00755FF4"/>
    <w:rsid w:val="00762F40"/>
    <w:rsid w:val="0078150D"/>
    <w:rsid w:val="00794EA4"/>
    <w:rsid w:val="007951CF"/>
    <w:rsid w:val="008A3F15"/>
    <w:rsid w:val="008E3618"/>
    <w:rsid w:val="00946F09"/>
    <w:rsid w:val="009933C8"/>
    <w:rsid w:val="009C6C10"/>
    <w:rsid w:val="00A2470E"/>
    <w:rsid w:val="00A823C5"/>
    <w:rsid w:val="00A96F6B"/>
    <w:rsid w:val="00B00829"/>
    <w:rsid w:val="00B12391"/>
    <w:rsid w:val="00B43A9A"/>
    <w:rsid w:val="00B467F7"/>
    <w:rsid w:val="00B4729A"/>
    <w:rsid w:val="00B64D70"/>
    <w:rsid w:val="00C17B77"/>
    <w:rsid w:val="00C50B0B"/>
    <w:rsid w:val="00C66DC2"/>
    <w:rsid w:val="00D11293"/>
    <w:rsid w:val="00D165FB"/>
    <w:rsid w:val="00D73A2F"/>
    <w:rsid w:val="00DA4091"/>
    <w:rsid w:val="00E062CC"/>
    <w:rsid w:val="00E6645A"/>
    <w:rsid w:val="00E76F44"/>
    <w:rsid w:val="00E80D89"/>
    <w:rsid w:val="00E974E8"/>
    <w:rsid w:val="00EA1563"/>
    <w:rsid w:val="00EB7546"/>
    <w:rsid w:val="00EC622B"/>
    <w:rsid w:val="00ED3DF7"/>
    <w:rsid w:val="00EE1FA9"/>
    <w:rsid w:val="00EF0C7A"/>
    <w:rsid w:val="00F35DF2"/>
    <w:rsid w:val="00F723F1"/>
    <w:rsid w:val="4335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59A6"/>
  <w15:docId w15:val="{27C60408-3FE1-403C-AE0A-DF71F5CB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0" w:line="269" w:lineRule="auto"/>
      <w:ind w:left="73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2F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A4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A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A3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A3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B123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rsid w:val="00446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Hajzler</dc:creator>
  <cp:keywords/>
  <cp:lastModifiedBy>Martina Šmotková</cp:lastModifiedBy>
  <cp:revision>6</cp:revision>
  <dcterms:created xsi:type="dcterms:W3CDTF">2026-05-06T06:42:00Z</dcterms:created>
  <dcterms:modified xsi:type="dcterms:W3CDTF">2026-05-18T09:41:00Z</dcterms:modified>
</cp:coreProperties>
</file>