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857E6" w:rsidRPr="001D49F0" w14:paraId="69251875" w14:textId="77777777" w:rsidTr="00B952F3">
        <w:trPr>
          <w:trHeight w:hRule="exact" w:val="284"/>
        </w:trPr>
        <w:tc>
          <w:tcPr>
            <w:tcW w:w="2710" w:type="dxa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5FB1D" w14:textId="77777777" w:rsidR="002857E6" w:rsidRPr="001D49F0" w:rsidRDefault="002857E6">
            <w:pPr>
              <w:pStyle w:val="Zpat"/>
              <w:tabs>
                <w:tab w:val="left" w:pos="708"/>
              </w:tabs>
              <w:spacing w:line="276" w:lineRule="auto"/>
            </w:pPr>
            <w:r w:rsidRPr="001D49F0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576F6FE9" w14:textId="7CB9FB6D" w:rsidR="002857E6" w:rsidRPr="001D49F0" w:rsidRDefault="00EE59BC" w:rsidP="003A44E5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SR</w:t>
            </w:r>
            <w:r w:rsidR="002857E6" w:rsidRPr="001D49F0">
              <w:rPr>
                <w:rFonts w:ascii="Times New Roman" w:hAnsi="Times New Roman" w:cs="Times New Roman"/>
                <w:lang w:val="cs-CZ"/>
              </w:rPr>
              <w:t>/</w:t>
            </w:r>
            <w:r w:rsidRPr="001D49F0">
              <w:rPr>
                <w:rFonts w:ascii="Times New Roman" w:hAnsi="Times New Roman" w:cs="Times New Roman"/>
                <w:lang w:val="cs-CZ"/>
              </w:rPr>
              <w:t>XX</w:t>
            </w:r>
            <w:r w:rsidR="002857E6" w:rsidRPr="001D49F0">
              <w:rPr>
                <w:rFonts w:ascii="Times New Roman" w:hAnsi="Times New Roman" w:cs="Times New Roman"/>
                <w:lang w:val="cs-CZ"/>
              </w:rPr>
              <w:t>/202</w:t>
            </w:r>
            <w:r w:rsidR="00C23A10" w:rsidRPr="001D49F0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B952F3" w:rsidRPr="001D49F0" w14:paraId="511A8FE3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F27E0B" w14:textId="5C87E41E" w:rsidR="00B952F3" w:rsidRPr="001D49F0" w:rsidRDefault="00B952F3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0DA4876" w14:textId="0DE00B57" w:rsidR="00B952F3" w:rsidRPr="001D49F0" w:rsidRDefault="00B952F3" w:rsidP="003A44E5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1D49F0">
              <w:rPr>
                <w:rFonts w:ascii="Times New Roman" w:hAnsi="Times New Roman" w:cs="Times New Roman"/>
                <w:caps/>
                <w:lang w:val="cs-CZ"/>
              </w:rPr>
              <w:t>UTB/26/xxxxx</w:t>
            </w:r>
          </w:p>
        </w:tc>
      </w:tr>
      <w:tr w:rsidR="00B952F3" w:rsidRPr="001D49F0" w14:paraId="119AD1B4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4F014A" w14:textId="5E2A811A" w:rsidR="00B952F3" w:rsidRPr="001D49F0" w:rsidRDefault="00B952F3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Klasifikace dokumentu: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5DF16ACB" w14:textId="302C294D" w:rsidR="00B952F3" w:rsidRPr="001D49F0" w:rsidRDefault="00B952F3" w:rsidP="003A44E5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1D49F0">
              <w:rPr>
                <w:rFonts w:ascii="Times New Roman" w:hAnsi="Times New Roman" w:cs="Times New Roman"/>
                <w:caps/>
                <w:lang w:val="cs-CZ"/>
              </w:rPr>
              <w:t>INTERNÍ</w:t>
            </w:r>
          </w:p>
        </w:tc>
      </w:tr>
      <w:tr w:rsidR="002857E6" w:rsidRPr="001D49F0" w14:paraId="18A9CE68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62694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Druh: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502D4C8" w14:textId="7FA930D1" w:rsidR="002857E6" w:rsidRPr="001D49F0" w:rsidRDefault="00EE59BC" w:rsidP="003A44E5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1D49F0">
              <w:rPr>
                <w:rFonts w:ascii="Times New Roman" w:hAnsi="Times New Roman" w:cs="Times New Roman"/>
                <w:caps/>
                <w:lang w:val="cs-CZ"/>
              </w:rPr>
              <w:t xml:space="preserve">SMĚRNICE </w:t>
            </w:r>
            <w:r w:rsidR="00AF5C86" w:rsidRPr="001D49F0">
              <w:rPr>
                <w:rFonts w:ascii="Times New Roman" w:hAnsi="Times New Roman" w:cs="Times New Roman"/>
                <w:caps/>
                <w:lang w:val="cs-CZ"/>
              </w:rPr>
              <w:t>ŘEDITELE uni</w:t>
            </w:r>
          </w:p>
        </w:tc>
      </w:tr>
      <w:tr w:rsidR="002857E6" w:rsidRPr="001D49F0" w14:paraId="5B8CCE2E" w14:textId="77777777" w:rsidTr="00DD31FB">
        <w:trPr>
          <w:trHeight w:hRule="exact" w:val="863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025C7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14960D66" w14:textId="7859CAB7" w:rsidR="002857E6" w:rsidRPr="001D49F0" w:rsidRDefault="00037854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Pravidla průběhu studia ve studijních programech uskutečňovaných přímo Univerzitou Tomáše Bati ve Zlíně</w:t>
            </w:r>
            <w:r w:rsidR="61228537" w:rsidRPr="001D49F0">
              <w:rPr>
                <w:rFonts w:ascii="Times New Roman" w:hAnsi="Times New Roman" w:cs="Times New Roman"/>
                <w:lang w:val="cs-CZ"/>
              </w:rPr>
              <w:t xml:space="preserve"> spolu s vysokoškolským ústavem</w:t>
            </w:r>
          </w:p>
        </w:tc>
      </w:tr>
      <w:tr w:rsidR="002857E6" w:rsidRPr="001D49F0" w14:paraId="49EA19F7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CEA988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6A4A92AE" w14:textId="22CC636F" w:rsidR="002857E6" w:rsidRPr="001D49F0" w:rsidRDefault="00AF5C86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Univerzitní institut</w:t>
            </w:r>
          </w:p>
        </w:tc>
      </w:tr>
      <w:tr w:rsidR="002857E6" w:rsidRPr="001D49F0" w14:paraId="4BA54543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F30321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BE021" w14:textId="2068CCBB" w:rsidR="002857E6" w:rsidRPr="001D49F0" w:rsidRDefault="002857E6" w:rsidP="003A44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D623558" w14:textId="77777777" w:rsidR="002857E6" w:rsidRPr="001D49F0" w:rsidRDefault="002857E6" w:rsidP="003A44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2857E6" w:rsidRPr="001D49F0" w14:paraId="5B673AA3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5F0272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3DED807E" w14:textId="6F82D70E" w:rsidR="002857E6" w:rsidRPr="001D49F0" w:rsidRDefault="002857E6" w:rsidP="003A44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</w:tr>
      <w:tr w:rsidR="002857E6" w:rsidRPr="001D49F0" w14:paraId="194AFB09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416964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274E391" w14:textId="5BE7D56C" w:rsidR="002857E6" w:rsidRPr="001D49F0" w:rsidRDefault="008C32B9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Ředitel UNI</w:t>
            </w:r>
            <w:r w:rsidR="0011142B" w:rsidRPr="001D49F0">
              <w:rPr>
                <w:rFonts w:ascii="Times New Roman" w:hAnsi="Times New Roman" w:cs="Times New Roman"/>
                <w:lang w:val="cs-CZ"/>
              </w:rPr>
              <w:t xml:space="preserve"> po předchozím schválení AS UTB</w:t>
            </w:r>
          </w:p>
        </w:tc>
      </w:tr>
      <w:tr w:rsidR="002857E6" w:rsidRPr="001D49F0" w14:paraId="4DDAA8A5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D3513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003A0B93" w14:textId="4F2DB9E5" w:rsidR="002857E6" w:rsidRPr="001D49F0" w:rsidRDefault="00E74030" w:rsidP="004E5536">
            <w:pPr>
              <w:tabs>
                <w:tab w:val="left" w:pos="5422"/>
              </w:tabs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Zástupce ředitele UNI pro tvůrčí činnosti</w:t>
            </w:r>
            <w:r w:rsidR="0011142B" w:rsidRPr="001D49F0">
              <w:rPr>
                <w:rFonts w:ascii="Times New Roman" w:hAnsi="Times New Roman" w:cs="Times New Roman"/>
                <w:lang w:val="cs-CZ"/>
              </w:rPr>
              <w:tab/>
            </w:r>
          </w:p>
        </w:tc>
      </w:tr>
      <w:tr w:rsidR="002857E6" w:rsidRPr="001D49F0" w14:paraId="08B57D88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849C28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2678711" w14:textId="1DD64805" w:rsidR="002857E6" w:rsidRPr="001D49F0" w:rsidRDefault="00E74030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Právní oddělení UTB</w:t>
            </w:r>
          </w:p>
        </w:tc>
      </w:tr>
      <w:tr w:rsidR="002857E6" w:rsidRPr="001D49F0" w14:paraId="1BA4B653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9D82AE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76AB107E" w14:textId="04B2F37F" w:rsidR="002857E6" w:rsidRPr="001D49F0" w:rsidRDefault="00CF4AEE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8</w:t>
            </w:r>
          </w:p>
        </w:tc>
      </w:tr>
      <w:tr w:rsidR="002857E6" w:rsidRPr="001D49F0" w14:paraId="220E9B23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F34E12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906B9B1" w14:textId="2A73CF0A" w:rsidR="002857E6" w:rsidRPr="001D49F0" w:rsidRDefault="005B1555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2</w:t>
            </w:r>
          </w:p>
        </w:tc>
      </w:tr>
      <w:tr w:rsidR="002857E6" w:rsidRPr="001D49F0" w14:paraId="097F5587" w14:textId="77777777" w:rsidTr="00B952F3">
        <w:trPr>
          <w:trHeight w:hRule="exact" w:val="284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24D68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7405164" w14:textId="7408FA0C" w:rsidR="002857E6" w:rsidRPr="001D49F0" w:rsidRDefault="00A42539" w:rsidP="003A44E5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Zaměstnanci a studenti UTB</w:t>
            </w:r>
          </w:p>
        </w:tc>
      </w:tr>
      <w:tr w:rsidR="002857E6" w:rsidRPr="001D49F0" w14:paraId="7A9CE544" w14:textId="77777777" w:rsidTr="00DD31FB">
        <w:trPr>
          <w:trHeight w:hRule="exact" w:val="712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  <w:hideMark/>
          </w:tcPr>
          <w:p w14:paraId="7500DA9B" w14:textId="77777777" w:rsidR="002857E6" w:rsidRPr="001D49F0" w:rsidRDefault="002857E6">
            <w:pPr>
              <w:spacing w:line="276" w:lineRule="auto"/>
              <w:rPr>
                <w:rFonts w:ascii="Times New Roman" w:hAnsi="Times New Roman" w:cs="Times New Roman"/>
                <w:lang w:val="cs-CZ"/>
              </w:rPr>
            </w:pPr>
            <w:r w:rsidRPr="001D49F0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vAlign w:val="center"/>
            <w:hideMark/>
          </w:tcPr>
          <w:p w14:paraId="3CCF5FD9" w14:textId="16A05AB7" w:rsidR="002857E6" w:rsidRPr="001D49F0" w:rsidRDefault="002857E6" w:rsidP="003A44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5D3C9087" w14:textId="77777777" w:rsidR="002857E6" w:rsidRPr="001D49F0" w:rsidRDefault="002857E6" w:rsidP="00F03C3B">
      <w:pPr>
        <w:spacing w:after="12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6AA6FEED" w14:textId="418570AA" w:rsidR="00836EEC" w:rsidRPr="001D49F0" w:rsidRDefault="00836EEC" w:rsidP="00F03C3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1D49F0">
        <w:rPr>
          <w:b/>
          <w:bCs/>
          <w:sz w:val="28"/>
          <w:szCs w:val="28"/>
        </w:rPr>
        <w:t>ČÁST PRVNÍ</w:t>
      </w:r>
    </w:p>
    <w:p w14:paraId="238EC7C1" w14:textId="4DFE82DC" w:rsidR="00836EEC" w:rsidRPr="001D49F0" w:rsidRDefault="00836EEC" w:rsidP="00F03C3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1D49F0">
        <w:rPr>
          <w:b/>
          <w:bCs/>
          <w:sz w:val="28"/>
          <w:szCs w:val="28"/>
        </w:rPr>
        <w:t>ZÁKLADNÍ USTANOVENÍ</w:t>
      </w:r>
    </w:p>
    <w:p w14:paraId="37EF08D7" w14:textId="77777777" w:rsidR="004E5536" w:rsidRPr="001D49F0" w:rsidRDefault="004E5536" w:rsidP="00F03C3B">
      <w:pPr>
        <w:pStyle w:val="Default"/>
        <w:spacing w:after="120"/>
        <w:jc w:val="center"/>
        <w:rPr>
          <w:bCs/>
          <w:sz w:val="22"/>
          <w:szCs w:val="22"/>
        </w:rPr>
      </w:pPr>
    </w:p>
    <w:p w14:paraId="3792020B" w14:textId="2EB14C6D" w:rsidR="00836EEC" w:rsidRPr="001D49F0" w:rsidRDefault="00836EEC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</w:t>
      </w:r>
    </w:p>
    <w:p w14:paraId="77652C0C" w14:textId="5571A4FA" w:rsidR="00836EEC" w:rsidRPr="001D49F0" w:rsidRDefault="00836EEC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Úvodní ustanovení</w:t>
      </w:r>
    </w:p>
    <w:p w14:paraId="03D2DF32" w14:textId="77777777" w:rsidR="004E5536" w:rsidRPr="001D49F0" w:rsidRDefault="004E5536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3D3E85B4" w14:textId="0D91933F" w:rsidR="0068001C" w:rsidRPr="001D49F0" w:rsidRDefault="00FF3544" w:rsidP="004E5536">
      <w:pPr>
        <w:pStyle w:val="Odstavecseseznamem"/>
        <w:numPr>
          <w:ilvl w:val="0"/>
          <w:numId w:val="4"/>
        </w:num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směrnice </w:t>
      </w:r>
      <w:r w:rsidR="00836EE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Pravidla průběhu studia ve studijních programech uskutečňovaných přímo Univerzitou Tomáše Bati ve Zlíně (dále jen „UTB“) </w:t>
      </w:r>
      <w:r w:rsidR="00AF5C8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spolu s </w:t>
      </w:r>
      <w:r w:rsidR="00294F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vysokoškolským ústavem</w:t>
      </w:r>
      <w:r w:rsidR="00A565B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E553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Univerzitní institut </w:t>
      </w:r>
      <w:r w:rsidR="00A565B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(dále jen „UNI“) </w:t>
      </w:r>
      <w:r w:rsidR="00294F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</w:t>
      </w:r>
      <w:r w:rsidR="00836EE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vnitřní normou </w:t>
      </w:r>
      <w:r w:rsidR="002D2C9D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836EE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r w:rsidR="00934B7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která upravuje konkrétní podmínky a průběh studia ve studijních programech uskutečňovaných přímo UTB spolu s</w:t>
      </w:r>
      <w:r w:rsidR="004D649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294F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934B7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„celoškolský studijní program“) ve smyslu čl. 1 odst. 5 </w:t>
      </w:r>
      <w:r w:rsidR="00A879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Studijního a</w:t>
      </w:r>
      <w:r w:rsidR="00CF72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A879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zkušebního řádu UTB (dále jen „</w:t>
      </w:r>
      <w:r w:rsidR="00934B7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SZŘ</w:t>
      </w:r>
      <w:r w:rsidR="00A879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="00934B7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v tomto smyslu SZŘ doplňuje</w:t>
      </w:r>
      <w:r w:rsidR="00D521E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46310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Jednotlivé články této směrnice jsou očíslovány </w:t>
      </w:r>
      <w:r w:rsidR="00294F5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46310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článků SZŘ</w:t>
      </w:r>
      <w:r w:rsidR="00D32F61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které doplňují</w:t>
      </w:r>
      <w:r w:rsidR="0008680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Pokud </w:t>
      </w:r>
      <w:r w:rsidR="009B2F4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daný článek SZŘ není uveden, směrnice </w:t>
      </w:r>
      <w:r w:rsidR="004E553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 nedoplňuje</w:t>
      </w:r>
      <w:r w:rsidR="009B2F44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521E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45EFA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Tuto s</w:t>
      </w:r>
      <w:r w:rsidR="00D521E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měrnici </w:t>
      </w:r>
      <w:r w:rsidR="00836EE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podle čl. 1 odst. 5 SZŘ schvaluje Akademický senát UTB.</w:t>
      </w:r>
    </w:p>
    <w:p w14:paraId="14E4A74A" w14:textId="2EEA1F42" w:rsidR="00836EEC" w:rsidRPr="001D49F0" w:rsidRDefault="00836EEC" w:rsidP="004E5536">
      <w:pPr>
        <w:pStyle w:val="Odstavecseseznamem"/>
        <w:numPr>
          <w:ilvl w:val="0"/>
          <w:numId w:val="4"/>
        </w:num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Ustanovení této vnitřní normy </w:t>
      </w:r>
      <w:r w:rsidR="007E62CC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 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 spojení se SZŘ platí v příslušném rozsahu pro</w:t>
      </w:r>
      <w:r w:rsidR="004E553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všechny studenty</w:t>
      </w:r>
      <w:r w:rsidR="00245EFA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prezenčního a kombinovaného studia</w:t>
      </w:r>
      <w:r w:rsidR="00B952F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studující celoškolský studijní </w:t>
      </w:r>
      <w:r w:rsidR="00B952F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program </w:t>
      </w:r>
      <w:r w:rsidR="006F5B71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(dále jen „doktorand“) </w:t>
      </w:r>
      <w:r w:rsidR="00B952F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pro akademické, popřípadě vědecké pracovníky</w:t>
      </w:r>
      <w:r w:rsidR="004E553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zajišťující výuku v celoškolských studijních programech.</w:t>
      </w:r>
    </w:p>
    <w:p w14:paraId="6D5B07C0" w14:textId="77777777" w:rsidR="009D4501" w:rsidRPr="001D49F0" w:rsidRDefault="009D4501" w:rsidP="004E5536">
      <w:pPr>
        <w:pStyle w:val="Default"/>
        <w:spacing w:after="120"/>
        <w:jc w:val="center"/>
      </w:pPr>
    </w:p>
    <w:p w14:paraId="32C01294" w14:textId="49720C0A" w:rsidR="00F03C3B" w:rsidRPr="001D49F0" w:rsidRDefault="00F03C3B" w:rsidP="004E5536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1D49F0">
        <w:rPr>
          <w:b/>
          <w:bCs/>
          <w:sz w:val="28"/>
          <w:szCs w:val="28"/>
        </w:rPr>
        <w:t xml:space="preserve">ČÁST </w:t>
      </w:r>
      <w:r w:rsidR="005C2748" w:rsidRPr="001D49F0">
        <w:rPr>
          <w:b/>
          <w:bCs/>
          <w:sz w:val="28"/>
          <w:szCs w:val="28"/>
        </w:rPr>
        <w:t>TŘETÍ</w:t>
      </w:r>
    </w:p>
    <w:p w14:paraId="0D958432" w14:textId="64092E20" w:rsidR="00F03C3B" w:rsidRPr="001D49F0" w:rsidRDefault="00F03C3B" w:rsidP="004E5536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1D49F0">
        <w:rPr>
          <w:b/>
          <w:bCs/>
          <w:sz w:val="28"/>
          <w:szCs w:val="28"/>
        </w:rPr>
        <w:t>USTANOVENÍ PRO STUDIUM V DOKTORSKÝCH STUDIJNÍCH PROGRAMECH</w:t>
      </w:r>
    </w:p>
    <w:p w14:paraId="4F3B6D12" w14:textId="77777777" w:rsidR="00F03C3B" w:rsidRPr="001D49F0" w:rsidRDefault="00F03C3B" w:rsidP="004E5536">
      <w:pPr>
        <w:pStyle w:val="Default"/>
        <w:spacing w:after="120" w:line="360" w:lineRule="auto"/>
        <w:jc w:val="center"/>
      </w:pPr>
    </w:p>
    <w:p w14:paraId="3BFD3021" w14:textId="085A8A4B" w:rsidR="00F03C3B" w:rsidRPr="001D49F0" w:rsidRDefault="00F03C3B" w:rsidP="004E5536">
      <w:pPr>
        <w:pStyle w:val="Default"/>
        <w:spacing w:line="360" w:lineRule="auto"/>
        <w:jc w:val="center"/>
      </w:pPr>
      <w:r w:rsidRPr="001D49F0">
        <w:rPr>
          <w:i/>
          <w:iCs/>
        </w:rPr>
        <w:t>Díl 1</w:t>
      </w:r>
    </w:p>
    <w:p w14:paraId="7B2C4424" w14:textId="35D43783" w:rsidR="00F03C3B" w:rsidRPr="001D49F0" w:rsidRDefault="00F03C3B" w:rsidP="004E5536">
      <w:pPr>
        <w:pStyle w:val="Default"/>
        <w:spacing w:after="120" w:line="360" w:lineRule="auto"/>
        <w:jc w:val="center"/>
        <w:rPr>
          <w:i/>
          <w:iCs/>
        </w:rPr>
      </w:pPr>
      <w:r w:rsidRPr="001D49F0">
        <w:rPr>
          <w:i/>
          <w:iCs/>
        </w:rPr>
        <w:t>ORGANIZACE A USKUTEČŇOVÁNÍ DOKTORSKÉHO STUDIJNÍHO PROGRAMU</w:t>
      </w:r>
    </w:p>
    <w:p w14:paraId="21AA2322" w14:textId="41DE9B0F" w:rsidR="00F03C3B" w:rsidRPr="001D49F0" w:rsidRDefault="00F03C3B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34</w:t>
      </w:r>
    </w:p>
    <w:p w14:paraId="1712A4FF" w14:textId="039802BF" w:rsidR="00F03C3B" w:rsidRPr="001D49F0" w:rsidRDefault="007821C3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</w:t>
      </w:r>
      <w:r w:rsidR="00F03C3B"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asové členění studia</w:t>
      </w:r>
    </w:p>
    <w:p w14:paraId="79AE145A" w14:textId="77777777" w:rsidR="001D49F0" w:rsidRPr="001D49F0" w:rsidRDefault="001D49F0" w:rsidP="004E5536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415095B7" w14:textId="7C54B2E5" w:rsidR="00F03C3B" w:rsidRPr="001D49F0" w:rsidRDefault="00F03C3B" w:rsidP="001D49F0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</w:t>
      </w:r>
      <w:r w:rsidR="0056347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SZŘ:</w:t>
      </w:r>
    </w:p>
    <w:p w14:paraId="4B8C6778" w14:textId="51519C2D" w:rsidR="00F03C3B" w:rsidRPr="001D49F0" w:rsidRDefault="00F03C3B" w:rsidP="001D49F0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Délka prázdnin v doktorském studijním programu je stanovena na </w:t>
      </w:r>
      <w:r w:rsidR="00E35BE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pět 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týdnů</w:t>
      </w:r>
      <w:r w:rsidR="00BA5FB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není-li určeno </w:t>
      </w:r>
      <w:r w:rsidR="00224AC3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jinak </w:t>
      </w:r>
      <w:r w:rsidR="00BA5FB6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 základě pracovněprávního vztahu na UTB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D31F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Termín prázdnin stanoví školitel po dohodě s</w:t>
      </w:r>
      <w:r w:rsidR="003C4ED1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DD31F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doktorandem</w:t>
      </w:r>
      <w:r w:rsidR="003C4ED1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rámci individuálního studijního plánu</w:t>
      </w:r>
      <w:r w:rsidR="008D415E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„ISP“)</w:t>
      </w:r>
      <w:r w:rsidR="00DD31F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77CF0B29" w14:textId="77777777" w:rsidR="00F03C3B" w:rsidRPr="001D49F0" w:rsidRDefault="00F03C3B" w:rsidP="001D49F0">
      <w:pPr>
        <w:pStyle w:val="Default"/>
        <w:spacing w:after="120"/>
        <w:jc w:val="center"/>
      </w:pPr>
    </w:p>
    <w:p w14:paraId="646A4633" w14:textId="6A431AF0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35</w:t>
      </w:r>
    </w:p>
    <w:p w14:paraId="5C140A09" w14:textId="709C37EF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Formy studia</w:t>
      </w:r>
    </w:p>
    <w:p w14:paraId="341AAECE" w14:textId="77777777" w:rsidR="001D49F0" w:rsidRPr="001D49F0" w:rsidRDefault="001D49F0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538895A1" w14:textId="3EDA40B5" w:rsidR="006C54EA" w:rsidRPr="001D49F0" w:rsidRDefault="006C54EA" w:rsidP="001D49F0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(3) SZŘ:</w:t>
      </w:r>
    </w:p>
    <w:p w14:paraId="2DC95793" w14:textId="0C96CF3F" w:rsidR="00914F2F" w:rsidRPr="001D49F0" w:rsidRDefault="00914F2F" w:rsidP="001D49F0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případě, že </w:t>
      </w:r>
      <w:r w:rsidR="001C68CB"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doktorand 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neukončí studium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ve standardní době studia, může písemně po souhlasu školitele a vyjádření </w:t>
      </w:r>
      <w:r w:rsidR="009F4AB5" w:rsidRPr="001D49F0">
        <w:rPr>
          <w:rFonts w:ascii="Times New Roman" w:hAnsi="Times New Roman" w:cs="Times New Roman"/>
          <w:sz w:val="24"/>
          <w:szCs w:val="24"/>
          <w:lang w:val="cs-CZ"/>
        </w:rPr>
        <w:t>garanta studijního programu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požádat </w:t>
      </w:r>
      <w:r w:rsidR="00BA33BA" w:rsidRPr="001D49F0">
        <w:rPr>
          <w:rFonts w:ascii="Times New Roman" w:hAnsi="Times New Roman" w:cs="Times New Roman"/>
          <w:sz w:val="24"/>
          <w:szCs w:val="24"/>
          <w:lang w:val="cs-CZ"/>
        </w:rPr>
        <w:t>ředitele UNI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o postup do dalšího roku studia. Pokračovat ve</w:t>
      </w:r>
      <w:r w:rsidR="00563473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studiu po standardní době studia lze pouze v kombinované formě studia. Žádost o postup do dalšího roku studia a </w:t>
      </w:r>
      <w:r w:rsidR="001E66BE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tím i o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změnu formy studia je nutné podat 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nejpozději jeden měsíc </w:t>
      </w:r>
      <w:r w:rsidRPr="001D49F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 uplynutím standardní doby studia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. V případě, že </w:t>
      </w:r>
      <w:r w:rsidR="001C68C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doktorand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nepožádá o změnu formy studia na kombinovanou formu</w:t>
      </w:r>
      <w:r w:rsidR="001E66BE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ve lhůtě uvedené v předchozí větě,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je mu studium ukončeno podle § 56 odst. 1 písm. b) zákona.</w:t>
      </w:r>
    </w:p>
    <w:p w14:paraId="6A31A4D4" w14:textId="77777777" w:rsidR="00F03C3B" w:rsidRPr="001D49F0" w:rsidRDefault="00F03C3B" w:rsidP="001D49F0">
      <w:pPr>
        <w:pStyle w:val="Default"/>
        <w:spacing w:after="120"/>
        <w:jc w:val="center"/>
      </w:pPr>
    </w:p>
    <w:p w14:paraId="1C085562" w14:textId="2B6D699E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36</w:t>
      </w:r>
    </w:p>
    <w:p w14:paraId="06C059BC" w14:textId="20DA1609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Oborová rada</w:t>
      </w:r>
    </w:p>
    <w:p w14:paraId="698C0DE4" w14:textId="77777777" w:rsidR="001D49F0" w:rsidRPr="001D49F0" w:rsidRDefault="001D49F0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05C854AB" w14:textId="1984E5A5" w:rsidR="0008452A" w:rsidRPr="001D49F0" w:rsidRDefault="0008452A" w:rsidP="001D49F0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Ad odst. (6) SZŘ:</w:t>
      </w:r>
    </w:p>
    <w:p w14:paraId="73F88506" w14:textId="13D52465" w:rsidR="00527E90" w:rsidRPr="001D49F0" w:rsidRDefault="0008452A" w:rsidP="001D49F0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lastRenderedPageBreak/>
        <w:t>Zasedání oborové rady svolává její předseda nebo místopředseda nejméně jednou za půl roku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>, nejlépe elektronickou formou</w:t>
      </w:r>
      <w:r w:rsidR="00224AC3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s uvedeným programem zasedání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, nejméně </w:t>
      </w:r>
      <w:r w:rsidR="007C45C3">
        <w:rPr>
          <w:rFonts w:ascii="Times New Roman" w:hAnsi="Times New Roman" w:cs="Times New Roman"/>
          <w:sz w:val="24"/>
          <w:szCs w:val="24"/>
          <w:lang w:val="cs-CZ"/>
        </w:rPr>
        <w:t>šedesát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dn</w:t>
      </w:r>
      <w:r w:rsidR="007C45C3">
        <w:rPr>
          <w:rFonts w:ascii="Times New Roman" w:hAnsi="Times New Roman" w:cs="Times New Roman"/>
          <w:sz w:val="24"/>
          <w:szCs w:val="24"/>
          <w:lang w:val="cs-CZ"/>
        </w:rPr>
        <w:t>ů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před</w:t>
      </w:r>
      <w:r w:rsidR="007C45C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>plánovaným zasedáním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F114D4" w:rsidRPr="001D49F0">
        <w:rPr>
          <w:rFonts w:ascii="Times New Roman" w:hAnsi="Times New Roman" w:cs="Times New Roman"/>
          <w:sz w:val="24"/>
          <w:szCs w:val="24"/>
          <w:lang w:val="cs-CZ"/>
        </w:rPr>
        <w:t>Mezi zasedáními oborové rady zastupuje oborovou radu předseda.</w:t>
      </w:r>
    </w:p>
    <w:p w14:paraId="0D6947D7" w14:textId="383E6F99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38</w:t>
      </w:r>
    </w:p>
    <w:p w14:paraId="1AF5ADE4" w14:textId="4159F23D" w:rsidR="00F03C3B" w:rsidRPr="001D49F0" w:rsidRDefault="00F03C3B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1D49F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Individuální studijní plán</w:t>
      </w:r>
    </w:p>
    <w:p w14:paraId="32AEF26A" w14:textId="77777777" w:rsidR="001D49F0" w:rsidRPr="001D49F0" w:rsidRDefault="001D49F0" w:rsidP="001D49F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5E9EB04C" w14:textId="26436FC6" w:rsidR="000D204D" w:rsidRPr="001D49F0" w:rsidRDefault="000D204D" w:rsidP="001D49F0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Ad odst. (</w:t>
      </w:r>
      <w:r w:rsidR="004C7C75" w:rsidRPr="001D49F0">
        <w:rPr>
          <w:rFonts w:ascii="Times New Roman" w:hAnsi="Times New Roman" w:cs="Times New Roman"/>
          <w:sz w:val="24"/>
          <w:szCs w:val="24"/>
          <w:lang w:val="cs-CZ"/>
        </w:rPr>
        <w:t>1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) SZŘ:</w:t>
      </w:r>
    </w:p>
    <w:p w14:paraId="16DA1F48" w14:textId="3B2F1126" w:rsidR="009B4B9B" w:rsidRPr="001D49F0" w:rsidRDefault="004C7C75" w:rsidP="001D49F0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3B1319" w:rsidRPr="001D49F0">
        <w:rPr>
          <w:rFonts w:ascii="Times New Roman" w:hAnsi="Times New Roman" w:cs="Times New Roman"/>
          <w:sz w:val="24"/>
          <w:szCs w:val="24"/>
          <w:lang w:val="cs-CZ"/>
        </w:rPr>
        <w:t>lán a p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opis povinností v ISP by měl být dostatečně určitý, konkrétní, a měl by v maximální míře využívat měřitelná kritéria (termíny, počty či rozsahy výstupů) tak, aby bylo možné </w:t>
      </w:r>
      <w:r w:rsidR="00331F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 rámci hodnocení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jasně </w:t>
      </w:r>
      <w:r w:rsidR="003B13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doložit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plnění ISP. Dále musí </w:t>
      </w:r>
      <w:r w:rsidR="008B2C0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být </w:t>
      </w:r>
      <w:r w:rsidR="00331F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 rámci ISP </w:t>
      </w:r>
      <w:r w:rsidR="009B4B9B" w:rsidRPr="001D49F0">
        <w:rPr>
          <w:rFonts w:ascii="Times New Roman" w:hAnsi="Times New Roman" w:cs="Times New Roman"/>
          <w:sz w:val="24"/>
          <w:szCs w:val="24"/>
          <w:lang w:val="cs-CZ"/>
        </w:rPr>
        <w:t>povinnosti plánovány tak, aby splnily následující podmínky:</w:t>
      </w:r>
    </w:p>
    <w:p w14:paraId="48EEBC49" w14:textId="17B1C589" w:rsidR="009B4B9B" w:rsidRPr="001D49F0" w:rsidRDefault="009B4B9B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a) absolvování min. dvou zkoušek z odborných předmětů do konce prvního roku studia;</w:t>
      </w:r>
    </w:p>
    <w:p w14:paraId="09BA2007" w14:textId="281BF78E" w:rsidR="009B4B9B" w:rsidRPr="001D49F0" w:rsidRDefault="009B4B9B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b) absolvování všech zkoušek</w:t>
      </w:r>
      <w:r w:rsidR="0093586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z odborných předmětů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do konce druhého roku studia;</w:t>
      </w:r>
    </w:p>
    <w:p w14:paraId="170CD349" w14:textId="3A129747" w:rsidR="009B4B9B" w:rsidRPr="001D49F0" w:rsidRDefault="009B4B9B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c) absolvování výjezdu na zahraniční univerzitu či </w:t>
      </w:r>
      <w:r w:rsidR="0093586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zahraniční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výzkumné pracoviště </w:t>
      </w:r>
      <w:r w:rsidR="000F0D78" w:rsidRPr="001D49F0">
        <w:rPr>
          <w:rFonts w:ascii="Times New Roman" w:hAnsi="Times New Roman" w:cs="Times New Roman"/>
          <w:sz w:val="24"/>
          <w:szCs w:val="24"/>
          <w:lang w:val="cs-CZ"/>
        </w:rPr>
        <w:t>do</w:t>
      </w:r>
      <w:r w:rsidR="001D49F0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0F0D78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konce čtvrtého roku studia, a to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v délce trvání min</w:t>
      </w:r>
      <w:r w:rsidR="00AA3302">
        <w:rPr>
          <w:rFonts w:ascii="Times New Roman" w:hAnsi="Times New Roman" w:cs="Times New Roman"/>
          <w:sz w:val="24"/>
          <w:szCs w:val="24"/>
          <w:lang w:val="cs-CZ"/>
        </w:rPr>
        <w:t>imálně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A3302">
        <w:rPr>
          <w:rFonts w:ascii="Times New Roman" w:hAnsi="Times New Roman" w:cs="Times New Roman"/>
          <w:sz w:val="24"/>
          <w:szCs w:val="24"/>
          <w:lang w:val="cs-CZ"/>
        </w:rPr>
        <w:t>dvou měsíců v prezenční formě studia a</w:t>
      </w:r>
      <w:r w:rsidR="00CF72A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AA3302">
        <w:rPr>
          <w:rFonts w:ascii="Times New Roman" w:hAnsi="Times New Roman" w:cs="Times New Roman"/>
          <w:sz w:val="24"/>
          <w:szCs w:val="24"/>
          <w:lang w:val="cs-CZ"/>
        </w:rPr>
        <w:t>jednoho měsíce v kombinované formě studia</w:t>
      </w:r>
      <w:r w:rsidR="00B90CF3" w:rsidRPr="001D49F0">
        <w:rPr>
          <w:rFonts w:ascii="Times New Roman" w:hAnsi="Times New Roman" w:cs="Times New Roman"/>
          <w:sz w:val="24"/>
          <w:szCs w:val="24"/>
          <w:lang w:val="cs-CZ"/>
        </w:rPr>
        <w:t>. Mobilita může být ze</w:t>
      </w:r>
      <w:r w:rsidR="003575C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B90CF3" w:rsidRPr="001D49F0">
        <w:rPr>
          <w:rFonts w:ascii="Times New Roman" w:hAnsi="Times New Roman" w:cs="Times New Roman"/>
          <w:sz w:val="24"/>
          <w:szCs w:val="24"/>
          <w:lang w:val="cs-CZ"/>
        </w:rPr>
        <w:t>závažných zdravotních anebo rodinných důvodů (péče o osobu blízkou)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262EF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nahrazena </w:t>
      </w:r>
      <w:r w:rsidR="004262EF">
        <w:rPr>
          <w:rFonts w:ascii="Times New Roman" w:hAnsi="Times New Roman" w:cs="Times New Roman"/>
          <w:sz w:val="24"/>
          <w:szCs w:val="24"/>
          <w:lang w:val="cs-CZ"/>
        </w:rPr>
        <w:t xml:space="preserve">jinou mezinárodní tvůrčí aktivitou dle </w:t>
      </w:r>
      <w:r w:rsidR="00AA3302">
        <w:rPr>
          <w:rFonts w:ascii="Times New Roman" w:hAnsi="Times New Roman" w:cs="Times New Roman"/>
          <w:sz w:val="24"/>
          <w:szCs w:val="24"/>
          <w:lang w:val="cs-CZ"/>
        </w:rPr>
        <w:t>směrnice rektora SR/08/2022</w:t>
      </w:r>
      <w:r w:rsidR="00B607F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>Standard</w:t>
      </w:r>
      <w:r w:rsidR="0001743E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studijních programů</w:t>
      </w:r>
      <w:r w:rsidR="0001743E">
        <w:rPr>
          <w:rFonts w:ascii="Times New Roman" w:hAnsi="Times New Roman" w:cs="Times New Roman"/>
          <w:sz w:val="24"/>
          <w:szCs w:val="24"/>
          <w:lang w:val="cs-CZ"/>
        </w:rPr>
        <w:t xml:space="preserve"> UTB</w:t>
      </w:r>
      <w:r w:rsidR="00B90CF3" w:rsidRPr="001D49F0">
        <w:rPr>
          <w:rFonts w:ascii="Times New Roman" w:hAnsi="Times New Roman" w:cs="Times New Roman"/>
          <w:sz w:val="24"/>
          <w:szCs w:val="24"/>
          <w:lang w:val="cs-CZ"/>
        </w:rPr>
        <w:t>. Je-li studium realizováno ve spolupráci s průmyslovým partnerem, je možné absolvovat místo mobility praxi ve firmě</w:t>
      </w:r>
      <w:r w:rsidR="00DD31F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v souladu s akreditací </w:t>
      </w:r>
      <w:r w:rsidR="00494F69" w:rsidRPr="001D49F0">
        <w:rPr>
          <w:rFonts w:ascii="Times New Roman" w:hAnsi="Times New Roman" w:cs="Times New Roman"/>
          <w:sz w:val="24"/>
          <w:szCs w:val="24"/>
          <w:lang w:val="cs-CZ"/>
        </w:rPr>
        <w:t>daného studijního programu</w:t>
      </w:r>
      <w:r w:rsidR="00B90CF3"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C7DF804" w14:textId="0B4D4026" w:rsidR="00537B5C" w:rsidRPr="001D49F0" w:rsidRDefault="000D204D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d) </w:t>
      </w:r>
      <w:r w:rsidR="004C7C75" w:rsidRPr="001D49F0">
        <w:rPr>
          <w:rFonts w:ascii="Times New Roman" w:hAnsi="Times New Roman" w:cs="Times New Roman"/>
          <w:sz w:val="24"/>
          <w:szCs w:val="24"/>
          <w:lang w:val="cs-CZ"/>
        </w:rPr>
        <w:t>doktorand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musí </w:t>
      </w:r>
      <w:r w:rsidR="004D6497">
        <w:rPr>
          <w:rFonts w:ascii="Times New Roman" w:hAnsi="Times New Roman" w:cs="Times New Roman"/>
          <w:sz w:val="24"/>
          <w:szCs w:val="24"/>
          <w:lang w:val="cs-CZ"/>
        </w:rPr>
        <w:t xml:space="preserve">být </w:t>
      </w:r>
      <w:r w:rsidR="0063411E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 konce třetího </w:t>
      </w:r>
      <w:r w:rsidR="0096465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roku studia </w:t>
      </w:r>
      <w:r w:rsidR="004D6497">
        <w:rPr>
          <w:rFonts w:ascii="Times New Roman" w:hAnsi="Times New Roman" w:cs="Times New Roman"/>
          <w:sz w:val="24"/>
          <w:szCs w:val="24"/>
          <w:lang w:val="cs-CZ"/>
        </w:rPr>
        <w:t>autorem</w:t>
      </w:r>
      <w:r w:rsidR="0063411E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F7C83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vědeckého článku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s příznakem „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article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="00E266C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E266CD" w:rsidRPr="001D49F0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>ce</w:t>
      </w:r>
      <w:r w:rsidR="00E266CD" w:rsidRPr="001D49F0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C92141" w:rsidRPr="001D49F0">
        <w:rPr>
          <w:rFonts w:ascii="Times New Roman" w:hAnsi="Times New Roman" w:cs="Times New Roman"/>
          <w:sz w:val="24"/>
          <w:szCs w:val="24"/>
          <w:lang w:val="cs-CZ"/>
        </w:rPr>
        <w:t>tovaného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v časopisech evidovaných v</w:t>
      </w:r>
      <w:r w:rsidR="000F0D78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databázi Web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Science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Core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Collection</w:t>
      </w:r>
      <w:proofErr w:type="spellEnd"/>
      <w:r w:rsidR="38EA8668"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264132D" w14:textId="4E2EB7D2" w:rsidR="000D204D" w:rsidRPr="001D49F0" w:rsidRDefault="000D204D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e) </w:t>
      </w:r>
      <w:r w:rsidR="004C7C75" w:rsidRPr="001D49F0">
        <w:rPr>
          <w:rFonts w:ascii="Times New Roman" w:hAnsi="Times New Roman" w:cs="Times New Roman"/>
          <w:sz w:val="24"/>
          <w:szCs w:val="24"/>
          <w:lang w:val="cs-CZ"/>
        </w:rPr>
        <w:t>doktorand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musí </w:t>
      </w:r>
      <w:r w:rsidR="004D6497">
        <w:rPr>
          <w:rFonts w:ascii="Times New Roman" w:hAnsi="Times New Roman" w:cs="Times New Roman"/>
          <w:sz w:val="24"/>
          <w:szCs w:val="24"/>
          <w:lang w:val="cs-CZ"/>
        </w:rPr>
        <w:t xml:space="preserve">být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během studia autorem minimálně dvou publikací s příznakem „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article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>“ v</w:t>
      </w:r>
      <w:r w:rsidR="000F0D78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časopisech evidovaných v databázi Web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Science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Core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1D49F0">
        <w:rPr>
          <w:rFonts w:ascii="Times New Roman" w:hAnsi="Times New Roman" w:cs="Times New Roman"/>
          <w:sz w:val="24"/>
          <w:szCs w:val="24"/>
          <w:lang w:val="cs-CZ"/>
        </w:rPr>
        <w:t>Collection</w:t>
      </w:r>
      <w:proofErr w:type="spellEnd"/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D49F0" w:rsidDel="009B4B9B">
        <w:rPr>
          <w:rFonts w:ascii="Times New Roman" w:hAnsi="Times New Roman" w:cs="Times New Roman"/>
          <w:sz w:val="24"/>
          <w:szCs w:val="24"/>
          <w:lang w:val="cs-CZ"/>
        </w:rPr>
        <w:t>(podmínkou je akceptace v</w:t>
      </w:r>
      <w:r w:rsidR="000F0D78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 w:rsidDel="009B4B9B">
        <w:rPr>
          <w:rFonts w:ascii="Times New Roman" w:hAnsi="Times New Roman" w:cs="Times New Roman"/>
          <w:sz w:val="24"/>
          <w:szCs w:val="24"/>
          <w:lang w:val="cs-CZ"/>
        </w:rPr>
        <w:t xml:space="preserve">tisku), kdy </w:t>
      </w:r>
      <w:r w:rsidR="0001743E">
        <w:rPr>
          <w:rFonts w:ascii="Times New Roman" w:hAnsi="Times New Roman" w:cs="Times New Roman"/>
          <w:sz w:val="24"/>
          <w:szCs w:val="24"/>
          <w:lang w:val="cs-CZ"/>
        </w:rPr>
        <w:t xml:space="preserve">alespoň </w:t>
      </w:r>
      <w:r w:rsidRPr="001D49F0" w:rsidDel="009B4B9B">
        <w:rPr>
          <w:rFonts w:ascii="Times New Roman" w:hAnsi="Times New Roman" w:cs="Times New Roman"/>
          <w:sz w:val="24"/>
          <w:szCs w:val="24"/>
          <w:lang w:val="cs-CZ"/>
        </w:rPr>
        <w:t xml:space="preserve">u </w:t>
      </w:r>
      <w:r w:rsidR="0001743E">
        <w:rPr>
          <w:rFonts w:ascii="Times New Roman" w:hAnsi="Times New Roman" w:cs="Times New Roman"/>
          <w:sz w:val="24"/>
          <w:szCs w:val="24"/>
          <w:lang w:val="cs-CZ"/>
        </w:rPr>
        <w:t xml:space="preserve">jedné </w:t>
      </w:r>
      <w:r w:rsidRPr="001D49F0" w:rsidDel="009B4B9B">
        <w:rPr>
          <w:rFonts w:ascii="Times New Roman" w:hAnsi="Times New Roman" w:cs="Times New Roman"/>
          <w:sz w:val="24"/>
          <w:szCs w:val="24"/>
          <w:lang w:val="cs-CZ"/>
        </w:rPr>
        <w:t xml:space="preserve">je uveden jako </w:t>
      </w:r>
      <w:r w:rsidR="005B0626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 pořadí </w:t>
      </w:r>
      <w:r w:rsidRPr="001D49F0" w:rsidDel="009B4B9B">
        <w:rPr>
          <w:rFonts w:ascii="Times New Roman" w:hAnsi="Times New Roman" w:cs="Times New Roman"/>
          <w:sz w:val="24"/>
          <w:szCs w:val="24"/>
          <w:lang w:val="cs-CZ"/>
        </w:rPr>
        <w:t xml:space="preserve">první nebo korespondenční autor.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Místo jedné z povinných publikací může doktorand předložit doklad o uděleném patent</w:t>
      </w:r>
      <w:r w:rsidR="004C7C75" w:rsidRPr="001D49F0"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C4A37AF" w14:textId="6ABEB29E" w:rsidR="000D204D" w:rsidRPr="001D49F0" w:rsidRDefault="004C7C75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f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r w:rsidR="0096465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doktorand 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musí doložit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aktivní účast na alespoň jedné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mezinárodní konferenci.</w:t>
      </w:r>
    </w:p>
    <w:p w14:paraId="4320E6BE" w14:textId="1B5D3068" w:rsidR="004C7C75" w:rsidRPr="001D49F0" w:rsidRDefault="004C7C75" w:rsidP="003575C0">
      <w:pPr>
        <w:spacing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lastRenderedPageBreak/>
        <w:t>g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r w:rsidR="00331F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doktorand 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se </w:t>
      </w:r>
      <w:r w:rsidR="00331F19" w:rsidRPr="001D49F0">
        <w:rPr>
          <w:rFonts w:ascii="Times New Roman" w:hAnsi="Times New Roman" w:cs="Times New Roman"/>
          <w:sz w:val="24"/>
          <w:szCs w:val="24"/>
          <w:lang w:val="cs-CZ"/>
        </w:rPr>
        <w:t>zapojuje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do pedagogických činností v rozsahu přiměřeném možnostem pracoviště a formě studia (kombinovaná</w:t>
      </w:r>
      <w:r w:rsidR="00331F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forma</w:t>
      </w:r>
      <w:r w:rsidR="000D204D" w:rsidRPr="001D49F0">
        <w:rPr>
          <w:rFonts w:ascii="Times New Roman" w:hAnsi="Times New Roman" w:cs="Times New Roman"/>
          <w:sz w:val="24"/>
          <w:szCs w:val="24"/>
          <w:lang w:val="cs-CZ"/>
        </w:rPr>
        <w:t>, studium v anglickém jazyce).</w:t>
      </w:r>
    </w:p>
    <w:p w14:paraId="7E44E2BA" w14:textId="6A3D0CCC" w:rsidR="004C7C75" w:rsidRPr="001D49F0" w:rsidRDefault="004C7C75" w:rsidP="004E5536">
      <w:pPr>
        <w:pStyle w:val="Default"/>
        <w:spacing w:after="120" w:line="360" w:lineRule="auto"/>
        <w:jc w:val="both"/>
        <w:rPr>
          <w:u w:val="single"/>
        </w:rPr>
      </w:pPr>
      <w:r w:rsidRPr="001D49F0">
        <w:rPr>
          <w:u w:val="single"/>
        </w:rPr>
        <w:t>Ad odst. (2) SZŘ:</w:t>
      </w:r>
    </w:p>
    <w:p w14:paraId="68A08ED7" w14:textId="2187A8D9" w:rsidR="00F03C3B" w:rsidRPr="001D49F0" w:rsidRDefault="004C7C75" w:rsidP="00E32614">
      <w:pPr>
        <w:pStyle w:val="Default"/>
        <w:spacing w:after="120" w:line="360" w:lineRule="auto"/>
        <w:jc w:val="both"/>
        <w:rPr>
          <w:b/>
          <w:bCs/>
        </w:rPr>
      </w:pPr>
      <w:r w:rsidRPr="001D49F0">
        <w:t xml:space="preserve">Forma zpracování ISP je </w:t>
      </w:r>
      <w:r w:rsidR="0096465B" w:rsidRPr="001D49F0">
        <w:t xml:space="preserve">uvedena v </w:t>
      </w:r>
      <w:r w:rsidR="00E75493" w:rsidRPr="001D49F0">
        <w:t>Přílo</w:t>
      </w:r>
      <w:r w:rsidR="0096465B" w:rsidRPr="001D49F0">
        <w:t>ze</w:t>
      </w:r>
      <w:r w:rsidR="00E75493" w:rsidRPr="001D49F0">
        <w:t xml:space="preserve"> </w:t>
      </w:r>
      <w:r w:rsidR="008E4F12" w:rsidRPr="001D49F0">
        <w:t>č. 1</w:t>
      </w:r>
      <w:r w:rsidR="0096465B" w:rsidRPr="001D49F0">
        <w:t xml:space="preserve"> této směrnice</w:t>
      </w:r>
      <w:r w:rsidR="008E4F12" w:rsidRPr="001D49F0">
        <w:t>.</w:t>
      </w:r>
    </w:p>
    <w:p w14:paraId="4F47AA3A" w14:textId="522AFA8D" w:rsidR="00F03C3B" w:rsidRPr="00E32614" w:rsidRDefault="00F03C3B" w:rsidP="00E32614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E3261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E3261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39</w:t>
      </w:r>
    </w:p>
    <w:p w14:paraId="0B5A474B" w14:textId="63B3124B" w:rsidR="00F03C3B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Předměty doktorského studijního programu</w:t>
      </w:r>
    </w:p>
    <w:p w14:paraId="67D1A56E" w14:textId="77777777" w:rsidR="00E32614" w:rsidRPr="001D49F0" w:rsidRDefault="00E32614" w:rsidP="00E32614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216DC205" w14:textId="51E1025E" w:rsidR="00F03C3B" w:rsidRPr="00E32614" w:rsidRDefault="00F03C3B" w:rsidP="00E32614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32614">
        <w:rPr>
          <w:rFonts w:ascii="Times New Roman" w:hAnsi="Times New Roman" w:cs="Times New Roman"/>
          <w:sz w:val="24"/>
          <w:szCs w:val="24"/>
          <w:lang w:val="cs-CZ"/>
        </w:rPr>
        <w:t>Ad odst. (1) SZŘ:</w:t>
      </w:r>
    </w:p>
    <w:p w14:paraId="73B644F1" w14:textId="25F23261" w:rsidR="00F03C3B" w:rsidRPr="001D49F0" w:rsidRDefault="001C68CB" w:rsidP="00E32614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Doktorand 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si 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206AC1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romě 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>povinné</w:t>
      </w:r>
      <w:r w:rsidR="00206AC1" w:rsidRPr="001D49F0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předmětu z cizího jazyka 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volí minimálně 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4 další 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>předmět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, z toho alespoň </w:t>
      </w:r>
      <w:r w:rsidR="00420CD0" w:rsidRPr="001D49F0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ze</w:t>
      </w:r>
      <w:r w:rsidR="00A92309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F03C3B" w:rsidRPr="001D49F0">
        <w:rPr>
          <w:rFonts w:ascii="Times New Roman" w:hAnsi="Times New Roman" w:cs="Times New Roman"/>
          <w:sz w:val="24"/>
          <w:szCs w:val="24"/>
          <w:lang w:val="cs-CZ"/>
        </w:rPr>
        <w:t>základních povinně volitelných předmětů, a dále minimálně jeden z ostatních povinně volitelných předmětů, které prohlubují nebo rozšiřují specializaci ve vazbě na konkrétní téma jeho disertační práce. Předměty jsou voleny s ohledem na multidisciplinární charakter oboru.</w:t>
      </w:r>
    </w:p>
    <w:p w14:paraId="3A823E9C" w14:textId="421F4FAF" w:rsidR="00206AC1" w:rsidRPr="00E32614" w:rsidRDefault="00206AC1" w:rsidP="00E32614">
      <w:pPr>
        <w:pStyle w:val="Odstavecseseznamem"/>
        <w:spacing w:before="24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32614">
        <w:rPr>
          <w:rFonts w:ascii="Times New Roman" w:hAnsi="Times New Roman" w:cs="Times New Roman"/>
          <w:sz w:val="24"/>
          <w:szCs w:val="24"/>
          <w:lang w:val="cs-CZ"/>
        </w:rPr>
        <w:t>Ad odst. (2) SZŘ:</w:t>
      </w:r>
    </w:p>
    <w:p w14:paraId="6DFCBA49" w14:textId="717D3343" w:rsidR="00F03C3B" w:rsidRPr="001D49F0" w:rsidRDefault="00F03C3B" w:rsidP="00E32614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Pokud při sestavování </w:t>
      </w:r>
      <w:r w:rsidR="00A92309" w:rsidRPr="001D49F0">
        <w:rPr>
          <w:rFonts w:ascii="Times New Roman" w:hAnsi="Times New Roman" w:cs="Times New Roman"/>
          <w:sz w:val="24"/>
          <w:szCs w:val="24"/>
          <w:lang w:val="cs-CZ"/>
        </w:rPr>
        <w:t>ISP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doktoranda jeho školitel shledá, že seznam předmětů neobsahuje takový předmět, který by měl doktorand v rámci odbornosti dle svého tématu disertační práce nezbytně absolvovat, školitel navrhne oborové radě příslušného doktorského </w:t>
      </w:r>
      <w:r w:rsidR="00494F69" w:rsidRPr="001D49F0">
        <w:rPr>
          <w:rFonts w:ascii="Times New Roman" w:hAnsi="Times New Roman" w:cs="Times New Roman"/>
          <w:sz w:val="24"/>
          <w:szCs w:val="24"/>
          <w:lang w:val="cs-CZ"/>
        </w:rPr>
        <w:t>programu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doplnění tohoto volitelného předmětu do</w:t>
      </w:r>
      <w:r w:rsidR="00A92309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seznamu</w:t>
      </w:r>
      <w:r w:rsidR="00206AC1"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A9EC955" w14:textId="2C154281" w:rsidR="002256E9" w:rsidRPr="00E32614" w:rsidRDefault="002256E9" w:rsidP="00E32614">
      <w:pPr>
        <w:pStyle w:val="Odstavecseseznamem"/>
        <w:spacing w:before="24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32614">
        <w:rPr>
          <w:rFonts w:ascii="Times New Roman" w:hAnsi="Times New Roman" w:cs="Times New Roman"/>
          <w:sz w:val="24"/>
          <w:szCs w:val="24"/>
          <w:lang w:val="cs-CZ"/>
        </w:rPr>
        <w:t>Ad odst. (</w:t>
      </w:r>
      <w:r w:rsidR="00C521A7" w:rsidRPr="00E32614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E32614">
        <w:rPr>
          <w:rFonts w:ascii="Times New Roman" w:hAnsi="Times New Roman" w:cs="Times New Roman"/>
          <w:sz w:val="24"/>
          <w:szCs w:val="24"/>
          <w:lang w:val="cs-CZ"/>
        </w:rPr>
        <w:t>) SZŘ:</w:t>
      </w:r>
    </w:p>
    <w:p w14:paraId="7C85EEF0" w14:textId="71C381B1" w:rsidR="00FB2B27" w:rsidRPr="001D49F0" w:rsidRDefault="00F744BD" w:rsidP="00E32614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Výuka odborných předmětů je zpravidla realizována formou řízeného samostudia s</w:t>
      </w:r>
      <w:r w:rsidR="004F3601" w:rsidRPr="001D49F0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konzultacemi</w:t>
      </w:r>
      <w:r w:rsidR="004F3601"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880FA6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B2B27" w:rsidRPr="001D49F0">
        <w:rPr>
          <w:rFonts w:ascii="Times New Roman" w:hAnsi="Times New Roman" w:cs="Times New Roman"/>
          <w:sz w:val="24"/>
          <w:szCs w:val="24"/>
          <w:lang w:val="cs-CZ"/>
        </w:rPr>
        <w:t>Výuka cizího jazyka je realizována zpravidla formou organizované výuky.</w:t>
      </w:r>
    </w:p>
    <w:p w14:paraId="13836820" w14:textId="275A38D2" w:rsidR="00F03C3B" w:rsidRPr="002F4B47" w:rsidRDefault="00F03C3B" w:rsidP="002F4B47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2F4B4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2F4B4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40</w:t>
      </w:r>
    </w:p>
    <w:p w14:paraId="333E52CA" w14:textId="56520698" w:rsidR="00F03C3B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Zkouška z předmětu doktorského studijního programu</w:t>
      </w:r>
    </w:p>
    <w:p w14:paraId="23D3D25B" w14:textId="77777777" w:rsidR="002F4B47" w:rsidRPr="002F4B47" w:rsidRDefault="002F4B47" w:rsidP="002F4B47">
      <w:pPr>
        <w:spacing w:after="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3A2BA8B" w14:textId="2CB4F5E4" w:rsidR="00F03C3B" w:rsidRPr="001D49F0" w:rsidRDefault="00F03C3B" w:rsidP="004E55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u w:val="single"/>
          <w:lang w:val="cs-CZ"/>
        </w:rPr>
        <w:t>Ad odst. (1) SZŘ:</w:t>
      </w:r>
    </w:p>
    <w:p w14:paraId="5284A2AD" w14:textId="3CA5F76B" w:rsidR="00F03C3B" w:rsidRPr="001D49F0" w:rsidRDefault="00F03C3B" w:rsidP="002F4B47">
      <w:pPr>
        <w:pStyle w:val="Odstavecseseznamem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>Školitel ani konzultant nesmí být zkoušejícím při zkoušce ze studijních předmětů svého doktoranda. Zkoušku vždy vede a hodnotí zkoušející, školitel do průběhu zkoušky nezasahuj</w:t>
      </w:r>
      <w:r w:rsidR="625D7D63" w:rsidRPr="001D49F0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79073539" w:rsidRPr="001D49F0">
        <w:rPr>
          <w:rFonts w:ascii="Times New Roman" w:hAnsi="Times New Roman" w:cs="Times New Roman"/>
          <w:sz w:val="24"/>
          <w:szCs w:val="24"/>
          <w:lang w:val="cs-CZ"/>
        </w:rPr>
        <w:t>Zkoušejícím je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v</w:t>
      </w:r>
      <w:r w:rsidR="714A9E43" w:rsidRPr="001D49F0">
        <w:rPr>
          <w:rFonts w:ascii="Times New Roman" w:hAnsi="Times New Roman" w:cs="Times New Roman"/>
          <w:sz w:val="24"/>
          <w:szCs w:val="24"/>
          <w:lang w:val="cs-CZ"/>
        </w:rPr>
        <w:t>yhotoven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50BAF7FC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Zápis o </w:t>
      </w:r>
      <w:r w:rsidR="00494F6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vykonání zkoušky z předmětu doktorského studia (dále jen „Zápis o </w:t>
      </w:r>
      <w:r w:rsidR="50BAF7FC" w:rsidRPr="001D49F0">
        <w:rPr>
          <w:rFonts w:ascii="Times New Roman" w:hAnsi="Times New Roman" w:cs="Times New Roman"/>
          <w:sz w:val="24"/>
          <w:szCs w:val="24"/>
          <w:lang w:val="cs-CZ"/>
        </w:rPr>
        <w:t>zkoušce</w:t>
      </w:r>
      <w:r w:rsidR="00494F69" w:rsidRPr="001D49F0">
        <w:rPr>
          <w:rFonts w:ascii="Times New Roman" w:hAnsi="Times New Roman" w:cs="Times New Roman"/>
          <w:sz w:val="24"/>
          <w:szCs w:val="24"/>
          <w:lang w:val="cs-CZ"/>
        </w:rPr>
        <w:t>“)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9CBFD29" w14:textId="77777777" w:rsidR="00880FA6" w:rsidRPr="001D49F0" w:rsidRDefault="00637626" w:rsidP="00CF72A0">
      <w:pPr>
        <w:pStyle w:val="Default"/>
        <w:keepNext/>
        <w:keepLines/>
        <w:spacing w:before="240" w:after="120" w:line="360" w:lineRule="auto"/>
        <w:jc w:val="both"/>
        <w:rPr>
          <w:u w:val="single"/>
        </w:rPr>
      </w:pPr>
      <w:r w:rsidRPr="001D49F0">
        <w:rPr>
          <w:u w:val="single"/>
        </w:rPr>
        <w:lastRenderedPageBreak/>
        <w:t>Ad odst. (</w:t>
      </w:r>
      <w:r w:rsidR="00DE6415" w:rsidRPr="001D49F0">
        <w:rPr>
          <w:u w:val="single"/>
        </w:rPr>
        <w:t>6</w:t>
      </w:r>
      <w:r w:rsidRPr="001D49F0">
        <w:rPr>
          <w:u w:val="single"/>
        </w:rPr>
        <w:t>) SZŘ:</w:t>
      </w:r>
    </w:p>
    <w:p w14:paraId="5DD77FA4" w14:textId="22AF0568" w:rsidR="006940C0" w:rsidRPr="002F4B47" w:rsidRDefault="002E4A40" w:rsidP="00CF72A0">
      <w:pPr>
        <w:pStyle w:val="Odstavecseseznamem"/>
        <w:keepNext/>
        <w:keepLines/>
        <w:numPr>
          <w:ilvl w:val="0"/>
          <w:numId w:val="7"/>
        </w:numPr>
        <w:spacing w:after="12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Průběh a klasifikace zkoušky jsou zaznamenány v Zápis</w:t>
      </w:r>
      <w:r w:rsidR="0088439D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 zkoušce. Formulář </w:t>
      </w:r>
      <w:r w:rsidR="00494F69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</w:t>
      </w: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ápisu o</w:t>
      </w:r>
      <w:r w:rsid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zkoušce</w:t>
      </w:r>
      <w:r w:rsidR="00113209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741667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tvoří</w:t>
      </w:r>
      <w:r w:rsidR="00D13084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Příloh</w:t>
      </w:r>
      <w:r w:rsidR="00741667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</w:t>
      </w:r>
      <w:r w:rsidR="00D13084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č.</w:t>
      </w:r>
      <w:r w:rsidR="002A4C2D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13084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2 </w:t>
      </w:r>
      <w:r w:rsidR="00741667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této směrnice</w:t>
      </w:r>
      <w:r w:rsidR="00D20605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13084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 zveřejněn na</w:t>
      </w:r>
      <w:r w:rsidR="002A4C2D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internetových stránkách </w:t>
      </w:r>
      <w:r w:rsidR="00D13084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UTB</w:t>
      </w:r>
      <w:r w:rsidR="00172936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F489AD5" w14:textId="7D345506" w:rsidR="006940C0" w:rsidRPr="002F4B47" w:rsidRDefault="00810B92" w:rsidP="002F4B47">
      <w:pPr>
        <w:pStyle w:val="Odstavecseseznamem"/>
        <w:numPr>
          <w:ilvl w:val="0"/>
          <w:numId w:val="7"/>
        </w:numPr>
        <w:spacing w:after="120" w:line="360" w:lineRule="auto"/>
        <w:ind w:left="720" w:hanging="425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940C0" w:rsidRPr="002F4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Podrobnosti zápisu výsledku zkoušky do IS/STAG jsou popsány v čl. 57.</w:t>
      </w:r>
    </w:p>
    <w:p w14:paraId="129CD1C2" w14:textId="77777777" w:rsidR="00B90CF3" w:rsidRPr="002F4B47" w:rsidRDefault="00F03C3B" w:rsidP="002F4B47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2F4B4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2F4B4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4</w:t>
      </w:r>
      <w:r w:rsidR="00B90CF3" w:rsidRPr="002F4B4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1</w:t>
      </w:r>
    </w:p>
    <w:p w14:paraId="4FA8B73A" w14:textId="385FDBA5" w:rsidR="00F03C3B" w:rsidRPr="00AB5AA1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Hodnocení a kontrola plnění individuálního studijního plánu</w:t>
      </w:r>
    </w:p>
    <w:p w14:paraId="0D1DCC11" w14:textId="0C3CD39C" w:rsidR="00F03C3B" w:rsidRPr="001D49F0" w:rsidRDefault="00F03C3B" w:rsidP="00AB5AA1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5328EAF9" w14:textId="3615CC82" w:rsidR="00206AC1" w:rsidRPr="001D49F0" w:rsidRDefault="00206AC1" w:rsidP="004E55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u w:val="single"/>
          <w:lang w:val="cs-CZ"/>
        </w:rPr>
        <w:t>Ad odst. (1) SZŘ:</w:t>
      </w:r>
    </w:p>
    <w:p w14:paraId="216C7E76" w14:textId="2C9E8D5A" w:rsidR="00C05E18" w:rsidRPr="001D49F0" w:rsidRDefault="00E05E03" w:rsidP="004E5536">
      <w:pPr>
        <w:pStyle w:val="Default"/>
        <w:spacing w:after="120" w:line="360" w:lineRule="auto"/>
        <w:jc w:val="both"/>
      </w:pPr>
      <w:r w:rsidRPr="001D49F0">
        <w:t xml:space="preserve">Doktorand </w:t>
      </w:r>
      <w:r w:rsidR="00D212A3" w:rsidRPr="001D49F0">
        <w:t xml:space="preserve">bude vždy nejméně měsíc před </w:t>
      </w:r>
      <w:r w:rsidR="007B3C26" w:rsidRPr="001D49F0">
        <w:t xml:space="preserve">zasedáním </w:t>
      </w:r>
      <w:r w:rsidR="00E266CD" w:rsidRPr="001D49F0">
        <w:t xml:space="preserve">příslušné </w:t>
      </w:r>
      <w:r w:rsidR="007B3C26" w:rsidRPr="001D49F0">
        <w:t>oborové rady vyzván</w:t>
      </w:r>
      <w:r w:rsidR="006F0B39" w:rsidRPr="001D49F0">
        <w:t xml:space="preserve"> referentem</w:t>
      </w:r>
      <w:r w:rsidR="00E266CD" w:rsidRPr="001D49F0">
        <w:t>/referentkou</w:t>
      </w:r>
      <w:r w:rsidR="00AB5AA1">
        <w:t xml:space="preserve"> </w:t>
      </w:r>
      <w:r w:rsidR="00EE3987">
        <w:t>vzdělávací a studijní agendy UNI</w:t>
      </w:r>
      <w:r w:rsidR="007B3C26" w:rsidRPr="001D49F0">
        <w:t xml:space="preserve">, aby vypracoval </w:t>
      </w:r>
      <w:r w:rsidR="004C7C75" w:rsidRPr="001D49F0">
        <w:t>sebehodnotící zprávu o</w:t>
      </w:r>
      <w:r w:rsidR="00CF72A0">
        <w:t> </w:t>
      </w:r>
      <w:r w:rsidR="004C7C75" w:rsidRPr="001D49F0">
        <w:t>plnění ISP a postupu tvůrčích činností</w:t>
      </w:r>
      <w:r w:rsidR="00236908">
        <w:t>,</w:t>
      </w:r>
      <w:r w:rsidR="004C7C75" w:rsidRPr="001D49F0">
        <w:t xml:space="preserve"> a před</w:t>
      </w:r>
      <w:r w:rsidR="005D7D6C" w:rsidRPr="001D49F0">
        <w:t>al</w:t>
      </w:r>
      <w:r w:rsidR="004C7C75" w:rsidRPr="001D49F0">
        <w:t xml:space="preserve"> ji školiteli. Zpráva musí obsahovat stručné zhodnocení </w:t>
      </w:r>
      <w:r w:rsidR="000B5219" w:rsidRPr="001D49F0">
        <w:t xml:space="preserve">plnění </w:t>
      </w:r>
      <w:r w:rsidR="004C7C75" w:rsidRPr="001D49F0">
        <w:t xml:space="preserve">studijních </w:t>
      </w:r>
      <w:r w:rsidR="000B5219" w:rsidRPr="001D49F0">
        <w:t xml:space="preserve">a pedagogických povinností (zkoušky, příprava disertační práce, stáže), a přiměřeně rozsáhlý popis vědecké, výzkumné a vývojové činnosti, kterou </w:t>
      </w:r>
      <w:r w:rsidRPr="001D49F0">
        <w:t xml:space="preserve">doktorand </w:t>
      </w:r>
      <w:r w:rsidR="000B5219" w:rsidRPr="001D49F0">
        <w:t>během uplynulého období vykonával a jejich výstupů (články, školení, účast na konferenci).</w:t>
      </w:r>
    </w:p>
    <w:p w14:paraId="2AC8FBF4" w14:textId="19BB8D14" w:rsidR="003B1319" w:rsidRPr="001D49F0" w:rsidRDefault="003B1319" w:rsidP="004E5536">
      <w:pPr>
        <w:pStyle w:val="Default"/>
        <w:spacing w:after="120" w:line="360" w:lineRule="auto"/>
        <w:jc w:val="both"/>
      </w:pPr>
      <w:r w:rsidRPr="001D49F0">
        <w:t>Školitel se ke zprávě do 14 dní písemně vyjádří, přičemž součástí vyjádření musí být jednoznačné stanovisko, zda a jakým způsobem</w:t>
      </w:r>
      <w:r w:rsidR="00E05E03" w:rsidRPr="001D49F0">
        <w:t xml:space="preserve"> doktorand </w:t>
      </w:r>
      <w:r w:rsidRPr="001D49F0">
        <w:t>plní plánované dílčí úkoly v souladu s ISP. Školitel s</w:t>
      </w:r>
      <w:r w:rsidR="00741667" w:rsidRPr="001D49F0">
        <w:t>e svým</w:t>
      </w:r>
      <w:r w:rsidRPr="001D49F0">
        <w:t xml:space="preserve"> vyjádřením </w:t>
      </w:r>
      <w:r w:rsidR="00E05E03" w:rsidRPr="001D49F0">
        <w:t xml:space="preserve">doktoranda </w:t>
      </w:r>
      <w:r w:rsidRPr="001D49F0">
        <w:t>seznámí</w:t>
      </w:r>
      <w:r w:rsidR="00A739B5" w:rsidRPr="001D49F0">
        <w:t xml:space="preserve"> a</w:t>
      </w:r>
      <w:r w:rsidR="00DC1DD1" w:rsidRPr="001D49F0">
        <w:t xml:space="preserve"> předá</w:t>
      </w:r>
      <w:r w:rsidR="00741667" w:rsidRPr="001D49F0">
        <w:t xml:space="preserve"> je spolu se zprávou </w:t>
      </w:r>
      <w:r w:rsidR="00E05E03" w:rsidRPr="001D49F0">
        <w:t xml:space="preserve">doktoranda </w:t>
      </w:r>
      <w:r w:rsidR="00DC1DD1" w:rsidRPr="001D49F0">
        <w:t>k projednání oborové radě</w:t>
      </w:r>
      <w:r w:rsidRPr="001D49F0">
        <w:t>.</w:t>
      </w:r>
    </w:p>
    <w:p w14:paraId="464EDCC7" w14:textId="396B3FC3" w:rsidR="007B434E" w:rsidRPr="001D49F0" w:rsidRDefault="003B1319" w:rsidP="004E5536">
      <w:pPr>
        <w:pStyle w:val="Default"/>
        <w:spacing w:after="120" w:line="360" w:lineRule="auto"/>
        <w:jc w:val="both"/>
      </w:pPr>
      <w:r w:rsidRPr="001D49F0">
        <w:t xml:space="preserve">V případě, že pokrok v plnění </w:t>
      </w:r>
      <w:r w:rsidR="003339CB" w:rsidRPr="001D49F0">
        <w:t xml:space="preserve">povinností vyplývajících z </w:t>
      </w:r>
      <w:r w:rsidRPr="001D49F0">
        <w:t xml:space="preserve">ISP a tvůrčích činností významně předstihuje či přesahuje plán v ISP, může školitel navrhnout </w:t>
      </w:r>
      <w:r w:rsidR="00E266CD" w:rsidRPr="001D49F0">
        <w:t xml:space="preserve">řediteli UNI </w:t>
      </w:r>
      <w:r w:rsidR="007B434E" w:rsidRPr="001D49F0">
        <w:t>mimořádné stipendi</w:t>
      </w:r>
      <w:r w:rsidR="00E266CD" w:rsidRPr="001D49F0">
        <w:t>um</w:t>
      </w:r>
      <w:r w:rsidR="007C45C3">
        <w:t xml:space="preserve"> doktorandovi</w:t>
      </w:r>
      <w:r w:rsidR="007B434E" w:rsidRPr="001D49F0">
        <w:t xml:space="preserve"> v souladu se Stipendijním řádem</w:t>
      </w:r>
      <w:r w:rsidR="00EC6FF6" w:rsidRPr="001D49F0">
        <w:t> UTB</w:t>
      </w:r>
      <w:r w:rsidR="007B434E" w:rsidRPr="001D49F0">
        <w:t>.</w:t>
      </w:r>
    </w:p>
    <w:p w14:paraId="364CA3AC" w14:textId="47D985E2" w:rsidR="003B1319" w:rsidRPr="001D49F0" w:rsidRDefault="000B5219" w:rsidP="004E5536">
      <w:pPr>
        <w:pStyle w:val="Default"/>
        <w:spacing w:after="120" w:line="360" w:lineRule="auto"/>
        <w:jc w:val="both"/>
      </w:pPr>
      <w:r w:rsidRPr="001D49F0">
        <w:t>V případě, že pokrok v</w:t>
      </w:r>
      <w:r w:rsidR="00FC69C8" w:rsidRPr="001D49F0">
        <w:t xml:space="preserve"> plnění </w:t>
      </w:r>
      <w:r w:rsidR="003339CB" w:rsidRPr="001D49F0">
        <w:t xml:space="preserve">povinností vyplývajících z </w:t>
      </w:r>
      <w:r w:rsidR="00FC69C8" w:rsidRPr="001D49F0">
        <w:t xml:space="preserve">ISP </w:t>
      </w:r>
      <w:r w:rsidRPr="001D49F0">
        <w:t>nenastal z objektivních a</w:t>
      </w:r>
      <w:r w:rsidR="00CF72A0">
        <w:t> </w:t>
      </w:r>
      <w:r w:rsidRPr="001D49F0">
        <w:t xml:space="preserve">omluvitelných příčin (nemoc, mobilita, zásah vyšší moci) či z důvodů mimo kontrolu </w:t>
      </w:r>
      <w:r w:rsidR="004B09DA" w:rsidRPr="001D49F0">
        <w:t xml:space="preserve">doktoranda </w:t>
      </w:r>
      <w:r w:rsidRPr="001D49F0">
        <w:t xml:space="preserve">(porucha přístrojů, selhání experimentů, zdržení na straně spolupracující instituce) </w:t>
      </w:r>
      <w:r w:rsidR="004B09DA" w:rsidRPr="001D49F0">
        <w:t xml:space="preserve">doktorand </w:t>
      </w:r>
      <w:r w:rsidRPr="001D49F0">
        <w:t xml:space="preserve">toto </w:t>
      </w:r>
      <w:r w:rsidR="003B1319" w:rsidRPr="001D49F0">
        <w:t xml:space="preserve">ve zprávě </w:t>
      </w:r>
      <w:r w:rsidR="00331F19" w:rsidRPr="001D49F0">
        <w:t>uvede</w:t>
      </w:r>
      <w:r w:rsidR="003B1319" w:rsidRPr="001D49F0">
        <w:t xml:space="preserve"> a školitel se k tomu vyjádří.</w:t>
      </w:r>
    </w:p>
    <w:p w14:paraId="0FE63FCC" w14:textId="1BEE8A14" w:rsidR="006E40A5" w:rsidRPr="001D49F0" w:rsidRDefault="000B5219" w:rsidP="004E5536">
      <w:pPr>
        <w:pStyle w:val="Default"/>
        <w:spacing w:after="120" w:line="360" w:lineRule="auto"/>
        <w:jc w:val="both"/>
      </w:pPr>
      <w:r w:rsidRPr="001D49F0">
        <w:t xml:space="preserve">V případě, že </w:t>
      </w:r>
      <w:r w:rsidR="004B09DA" w:rsidRPr="001D49F0">
        <w:t xml:space="preserve">doktorand </w:t>
      </w:r>
      <w:r w:rsidRPr="001D49F0">
        <w:t xml:space="preserve">zprávu nepodá, nebo ze zprávy vyplývá neomluvené neplnění </w:t>
      </w:r>
      <w:r w:rsidR="00180982" w:rsidRPr="001D49F0">
        <w:t xml:space="preserve">povinností vyplývajících z </w:t>
      </w:r>
      <w:r w:rsidRPr="001D49F0">
        <w:t xml:space="preserve">ISP, školitel vyzve </w:t>
      </w:r>
      <w:r w:rsidR="004B09DA" w:rsidRPr="001D49F0">
        <w:t xml:space="preserve">doktoranda </w:t>
      </w:r>
      <w:r w:rsidRPr="001D49F0">
        <w:t>k</w:t>
      </w:r>
      <w:r w:rsidR="003B1319" w:rsidRPr="001D49F0">
        <w:t> </w:t>
      </w:r>
      <w:r w:rsidRPr="001D49F0">
        <w:t>nápravě</w:t>
      </w:r>
      <w:r w:rsidR="003B1319" w:rsidRPr="001D49F0">
        <w:t xml:space="preserve"> v příštím sebehodnotícím období</w:t>
      </w:r>
      <w:r w:rsidRPr="001D49F0">
        <w:t xml:space="preserve">. Pokud během dalšího </w:t>
      </w:r>
      <w:r w:rsidR="003B1319" w:rsidRPr="001D49F0">
        <w:t>sebe</w:t>
      </w:r>
      <w:r w:rsidRPr="001D49F0">
        <w:t>hodno</w:t>
      </w:r>
      <w:r w:rsidR="003B1319" w:rsidRPr="001D49F0">
        <w:t xml:space="preserve">tícího </w:t>
      </w:r>
      <w:r w:rsidRPr="001D49F0">
        <w:t>období</w:t>
      </w:r>
      <w:r w:rsidR="003B1319" w:rsidRPr="001D49F0">
        <w:t xml:space="preserve"> </w:t>
      </w:r>
      <w:r w:rsidRPr="001D49F0">
        <w:t>nedojde k</w:t>
      </w:r>
      <w:r w:rsidR="003B1319" w:rsidRPr="001D49F0">
        <w:t> </w:t>
      </w:r>
      <w:r w:rsidRPr="001D49F0">
        <w:t>nápravě,</w:t>
      </w:r>
      <w:r w:rsidR="003B1319" w:rsidRPr="001D49F0">
        <w:t xml:space="preserve"> bude to považováno za závažné neplnění </w:t>
      </w:r>
      <w:r w:rsidR="00712344" w:rsidRPr="001D49F0">
        <w:t>povinností vyplývajících z ISP</w:t>
      </w:r>
      <w:r w:rsidR="003B1319" w:rsidRPr="001D49F0">
        <w:t>. Š</w:t>
      </w:r>
      <w:r w:rsidRPr="001D49F0">
        <w:t xml:space="preserve">kolitel má povinnost toto uvést ve svém hodnocení </w:t>
      </w:r>
      <w:r w:rsidRPr="001D49F0">
        <w:lastRenderedPageBreak/>
        <w:t>předkládaném oborové radě</w:t>
      </w:r>
      <w:r w:rsidR="003B1319" w:rsidRPr="001D49F0">
        <w:t xml:space="preserve"> podle </w:t>
      </w:r>
      <w:r w:rsidR="007C45C3">
        <w:t>čl</w:t>
      </w:r>
      <w:r w:rsidR="00DC1039">
        <w:t>.</w:t>
      </w:r>
      <w:r w:rsidR="007C45C3">
        <w:t xml:space="preserve"> 41 </w:t>
      </w:r>
      <w:r w:rsidR="003B1319" w:rsidRPr="001D49F0">
        <w:t>odst</w:t>
      </w:r>
      <w:r w:rsidR="00DC1039">
        <w:t>.</w:t>
      </w:r>
      <w:r w:rsidR="008C031E">
        <w:t xml:space="preserve"> </w:t>
      </w:r>
      <w:r w:rsidR="003B1319" w:rsidRPr="001D49F0">
        <w:t>2</w:t>
      </w:r>
      <w:r w:rsidR="00741667" w:rsidRPr="001D49F0">
        <w:t xml:space="preserve"> SZŘ</w:t>
      </w:r>
      <w:r w:rsidR="003B1319" w:rsidRPr="001D49F0">
        <w:t xml:space="preserve"> a může na</w:t>
      </w:r>
      <w:r w:rsidR="00331F19" w:rsidRPr="001D49F0">
        <w:t>v</w:t>
      </w:r>
      <w:r w:rsidR="003B1319" w:rsidRPr="001D49F0">
        <w:t xml:space="preserve">rhnout </w:t>
      </w:r>
      <w:r w:rsidR="00331F19" w:rsidRPr="001D49F0">
        <w:t xml:space="preserve">snížení či odnětí </w:t>
      </w:r>
      <w:r w:rsidR="003B1319" w:rsidRPr="001D49F0">
        <w:t>stipendia v souladu se Stipendijním řádem UTB.</w:t>
      </w:r>
      <w:r w:rsidR="00331F19" w:rsidRPr="001D49F0">
        <w:t xml:space="preserve"> Pokud ani potom nedojde k nápravě, je toto považováno za</w:t>
      </w:r>
      <w:r w:rsidR="00DC1039">
        <w:t> </w:t>
      </w:r>
      <w:r w:rsidR="00331F19" w:rsidRPr="001D49F0">
        <w:t xml:space="preserve">mimořádně závažné neplnění </w:t>
      </w:r>
      <w:r w:rsidR="00712344" w:rsidRPr="001D49F0">
        <w:t>povinností vyplývajících z</w:t>
      </w:r>
      <w:r w:rsidR="00EC6FF6" w:rsidRPr="001D49F0">
        <w:t> </w:t>
      </w:r>
      <w:r w:rsidR="00712344" w:rsidRPr="001D49F0">
        <w:t xml:space="preserve">ISP </w:t>
      </w:r>
      <w:r w:rsidR="00331F19" w:rsidRPr="001D49F0">
        <w:t xml:space="preserve">a školitel může navrhnout </w:t>
      </w:r>
      <w:r w:rsidR="00EC6FF6" w:rsidRPr="001D49F0">
        <w:t>oborové radě</w:t>
      </w:r>
      <w:r w:rsidR="00331F19" w:rsidRPr="001D49F0">
        <w:t xml:space="preserve"> ukončení studia doktoranda.</w:t>
      </w:r>
    </w:p>
    <w:p w14:paraId="203B2BB6" w14:textId="1D405913" w:rsidR="006E40A5" w:rsidRPr="001D49F0" w:rsidRDefault="006E40A5" w:rsidP="004E55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u w:val="single"/>
          <w:lang w:val="cs-CZ"/>
        </w:rPr>
        <w:t>Ad odst. (2) SZŘ:</w:t>
      </w:r>
    </w:p>
    <w:p w14:paraId="7E0E8022" w14:textId="580D42EB" w:rsidR="006E40A5" w:rsidRPr="001D49F0" w:rsidRDefault="006E40A5" w:rsidP="004E5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Doporučení </w:t>
      </w:r>
      <w:r w:rsidR="003B13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školitele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pokračovat ve studiu je </w:t>
      </w:r>
      <w:r w:rsidR="000B5219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dále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podmíněno:</w:t>
      </w:r>
    </w:p>
    <w:p w14:paraId="0D568500" w14:textId="345E08E6" w:rsidR="006E40A5" w:rsidRPr="001D49F0" w:rsidRDefault="006E40A5" w:rsidP="004E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a) ve třetím </w:t>
      </w:r>
      <w:r w:rsidR="00741667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roku studia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splněním všech povinností v ISP pro první rok studia</w:t>
      </w:r>
      <w:r w:rsidR="007C45C3"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14:paraId="4B391329" w14:textId="01CCB7DA" w:rsidR="006E40A5" w:rsidRPr="001D49F0" w:rsidRDefault="006E40A5" w:rsidP="004E553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b) ve čtvrtém </w:t>
      </w:r>
      <w:r w:rsidR="00741667" w:rsidRPr="001D49F0">
        <w:rPr>
          <w:rFonts w:ascii="Times New Roman" w:hAnsi="Times New Roman" w:cs="Times New Roman"/>
          <w:sz w:val="24"/>
          <w:szCs w:val="24"/>
          <w:lang w:val="cs-CZ"/>
        </w:rPr>
        <w:t xml:space="preserve">roku studia </w:t>
      </w:r>
      <w:r w:rsidRPr="001D49F0">
        <w:rPr>
          <w:rFonts w:ascii="Times New Roman" w:hAnsi="Times New Roman" w:cs="Times New Roman"/>
          <w:sz w:val="24"/>
          <w:szCs w:val="24"/>
          <w:lang w:val="cs-CZ"/>
        </w:rPr>
        <w:t>splněním všech povinností v ISP pro druhý rok studia.</w:t>
      </w:r>
    </w:p>
    <w:p w14:paraId="38655ADD" w14:textId="185E3E21" w:rsidR="003B1319" w:rsidRPr="001D49F0" w:rsidRDefault="003B1319" w:rsidP="004E5536">
      <w:pPr>
        <w:pStyle w:val="Default"/>
        <w:spacing w:after="120" w:line="360" w:lineRule="auto"/>
        <w:jc w:val="both"/>
      </w:pPr>
      <w:r w:rsidRPr="001D49F0">
        <w:t>Ne</w:t>
      </w:r>
      <w:r w:rsidR="00331F19" w:rsidRPr="001D49F0">
        <w:t>dodržení t</w:t>
      </w:r>
      <w:r w:rsidRPr="001D49F0">
        <w:t xml:space="preserve">ěchto podmínek </w:t>
      </w:r>
      <w:r w:rsidR="00331F19" w:rsidRPr="001D49F0">
        <w:t xml:space="preserve">bez doložení objektivních a omluvitelných příčin ze strany </w:t>
      </w:r>
      <w:r w:rsidR="00E06945" w:rsidRPr="001D49F0">
        <w:t xml:space="preserve">doktoranda </w:t>
      </w:r>
      <w:r w:rsidRPr="001D49F0">
        <w:t xml:space="preserve">je považováno za mimořádně závažné neplnění ISP a školitel navrhne </w:t>
      </w:r>
      <w:r w:rsidR="00EC6FF6" w:rsidRPr="001D49F0">
        <w:t>oborové radě</w:t>
      </w:r>
      <w:r w:rsidRPr="001D49F0">
        <w:t xml:space="preserve"> </w:t>
      </w:r>
      <w:r w:rsidR="00AB047C" w:rsidRPr="001D49F0">
        <w:t>ú</w:t>
      </w:r>
      <w:r w:rsidRPr="001D49F0">
        <w:t xml:space="preserve">plné </w:t>
      </w:r>
      <w:r w:rsidR="00F91212" w:rsidRPr="001D49F0">
        <w:t xml:space="preserve">odebrání </w:t>
      </w:r>
      <w:r w:rsidR="00AE294F" w:rsidRPr="001D49F0">
        <w:t xml:space="preserve">doktorského </w:t>
      </w:r>
      <w:r w:rsidRPr="001D49F0">
        <w:t>stipendia</w:t>
      </w:r>
      <w:r w:rsidR="00906D88" w:rsidRPr="001D49F0">
        <w:t xml:space="preserve">, </w:t>
      </w:r>
      <w:r w:rsidRPr="001D49F0">
        <w:t xml:space="preserve">či ukončení studia. Oborová </w:t>
      </w:r>
      <w:r w:rsidR="007237EF" w:rsidRPr="001D49F0">
        <w:t xml:space="preserve">rada </w:t>
      </w:r>
      <w:r w:rsidRPr="001D49F0">
        <w:t>v takovém případě může přizvat doktoranda na</w:t>
      </w:r>
      <w:r w:rsidR="00EC6FF6" w:rsidRPr="001D49F0">
        <w:t> </w:t>
      </w:r>
      <w:r w:rsidR="00816323">
        <w:t xml:space="preserve">své </w:t>
      </w:r>
      <w:r w:rsidR="0001743E">
        <w:t>jedn</w:t>
      </w:r>
      <w:r w:rsidR="00816323">
        <w:t>ání</w:t>
      </w:r>
      <w:r w:rsidRPr="001D49F0">
        <w:t>. Při hodnocení doktoranda vychází školitel ze sebehodnotících zpráv doktoranda z minulých období a dalších releva</w:t>
      </w:r>
      <w:r w:rsidR="00AB047C" w:rsidRPr="001D49F0">
        <w:t>n</w:t>
      </w:r>
      <w:r w:rsidRPr="001D49F0">
        <w:t>tních dokumentů (záznamů konzultací, publikačních výstupů atd.).</w:t>
      </w:r>
    </w:p>
    <w:p w14:paraId="17AC23A0" w14:textId="50DA787B" w:rsidR="000B5219" w:rsidRPr="007C45C3" w:rsidRDefault="000B5219" w:rsidP="007C45C3">
      <w:pPr>
        <w:pStyle w:val="Default"/>
        <w:spacing w:after="120" w:line="360" w:lineRule="auto"/>
        <w:jc w:val="both"/>
      </w:pPr>
      <w:r w:rsidRPr="007C45C3">
        <w:t>Ad odst. (3) SZŘ:</w:t>
      </w:r>
    </w:p>
    <w:p w14:paraId="04EE86E9" w14:textId="6F3D50E2" w:rsidR="003B1319" w:rsidRPr="001D49F0" w:rsidRDefault="003B1319" w:rsidP="007C45C3">
      <w:pPr>
        <w:pStyle w:val="Default"/>
        <w:spacing w:after="120" w:line="360" w:lineRule="auto"/>
        <w:jc w:val="both"/>
      </w:pPr>
      <w:r w:rsidRPr="001D49F0">
        <w:t xml:space="preserve">Hodnocení oborové rady musí být nestranné, tj. je-li školitel či konzultant hodnoceného doktoranda členem oborové rady, na hodnocení se nepodílí. V případě předsedy </w:t>
      </w:r>
      <w:r w:rsidR="00EC6FF6" w:rsidRPr="001D49F0">
        <w:t>oborové rady</w:t>
      </w:r>
      <w:r w:rsidRPr="001D49F0">
        <w:t xml:space="preserve"> převezme jeho povinnosti místopředseda. Člen oborové rady v takovém případě zůstává přítomen jednání </w:t>
      </w:r>
      <w:r w:rsidR="00331F19" w:rsidRPr="001D49F0">
        <w:t xml:space="preserve">coby </w:t>
      </w:r>
      <w:r w:rsidRPr="001D49F0">
        <w:t>školitel</w:t>
      </w:r>
      <w:r w:rsidR="00F10AC6" w:rsidRPr="001D49F0">
        <w:t xml:space="preserve"> či konzultant</w:t>
      </w:r>
      <w:r w:rsidRPr="001D49F0">
        <w:t>.</w:t>
      </w:r>
    </w:p>
    <w:p w14:paraId="7BFAC771" w14:textId="1E54E4DE" w:rsidR="003B1319" w:rsidRPr="001D49F0" w:rsidRDefault="003B1319" w:rsidP="004E5536">
      <w:pPr>
        <w:pStyle w:val="Default"/>
        <w:spacing w:after="120" w:line="360" w:lineRule="auto"/>
        <w:jc w:val="both"/>
      </w:pPr>
      <w:r w:rsidRPr="001D49F0">
        <w:t xml:space="preserve">Pokud </w:t>
      </w:r>
      <w:r w:rsidR="00F10AC6" w:rsidRPr="001D49F0">
        <w:t>oborová rada</w:t>
      </w:r>
      <w:r w:rsidRPr="001D49F0">
        <w:t xml:space="preserve"> shledá v plnění </w:t>
      </w:r>
      <w:r w:rsidR="00D8019D" w:rsidRPr="001D49F0">
        <w:t xml:space="preserve">povinností vyplývajících z ISP </w:t>
      </w:r>
      <w:r w:rsidRPr="001D49F0">
        <w:t>méně závažné nedostatky</w:t>
      </w:r>
      <w:r w:rsidR="626F2D37" w:rsidRPr="001D49F0">
        <w:t>,</w:t>
      </w:r>
      <w:r w:rsidRPr="001D49F0">
        <w:t xml:space="preserve"> upozorní na</w:t>
      </w:r>
      <w:r w:rsidR="00F10AC6" w:rsidRPr="001D49F0">
        <w:t> </w:t>
      </w:r>
      <w:r w:rsidRPr="001D49F0">
        <w:t xml:space="preserve">to </w:t>
      </w:r>
      <w:r w:rsidR="00E06945" w:rsidRPr="001D49F0">
        <w:t xml:space="preserve">doktoranda </w:t>
      </w:r>
      <w:r w:rsidRPr="001D49F0">
        <w:t>a školitele ve svém hodnocení</w:t>
      </w:r>
      <w:r w:rsidR="00331F19" w:rsidRPr="001D49F0">
        <w:t xml:space="preserve"> a vyzve k nápravě v příštím hodnoceném období.</w:t>
      </w:r>
    </w:p>
    <w:p w14:paraId="0485CCBF" w14:textId="5E53281A" w:rsidR="003B1319" w:rsidRPr="001D49F0" w:rsidRDefault="003B1319" w:rsidP="004E5536">
      <w:pPr>
        <w:pStyle w:val="Default"/>
        <w:spacing w:after="120" w:line="360" w:lineRule="auto"/>
        <w:jc w:val="both"/>
      </w:pPr>
      <w:r w:rsidRPr="001D49F0">
        <w:t xml:space="preserve">Pokud </w:t>
      </w:r>
      <w:r w:rsidR="00331F19" w:rsidRPr="001D49F0">
        <w:t>doktorand</w:t>
      </w:r>
      <w:r w:rsidRPr="001D49F0">
        <w:t xml:space="preserve"> závažným </w:t>
      </w:r>
      <w:r w:rsidR="00331F19" w:rsidRPr="001D49F0">
        <w:t xml:space="preserve">způsobem neplní povinnosti vyplývající z ISP, může </w:t>
      </w:r>
      <w:r w:rsidR="00F10AC6" w:rsidRPr="001D49F0">
        <w:t>oborová rada</w:t>
      </w:r>
      <w:r w:rsidR="00331F19" w:rsidRPr="001D49F0">
        <w:t xml:space="preserve"> na</w:t>
      </w:r>
      <w:r w:rsidR="007C45C3">
        <w:t> </w:t>
      </w:r>
      <w:r w:rsidR="00331F19" w:rsidRPr="001D49F0">
        <w:t xml:space="preserve">návrh školitele doporučit </w:t>
      </w:r>
      <w:r w:rsidR="00A36532" w:rsidRPr="001D49F0">
        <w:t xml:space="preserve">řediteli UNI </w:t>
      </w:r>
      <w:r w:rsidR="00331F19" w:rsidRPr="001D49F0">
        <w:t xml:space="preserve">snížení stipendia až o 50 % </w:t>
      </w:r>
      <w:r w:rsidR="000E1372" w:rsidRPr="001D49F0">
        <w:t xml:space="preserve">na příští hodnotící období, tedy </w:t>
      </w:r>
      <w:r w:rsidR="00331F19" w:rsidRPr="001D49F0">
        <w:t>až na dobu 6</w:t>
      </w:r>
      <w:r w:rsidR="00F10AC6" w:rsidRPr="001D49F0">
        <w:t> </w:t>
      </w:r>
      <w:r w:rsidR="00331F19" w:rsidRPr="001D49F0">
        <w:t xml:space="preserve">měsíců. Při mimořádně závažném či opakovaném závažném neplnění ISP doktorandem pak může </w:t>
      </w:r>
      <w:r w:rsidR="00F10AC6" w:rsidRPr="001D49F0">
        <w:t>oborová rada</w:t>
      </w:r>
      <w:r w:rsidR="00331F19" w:rsidRPr="001D49F0">
        <w:t xml:space="preserve"> </w:t>
      </w:r>
      <w:r w:rsidR="00DC1039">
        <w:t>doporučit</w:t>
      </w:r>
      <w:r w:rsidR="00331F19" w:rsidRPr="001D49F0">
        <w:t xml:space="preserve"> úplné odnětí stipendia </w:t>
      </w:r>
      <w:r w:rsidR="000E1372" w:rsidRPr="001D49F0">
        <w:t>anebo</w:t>
      </w:r>
      <w:r w:rsidR="00331F19" w:rsidRPr="001D49F0">
        <w:t xml:space="preserve"> navrhnout ukončení studia</w:t>
      </w:r>
      <w:r w:rsidR="00A36532" w:rsidRPr="001D49F0">
        <w:t xml:space="preserve"> rektorovi</w:t>
      </w:r>
      <w:r w:rsidR="00331F19" w:rsidRPr="001D49F0">
        <w:t>. O</w:t>
      </w:r>
      <w:r w:rsidR="00F10AC6" w:rsidRPr="001D49F0">
        <w:t>borová rada</w:t>
      </w:r>
      <w:r w:rsidR="00331F19" w:rsidRPr="001D49F0">
        <w:t xml:space="preserve"> v takovém případě bere v potaz</w:t>
      </w:r>
      <w:r w:rsidR="00B012F7" w:rsidRPr="001D49F0">
        <w:t xml:space="preserve"> návrh </w:t>
      </w:r>
      <w:r w:rsidR="00331F19" w:rsidRPr="001D49F0">
        <w:t xml:space="preserve">školitele. </w:t>
      </w:r>
      <w:r w:rsidRPr="001D49F0">
        <w:t xml:space="preserve">Za závažné neplnění </w:t>
      </w:r>
      <w:r w:rsidR="004625EF" w:rsidRPr="001D49F0">
        <w:t xml:space="preserve">povinností vyplývajících z </w:t>
      </w:r>
      <w:r w:rsidRPr="001D49F0">
        <w:t xml:space="preserve">ISP se kromě </w:t>
      </w:r>
      <w:r w:rsidR="00331F19" w:rsidRPr="001D49F0">
        <w:t>bodů uvedených v</w:t>
      </w:r>
      <w:r w:rsidR="00B012F7" w:rsidRPr="001D49F0">
        <w:t xml:space="preserve"> čl. </w:t>
      </w:r>
      <w:r w:rsidR="00331F19" w:rsidRPr="001D49F0">
        <w:t xml:space="preserve">41 odst. (1) a (2) této </w:t>
      </w:r>
      <w:r w:rsidR="00331F19" w:rsidRPr="001D49F0">
        <w:lastRenderedPageBreak/>
        <w:t xml:space="preserve">směrnice </w:t>
      </w:r>
      <w:r w:rsidRPr="001D49F0">
        <w:t xml:space="preserve">považuje také neplnění studijních povinností </w:t>
      </w:r>
      <w:r w:rsidR="00B012F7" w:rsidRPr="001D49F0">
        <w:t>po</w:t>
      </w:r>
      <w:r w:rsidRPr="001D49F0">
        <w:t xml:space="preserve">dle </w:t>
      </w:r>
      <w:r w:rsidR="00B012F7" w:rsidRPr="001D49F0">
        <w:t xml:space="preserve">čl. </w:t>
      </w:r>
      <w:r w:rsidR="00B82958" w:rsidRPr="001D49F0">
        <w:t xml:space="preserve">41 </w:t>
      </w:r>
      <w:r w:rsidRPr="001D49F0">
        <w:t>odst</w:t>
      </w:r>
      <w:r w:rsidR="0033584A" w:rsidRPr="001D49F0">
        <w:t>.</w:t>
      </w:r>
      <w:r w:rsidRPr="001D49F0">
        <w:t xml:space="preserve"> </w:t>
      </w:r>
      <w:r w:rsidR="00B82958" w:rsidRPr="001D49F0">
        <w:t>3</w:t>
      </w:r>
      <w:r w:rsidR="0033584A" w:rsidRPr="001D49F0">
        <w:t xml:space="preserve"> SZŘ</w:t>
      </w:r>
      <w:r w:rsidRPr="001D49F0">
        <w:t>. Za mimořádně závažné se</w:t>
      </w:r>
      <w:r w:rsidR="00F61027" w:rsidRPr="001D49F0">
        <w:t xml:space="preserve"> pak</w:t>
      </w:r>
      <w:r w:rsidRPr="001D49F0">
        <w:t xml:space="preserve"> považuje </w:t>
      </w:r>
      <w:r w:rsidR="00D66004" w:rsidRPr="001D49F0">
        <w:t>opakované neplnění těchto kritérií.</w:t>
      </w:r>
    </w:p>
    <w:p w14:paraId="5C4C4FAA" w14:textId="3E989A9D" w:rsidR="00F03C3B" w:rsidRPr="00DC1039" w:rsidRDefault="00F03C3B" w:rsidP="00DC1039">
      <w:pPr>
        <w:pStyle w:val="Default"/>
        <w:spacing w:line="360" w:lineRule="auto"/>
        <w:jc w:val="center"/>
        <w:rPr>
          <w:i/>
          <w:iCs/>
        </w:rPr>
      </w:pPr>
      <w:r w:rsidRPr="00DC1039">
        <w:rPr>
          <w:i/>
          <w:iCs/>
        </w:rPr>
        <w:t>Díl 2</w:t>
      </w:r>
    </w:p>
    <w:p w14:paraId="03A3D45B" w14:textId="657F6E65" w:rsidR="00F03C3B" w:rsidRPr="001D49F0" w:rsidRDefault="00F03C3B" w:rsidP="004E5536">
      <w:pPr>
        <w:pStyle w:val="Default"/>
        <w:spacing w:after="120" w:line="360" w:lineRule="auto"/>
        <w:jc w:val="center"/>
        <w:rPr>
          <w:i/>
          <w:iCs/>
        </w:rPr>
      </w:pPr>
      <w:r w:rsidRPr="001D49F0">
        <w:rPr>
          <w:i/>
          <w:iCs/>
        </w:rPr>
        <w:t>DISERTAČNÍ PRÁCE A JEJÍ OBHAJOBA</w:t>
      </w:r>
    </w:p>
    <w:p w14:paraId="3F165703" w14:textId="5B726B1E" w:rsidR="00F03C3B" w:rsidRPr="00DC1039" w:rsidRDefault="00F03C3B" w:rsidP="00DC1039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4</w:t>
      </w:r>
      <w:r w:rsidR="00A81AE3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5</w:t>
      </w:r>
    </w:p>
    <w:p w14:paraId="5714F185" w14:textId="7591FF12" w:rsidR="00F03C3B" w:rsidRPr="001D49F0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Disertační práce</w:t>
      </w:r>
    </w:p>
    <w:p w14:paraId="7CF35849" w14:textId="77777777" w:rsidR="00F03C3B" w:rsidRPr="001D49F0" w:rsidRDefault="00F03C3B" w:rsidP="00DC1039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59825694" w14:textId="622BB0D2" w:rsidR="00F03C3B" w:rsidRPr="00DC1039" w:rsidRDefault="00F03C3B" w:rsidP="00DC1039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(1) písmeno b) SZŘ:</w:t>
      </w:r>
    </w:p>
    <w:p w14:paraId="78404EBE" w14:textId="655C99D5" w:rsidR="00F03C3B" w:rsidRPr="00DC1039" w:rsidRDefault="00F03C3B" w:rsidP="00DC1039">
      <w:pPr>
        <w:pStyle w:val="Odstavecseseznamem"/>
        <w:spacing w:after="24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Tematicky uspořádaný soubor tvoří minimálně tři publikace s příznakem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article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akceptované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časopisech evidovaných v databázi Web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of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Science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Core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Collection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jedna práce </w:t>
      </w:r>
      <w:r w:rsidR="00F30A75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zaslaná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redakce, případně soubor čtyř nebo více publikací s příznakem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article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akceptovaných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časopisech evidovaných v databázi Web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of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Science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Core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Collection</w:t>
      </w:r>
      <w:proofErr w:type="spellEnd"/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Alespoň u dvou prací musí být doktorand uveden jako první nebo korespondenční autor. Jestliže je pořadí autorů určeno jinak, například abecedně, musí mít na tomto výstupu doktorand hlavní, tj. největší podíl, doložený </w:t>
      </w:r>
      <w:r w:rsidR="00B012F7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dle odstavce </w:t>
      </w:r>
      <w:r w:rsidR="00F77063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Konkrétní publikace může být pro tento účel použita jen v jedné disertační práci.</w:t>
      </w:r>
    </w:p>
    <w:p w14:paraId="3DD6C0AD" w14:textId="31D915FB" w:rsidR="005B58B1" w:rsidRPr="00DC1039" w:rsidRDefault="005B58B1" w:rsidP="00DC1039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(3) SZŘ:</w:t>
      </w:r>
    </w:p>
    <w:p w14:paraId="72AA7719" w14:textId="2A6E0635" w:rsidR="005B58B1" w:rsidRPr="00DC1039" w:rsidRDefault="005B58B1" w:rsidP="00DC1039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Návrh na jmenování konzultanta pro konkrétního doktoranda může podat jeho školitel předsedovi příslušné </w:t>
      </w:r>
      <w:r w:rsidR="00B0567C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oborové rady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a to buď před zahájením doktorského studia, nebo i v jeho průběhu. Předseda příslušné </w:t>
      </w:r>
      <w:r w:rsidR="00B0567C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oborové rady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zajistí projednání návrhu na oborové radě a po jeho schválení 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předkládá návrh na konzultanta ke schválení řediteli</w:t>
      </w:r>
      <w:r w:rsidR="5C3422EE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který v případě kladného rozhodnutí vydá konzultantovi pověření.</w:t>
      </w:r>
    </w:p>
    <w:p w14:paraId="72A920BD" w14:textId="5A500A79" w:rsidR="00F03C3B" w:rsidRPr="00DC1039" w:rsidRDefault="00F03C3B" w:rsidP="00DC1039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4</w:t>
      </w:r>
      <w:r w:rsidR="00A81AE3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7</w:t>
      </w:r>
    </w:p>
    <w:p w14:paraId="5D59D663" w14:textId="75D7FC8F" w:rsidR="00F03C3B" w:rsidRPr="00DC1039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Komise pro obhajobu disertační práce</w:t>
      </w:r>
    </w:p>
    <w:p w14:paraId="1E1FBD56" w14:textId="77777777" w:rsidR="00F03C3B" w:rsidRPr="001D49F0" w:rsidRDefault="00F03C3B" w:rsidP="00DC1039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5D2216D0" w14:textId="0F36A233" w:rsidR="00F03C3B" w:rsidRPr="00DC1039" w:rsidRDefault="00F03C3B" w:rsidP="00DC1039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(1) SZŘ:</w:t>
      </w:r>
    </w:p>
    <w:p w14:paraId="0BC36CE3" w14:textId="024468DE" w:rsidR="00B6201D" w:rsidRDefault="00F03C3B" w:rsidP="00DC1039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Návrh na složení komise předkládá </w:t>
      </w:r>
      <w:r w:rsidR="00B0567C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oborové radě</w:t>
      </w:r>
      <w:r w:rsidR="003B1319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školitel.</w:t>
      </w:r>
    </w:p>
    <w:p w14:paraId="1577AC32" w14:textId="77777777" w:rsidR="00335430" w:rsidRPr="001D49F0" w:rsidRDefault="00335430" w:rsidP="00335430">
      <w:pPr>
        <w:pStyle w:val="Default"/>
        <w:spacing w:line="360" w:lineRule="auto"/>
        <w:jc w:val="center"/>
      </w:pPr>
    </w:p>
    <w:p w14:paraId="56EA103D" w14:textId="77777777" w:rsidR="000C47E1" w:rsidRPr="00DC1039" w:rsidRDefault="000C47E1" w:rsidP="00CF72A0">
      <w:pPr>
        <w:pStyle w:val="Default"/>
        <w:keepNext/>
        <w:spacing w:after="120"/>
        <w:jc w:val="center"/>
        <w:rPr>
          <w:b/>
          <w:bCs/>
          <w:sz w:val="28"/>
          <w:szCs w:val="28"/>
        </w:rPr>
      </w:pPr>
      <w:r w:rsidRPr="00DC1039">
        <w:rPr>
          <w:b/>
          <w:bCs/>
          <w:sz w:val="28"/>
          <w:szCs w:val="28"/>
        </w:rPr>
        <w:lastRenderedPageBreak/>
        <w:t>ČÁST PÁTÁ</w:t>
      </w:r>
    </w:p>
    <w:p w14:paraId="6C7DCEE5" w14:textId="13CDD772" w:rsidR="000C47E1" w:rsidRPr="00DC1039" w:rsidRDefault="000C47E1" w:rsidP="00CF72A0">
      <w:pPr>
        <w:pStyle w:val="Default"/>
        <w:keepNext/>
        <w:spacing w:after="120"/>
        <w:jc w:val="center"/>
        <w:rPr>
          <w:b/>
          <w:bCs/>
          <w:sz w:val="28"/>
          <w:szCs w:val="28"/>
        </w:rPr>
      </w:pPr>
      <w:r w:rsidRPr="00DC1039">
        <w:rPr>
          <w:b/>
          <w:bCs/>
          <w:sz w:val="28"/>
          <w:szCs w:val="28"/>
        </w:rPr>
        <w:t>SPOLEČNÁ USTANOVENÍ</w:t>
      </w:r>
    </w:p>
    <w:p w14:paraId="1C142647" w14:textId="77777777" w:rsidR="00F03C3B" w:rsidRPr="001D49F0" w:rsidRDefault="00F03C3B" w:rsidP="00CF72A0">
      <w:pPr>
        <w:pStyle w:val="Default"/>
        <w:keepNext/>
        <w:spacing w:line="360" w:lineRule="auto"/>
        <w:jc w:val="center"/>
      </w:pPr>
    </w:p>
    <w:p w14:paraId="4D13BC0E" w14:textId="770ABE1D" w:rsidR="00F03C3B" w:rsidRPr="00DC1039" w:rsidRDefault="00F03C3B" w:rsidP="00CF72A0">
      <w:pPr>
        <w:keepNext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5</w:t>
      </w:r>
      <w:r w:rsidR="00EA2C38" w:rsidRPr="00DC103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7</w:t>
      </w:r>
    </w:p>
    <w:p w14:paraId="09223E41" w14:textId="4C0D3B99" w:rsidR="00F03C3B" w:rsidRPr="001D49F0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Dokumentace o studiu</w:t>
      </w:r>
    </w:p>
    <w:p w14:paraId="01BAFCF0" w14:textId="2C9310D2" w:rsidR="00F03C3B" w:rsidRPr="001D49F0" w:rsidRDefault="00F03C3B" w:rsidP="004E5536">
      <w:pPr>
        <w:pStyle w:val="Default"/>
        <w:spacing w:after="120" w:line="360" w:lineRule="auto"/>
        <w:jc w:val="both"/>
      </w:pPr>
      <w:r w:rsidRPr="001D49F0">
        <w:rPr>
          <w:u w:val="single"/>
        </w:rPr>
        <w:t>Ad odst. (2) SZŘ</w:t>
      </w:r>
      <w:r w:rsidRPr="001D49F0">
        <w:t>:</w:t>
      </w:r>
    </w:p>
    <w:p w14:paraId="7D8634F0" w14:textId="39EC7AF8" w:rsidR="00F03C3B" w:rsidRPr="00DC1039" w:rsidRDefault="00F03C3B" w:rsidP="00DC1039">
      <w:pPr>
        <w:pStyle w:val="Odstavecseseznamem"/>
        <w:numPr>
          <w:ilvl w:val="0"/>
          <w:numId w:val="8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Vedení studijní dokumentace odpovídá vnitřním předpisům a normám UTB v souladu se Spisovým řádem UTB.</w:t>
      </w:r>
    </w:p>
    <w:p w14:paraId="5F99034F" w14:textId="2DB25153" w:rsidR="00D235F5" w:rsidRPr="00DC1039" w:rsidRDefault="00D235F5" w:rsidP="00DC1039">
      <w:pPr>
        <w:pStyle w:val="Odstavecseseznamem"/>
        <w:numPr>
          <w:ilvl w:val="0"/>
          <w:numId w:val="8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Průběh zkoušky v DSP a klasifikaci zapisuje zkoušející do formuláře Zápis o zkoušce, který je dostupný na internetových stránkách </w:t>
      </w:r>
      <w:r w:rsidR="00217150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UTB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F34732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 skončení zkoušky doručí </w:t>
      </w:r>
      <w:r w:rsidR="008F22A4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doktorand 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vyplněný a podepsaný formulář </w:t>
      </w:r>
      <w:r w:rsidR="008F22A4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zkoušejícím a </w:t>
      </w:r>
      <w:r w:rsidR="00082AD9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svým </w:t>
      </w:r>
      <w:r w:rsidR="008F22A4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školitelem 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oddělení </w:t>
      </w:r>
      <w:r w:rsidR="003D589C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spravující jeho studium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Studijní referent</w:t>
      </w:r>
      <w:r w:rsidR="000E7518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</w:t>
      </w:r>
      <w:r w:rsidR="00E266CD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referent</w:t>
      </w: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 zapíše hodnocení do IS/STAG</w:t>
      </w:r>
      <w:r w:rsidR="000E7518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0A9CC69" w14:textId="49C33252" w:rsidR="00F03C3B" w:rsidRDefault="00B6201D" w:rsidP="00DC1039">
      <w:pPr>
        <w:pStyle w:val="Odstavecseseznamem"/>
        <w:numPr>
          <w:ilvl w:val="0"/>
          <w:numId w:val="8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F03C3B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Formuláře týkající se doktorských studijních programů (</w:t>
      </w:r>
      <w:r w:rsidR="36508A0A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ISP</w:t>
      </w:r>
      <w:r w:rsidR="00F03C3B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Zápis o zkoušce, Přihláška k</w:t>
      </w:r>
      <w:r w:rsid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F03C3B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obhajobě disertační práce, Protokol o obhajobě disertační práce) jsou uloženy na referátu </w:t>
      </w:r>
      <w:r w:rsidR="00CF4AE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vzdělávací a studijní agendy UNI</w:t>
      </w:r>
      <w:r w:rsidR="00F03C3B" w:rsidRPr="00DC1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 zveřejňovány a aktualizovány na internetových stránkách UTB.</w:t>
      </w:r>
    </w:p>
    <w:p w14:paraId="7515125C" w14:textId="5C70F60F" w:rsidR="000C47E1" w:rsidRPr="00DC1039" w:rsidRDefault="000C47E1" w:rsidP="00DC1039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DC1039">
        <w:rPr>
          <w:b/>
          <w:bCs/>
          <w:sz w:val="28"/>
          <w:szCs w:val="28"/>
        </w:rPr>
        <w:t>ČÁST ŠESTÁ</w:t>
      </w:r>
    </w:p>
    <w:p w14:paraId="446E3EDE" w14:textId="472AAF65" w:rsidR="000C47E1" w:rsidRPr="00DC1039" w:rsidRDefault="000C47E1" w:rsidP="00DC1039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DC1039">
        <w:rPr>
          <w:b/>
          <w:bCs/>
          <w:sz w:val="28"/>
          <w:szCs w:val="28"/>
        </w:rPr>
        <w:t>PŘECHODNÁ A ZÁVĚREČNÁ USTANOVENÍ</w:t>
      </w:r>
    </w:p>
    <w:p w14:paraId="0DBD0755" w14:textId="77777777" w:rsidR="00F03C3B" w:rsidRPr="001D49F0" w:rsidRDefault="00F03C3B" w:rsidP="00335430">
      <w:pPr>
        <w:pStyle w:val="Default"/>
        <w:spacing w:line="360" w:lineRule="auto"/>
        <w:jc w:val="center"/>
        <w:rPr>
          <w:b/>
          <w:bCs/>
        </w:rPr>
      </w:pPr>
    </w:p>
    <w:p w14:paraId="31F1F860" w14:textId="13360058" w:rsidR="00F03C3B" w:rsidRPr="00335430" w:rsidRDefault="00F03C3B" w:rsidP="00335430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33543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AB074E" w:rsidRPr="00335430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65</w:t>
      </w:r>
    </w:p>
    <w:p w14:paraId="2AD24E6C" w14:textId="40F4F260" w:rsidR="00F03C3B" w:rsidRDefault="00F03C3B" w:rsidP="004E5536">
      <w:pPr>
        <w:pStyle w:val="Default"/>
        <w:spacing w:after="120" w:line="360" w:lineRule="auto"/>
        <w:jc w:val="center"/>
        <w:rPr>
          <w:b/>
          <w:bCs/>
        </w:rPr>
      </w:pPr>
      <w:r w:rsidRPr="001D49F0">
        <w:rPr>
          <w:b/>
          <w:bCs/>
        </w:rPr>
        <w:t>Platnost a účinnost</w:t>
      </w:r>
    </w:p>
    <w:p w14:paraId="1003364D" w14:textId="77777777" w:rsidR="00335430" w:rsidRPr="00335430" w:rsidRDefault="00335430" w:rsidP="00335430">
      <w:pPr>
        <w:spacing w:after="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49808A6" w14:textId="71000D92" w:rsidR="0011142B" w:rsidRPr="00335430" w:rsidRDefault="0011142B" w:rsidP="00335430">
      <w:pPr>
        <w:pStyle w:val="Odstavecseseznamem"/>
        <w:numPr>
          <w:ilvl w:val="0"/>
          <w:numId w:val="9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Nedílnou součástí těchto Pravidel jsou </w:t>
      </w:r>
      <w:r w:rsid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následující</w:t>
      </w: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přílohy:</w:t>
      </w:r>
    </w:p>
    <w:p w14:paraId="42CCC875" w14:textId="2731398D" w:rsidR="0011142B" w:rsidRPr="001D49F0" w:rsidRDefault="0011142B" w:rsidP="00335430">
      <w:pPr>
        <w:pStyle w:val="Default"/>
        <w:numPr>
          <w:ilvl w:val="0"/>
          <w:numId w:val="5"/>
        </w:numPr>
        <w:spacing w:after="120" w:line="360" w:lineRule="auto"/>
        <w:ind w:firstLine="273"/>
        <w:jc w:val="both"/>
      </w:pPr>
      <w:r w:rsidRPr="001D49F0">
        <w:t>Příloha č. 1</w:t>
      </w:r>
      <w:r w:rsidR="00335430">
        <w:t xml:space="preserve"> Individuální studijní plán studenta.</w:t>
      </w:r>
    </w:p>
    <w:p w14:paraId="539D405D" w14:textId="2679A726" w:rsidR="0011142B" w:rsidRPr="001D49F0" w:rsidRDefault="0011142B" w:rsidP="00335430">
      <w:pPr>
        <w:pStyle w:val="Default"/>
        <w:numPr>
          <w:ilvl w:val="0"/>
          <w:numId w:val="5"/>
        </w:numPr>
        <w:spacing w:after="120" w:line="360" w:lineRule="auto"/>
        <w:ind w:firstLine="273"/>
        <w:jc w:val="both"/>
      </w:pPr>
      <w:r w:rsidRPr="001D49F0">
        <w:t xml:space="preserve">Příloha č. 2 </w:t>
      </w:r>
      <w:r w:rsidR="00335430">
        <w:t>Zápis o vykonání zkoušky z předmětu doktorského studia.</w:t>
      </w:r>
    </w:p>
    <w:p w14:paraId="61174D04" w14:textId="28021651" w:rsidR="00F03C3B" w:rsidRPr="00335430" w:rsidRDefault="00F03C3B" w:rsidP="00335430">
      <w:pPr>
        <w:pStyle w:val="Odstavecseseznamem"/>
        <w:numPr>
          <w:ilvl w:val="0"/>
          <w:numId w:val="9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</w:t>
      </w:r>
      <w:r w:rsidR="00B77013"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Pravidla průběhu studia ve studijních programech uskutečňovaných přímo Univerzitou Tomáše Bati ve Zlíně spolu s vysokoškolským ústavem </w:t>
      </w: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byla schválena Akademickým senátem UTB dne </w:t>
      </w:r>
      <w:r w:rsid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2. června </w:t>
      </w:r>
      <w:r w:rsidR="00B77013"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2026.</w:t>
      </w:r>
    </w:p>
    <w:p w14:paraId="18557C3C" w14:textId="1651BA7C" w:rsidR="00F03C3B" w:rsidRDefault="00F03C3B" w:rsidP="00335430">
      <w:pPr>
        <w:pStyle w:val="Odstavecseseznamem"/>
        <w:numPr>
          <w:ilvl w:val="0"/>
          <w:numId w:val="9"/>
        </w:numPr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 xml:space="preserve">Tato Pravidla průběhu studia ve studijních programech uskutečňovaných přímo Univerzitou Tomáše Bati ve Zlíně </w:t>
      </w:r>
      <w:r w:rsidR="00C7479C"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spolu s vysokoškolským ústavem </w:t>
      </w: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nabývají platnosti a</w:t>
      </w:r>
      <w:r w:rsidR="00CF72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účinnosti dnem jejich</w:t>
      </w:r>
      <w:r w:rsidR="008163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zveřejnění na úřední desce UNI</w:t>
      </w:r>
      <w:r w:rsidRPr="0033543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tbl>
      <w:tblPr>
        <w:tblStyle w:val="TableNormal1"/>
        <w:tblW w:w="92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5"/>
      </w:tblGrid>
      <w:tr w:rsidR="0001743E" w:rsidRPr="00186E12" w14:paraId="59C32AB4" w14:textId="77777777" w:rsidTr="00A351B2">
        <w:trPr>
          <w:trHeight w:hRule="exact" w:val="306"/>
        </w:trPr>
        <w:tc>
          <w:tcPr>
            <w:tcW w:w="9215" w:type="dxa"/>
            <w:gridSpan w:val="4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B0C49" w14:textId="77777777" w:rsidR="0001743E" w:rsidRPr="00186E12" w:rsidRDefault="0001743E" w:rsidP="00A351B2">
            <w:pPr>
              <w:pStyle w:val="TableParagraph"/>
              <w:spacing w:before="12" w:line="276" w:lineRule="auto"/>
              <w:ind w:left="3726" w:right="37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Verze </w:t>
            </w: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dokumentu</w:t>
            </w:r>
          </w:p>
        </w:tc>
      </w:tr>
      <w:tr w:rsidR="0001743E" w:rsidRPr="00186E12" w14:paraId="1CE530C1" w14:textId="77777777" w:rsidTr="00A351B2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A2198" w14:textId="77777777" w:rsidR="0001743E" w:rsidRPr="00186E12" w:rsidRDefault="0001743E" w:rsidP="00A351B2">
            <w:pPr>
              <w:pStyle w:val="TableParagraph"/>
              <w:spacing w:line="276" w:lineRule="auto"/>
              <w:ind w:left="799" w:righ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Datum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794C4" w14:textId="77777777" w:rsidR="0001743E" w:rsidRPr="00186E12" w:rsidRDefault="0001743E" w:rsidP="00A351B2">
            <w:pPr>
              <w:pStyle w:val="TableParagraph"/>
              <w:spacing w:line="276" w:lineRule="auto"/>
              <w:ind w:left="838" w:right="8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Verze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30728" w14:textId="77777777" w:rsidR="0001743E" w:rsidRPr="00186E12" w:rsidRDefault="0001743E" w:rsidP="00A351B2">
            <w:pPr>
              <w:pStyle w:val="TableParagraph"/>
              <w:spacing w:line="276" w:lineRule="auto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Změněno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66F36" w14:textId="77777777" w:rsidR="0001743E" w:rsidRPr="00186E12" w:rsidRDefault="0001743E" w:rsidP="00A351B2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Popis změny</w:t>
            </w:r>
          </w:p>
        </w:tc>
      </w:tr>
      <w:tr w:rsidR="0001743E" w:rsidRPr="00186E12" w14:paraId="575984ED" w14:textId="77777777" w:rsidTr="00A351B2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C1031" w14:textId="29A57AEF" w:rsidR="0001743E" w:rsidRPr="0001743E" w:rsidRDefault="0001743E" w:rsidP="00A351B2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 w:rsidR="00322A8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 w:rsidR="00322A8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 w:rsidR="00322A8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 w:rsidR="00322A82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2026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5E47E" w14:textId="77777777" w:rsidR="0001743E" w:rsidRPr="0001743E" w:rsidRDefault="0001743E" w:rsidP="00A351B2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01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B9490" w14:textId="77777777" w:rsidR="0001743E" w:rsidRPr="0001743E" w:rsidRDefault="0001743E" w:rsidP="00A351B2">
            <w:pPr>
              <w:pStyle w:val="TableParagraph"/>
              <w:spacing w:line="276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Ředitel UNI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F032B" w14:textId="77777777" w:rsidR="0001743E" w:rsidRPr="0001743E" w:rsidRDefault="0001743E" w:rsidP="00A351B2">
            <w:pPr>
              <w:pStyle w:val="TableParagraph"/>
              <w:spacing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Vytvoření</w:t>
            </w: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dokumentu</w:t>
            </w:r>
          </w:p>
        </w:tc>
      </w:tr>
      <w:tr w:rsidR="0001743E" w:rsidRPr="00186E12" w14:paraId="595EFD49" w14:textId="77777777" w:rsidTr="00A351B2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D5F0D" w14:textId="77777777" w:rsidR="0001743E" w:rsidRPr="00186E12" w:rsidRDefault="0001743E" w:rsidP="00A351B2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43F3A" w14:textId="77777777" w:rsidR="0001743E" w:rsidRPr="00186E12" w:rsidRDefault="0001743E" w:rsidP="00A351B2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A752D" w14:textId="77777777" w:rsidR="0001743E" w:rsidRPr="00186E12" w:rsidRDefault="0001743E" w:rsidP="00A351B2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E28C5" w14:textId="77777777" w:rsidR="0001743E" w:rsidRPr="00186E12" w:rsidRDefault="0001743E" w:rsidP="00A351B2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</w:tr>
    </w:tbl>
    <w:p w14:paraId="40265591" w14:textId="77777777" w:rsidR="0001743E" w:rsidRPr="0001743E" w:rsidRDefault="0001743E" w:rsidP="0001743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sectPr w:rsidR="0001743E" w:rsidRPr="0001743E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E274" w14:textId="77777777" w:rsidR="007A2F5D" w:rsidRDefault="007A2F5D" w:rsidP="003A44E5">
      <w:pPr>
        <w:spacing w:after="0" w:line="240" w:lineRule="auto"/>
      </w:pPr>
      <w:r>
        <w:separator/>
      </w:r>
    </w:p>
  </w:endnote>
  <w:endnote w:type="continuationSeparator" w:id="0">
    <w:p w14:paraId="653ADEDB" w14:textId="77777777" w:rsidR="007A2F5D" w:rsidRDefault="007A2F5D" w:rsidP="003A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052582"/>
      <w:docPartObj>
        <w:docPartGallery w:val="Page Numbers (Bottom of Page)"/>
        <w:docPartUnique/>
      </w:docPartObj>
    </w:sdtPr>
    <w:sdtEndPr/>
    <w:sdtContent>
      <w:p w14:paraId="171C9672" w14:textId="6F1F62D0" w:rsidR="004D6497" w:rsidRDefault="004D6497" w:rsidP="004D64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DBE1" w14:textId="77777777" w:rsidR="007A2F5D" w:rsidRDefault="007A2F5D" w:rsidP="003A44E5">
      <w:pPr>
        <w:spacing w:after="0" w:line="240" w:lineRule="auto"/>
      </w:pPr>
      <w:r>
        <w:separator/>
      </w:r>
    </w:p>
  </w:footnote>
  <w:footnote w:type="continuationSeparator" w:id="0">
    <w:p w14:paraId="353C8161" w14:textId="77777777" w:rsidR="007A2F5D" w:rsidRDefault="007A2F5D" w:rsidP="003A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B262" w14:textId="3EF4B712" w:rsidR="003A44E5" w:rsidRPr="005C2748" w:rsidRDefault="003A44E5" w:rsidP="003A44E5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5C2748">
      <w:rPr>
        <w:i/>
        <w:lang w:val="cs-CZ"/>
      </w:rPr>
      <w:softHyphen/>
    </w:r>
    <w:r w:rsidRPr="005C2748">
      <w:rPr>
        <w:i/>
        <w:lang w:val="cs-CZ"/>
      </w:rPr>
      <w:softHyphen/>
    </w:r>
    <w:r w:rsidRPr="005C2748">
      <w:rPr>
        <w:i/>
        <w:lang w:val="cs-CZ"/>
      </w:rPr>
      <w:softHyphen/>
    </w:r>
    <w:r w:rsidRPr="005C2748">
      <w:rPr>
        <w:i/>
        <w:lang w:val="cs-CZ"/>
      </w:rPr>
      <w:softHyphen/>
      <w:t>Vnitřní norma Univerzitního institutu Univerzity Tomáše Bati ve Zlíně</w:t>
    </w:r>
  </w:p>
  <w:p w14:paraId="130FB986" w14:textId="77777777" w:rsidR="003A44E5" w:rsidRPr="005C2748" w:rsidRDefault="003A44E5" w:rsidP="00DD31FB">
    <w:pPr>
      <w:pStyle w:val="Zhlav"/>
      <w:jc w:val="center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8C0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92B66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462F2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48967"/>
    <w:multiLevelType w:val="hybridMultilevel"/>
    <w:tmpl w:val="2C54DF8A"/>
    <w:lvl w:ilvl="0" w:tplc="666244D0">
      <w:start w:val="1"/>
      <w:numFmt w:val="lowerLetter"/>
      <w:lvlText w:val="%1)"/>
      <w:lvlJc w:val="left"/>
      <w:pPr>
        <w:ind w:left="720" w:hanging="360"/>
      </w:pPr>
    </w:lvl>
    <w:lvl w:ilvl="1" w:tplc="4C7E07F6">
      <w:start w:val="1"/>
      <w:numFmt w:val="lowerLetter"/>
      <w:lvlText w:val="%2."/>
      <w:lvlJc w:val="left"/>
      <w:pPr>
        <w:ind w:left="1440" w:hanging="360"/>
      </w:pPr>
    </w:lvl>
    <w:lvl w:ilvl="2" w:tplc="B6567F52">
      <w:start w:val="1"/>
      <w:numFmt w:val="lowerRoman"/>
      <w:lvlText w:val="%3."/>
      <w:lvlJc w:val="right"/>
      <w:pPr>
        <w:ind w:left="2160" w:hanging="180"/>
      </w:pPr>
    </w:lvl>
    <w:lvl w:ilvl="3" w:tplc="125A8A52">
      <w:start w:val="1"/>
      <w:numFmt w:val="decimal"/>
      <w:lvlText w:val="%4."/>
      <w:lvlJc w:val="left"/>
      <w:pPr>
        <w:ind w:left="2880" w:hanging="360"/>
      </w:pPr>
    </w:lvl>
    <w:lvl w:ilvl="4" w:tplc="FF60BF06">
      <w:start w:val="1"/>
      <w:numFmt w:val="lowerLetter"/>
      <w:lvlText w:val="%5."/>
      <w:lvlJc w:val="left"/>
      <w:pPr>
        <w:ind w:left="3600" w:hanging="360"/>
      </w:pPr>
    </w:lvl>
    <w:lvl w:ilvl="5" w:tplc="E1761992">
      <w:start w:val="1"/>
      <w:numFmt w:val="lowerRoman"/>
      <w:lvlText w:val="%6."/>
      <w:lvlJc w:val="right"/>
      <w:pPr>
        <w:ind w:left="4320" w:hanging="180"/>
      </w:pPr>
    </w:lvl>
    <w:lvl w:ilvl="6" w:tplc="6C8488EA">
      <w:start w:val="1"/>
      <w:numFmt w:val="decimal"/>
      <w:lvlText w:val="%7."/>
      <w:lvlJc w:val="left"/>
      <w:pPr>
        <w:ind w:left="5040" w:hanging="360"/>
      </w:pPr>
    </w:lvl>
    <w:lvl w:ilvl="7" w:tplc="E0022B06">
      <w:start w:val="1"/>
      <w:numFmt w:val="lowerLetter"/>
      <w:lvlText w:val="%8."/>
      <w:lvlJc w:val="left"/>
      <w:pPr>
        <w:ind w:left="5760" w:hanging="360"/>
      </w:pPr>
    </w:lvl>
    <w:lvl w:ilvl="8" w:tplc="F39681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2F0D"/>
    <w:multiLevelType w:val="hybridMultilevel"/>
    <w:tmpl w:val="8EC0BD6E"/>
    <w:lvl w:ilvl="0" w:tplc="A7AE6F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AE3E88"/>
    <w:multiLevelType w:val="hybridMultilevel"/>
    <w:tmpl w:val="304AF9D8"/>
    <w:lvl w:ilvl="0" w:tplc="4ED6E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11DD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C856A3"/>
    <w:multiLevelType w:val="hybridMultilevel"/>
    <w:tmpl w:val="D338A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0183D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968313">
    <w:abstractNumId w:val="3"/>
  </w:num>
  <w:num w:numId="2" w16cid:durableId="392317700">
    <w:abstractNumId w:val="4"/>
  </w:num>
  <w:num w:numId="3" w16cid:durableId="936404201">
    <w:abstractNumId w:val="5"/>
  </w:num>
  <w:num w:numId="4" w16cid:durableId="152912430">
    <w:abstractNumId w:val="6"/>
  </w:num>
  <w:num w:numId="5" w16cid:durableId="1015493820">
    <w:abstractNumId w:val="7"/>
  </w:num>
  <w:num w:numId="6" w16cid:durableId="1730496330">
    <w:abstractNumId w:val="8"/>
  </w:num>
  <w:num w:numId="7" w16cid:durableId="1934781989">
    <w:abstractNumId w:val="2"/>
  </w:num>
  <w:num w:numId="8" w16cid:durableId="1161429473">
    <w:abstractNumId w:val="1"/>
  </w:num>
  <w:num w:numId="9" w16cid:durableId="41551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NjYzMjMyMDQysDRR0lEKTi0uzszPAykwNK4FAIeWtyUtAAAA"/>
  </w:docVars>
  <w:rsids>
    <w:rsidRoot w:val="00836EEC"/>
    <w:rsid w:val="00007DE3"/>
    <w:rsid w:val="00015BDC"/>
    <w:rsid w:val="0001743E"/>
    <w:rsid w:val="00025CF0"/>
    <w:rsid w:val="00031DA7"/>
    <w:rsid w:val="00037854"/>
    <w:rsid w:val="00050A1C"/>
    <w:rsid w:val="000646D2"/>
    <w:rsid w:val="00082AD9"/>
    <w:rsid w:val="0008305D"/>
    <w:rsid w:val="0008452A"/>
    <w:rsid w:val="00086804"/>
    <w:rsid w:val="00091A34"/>
    <w:rsid w:val="000A35D8"/>
    <w:rsid w:val="000A4947"/>
    <w:rsid w:val="000A4F39"/>
    <w:rsid w:val="000B5219"/>
    <w:rsid w:val="000C47E1"/>
    <w:rsid w:val="000D204D"/>
    <w:rsid w:val="000D2901"/>
    <w:rsid w:val="000D7B96"/>
    <w:rsid w:val="000E1372"/>
    <w:rsid w:val="000E7518"/>
    <w:rsid w:val="000E7D13"/>
    <w:rsid w:val="000F0D78"/>
    <w:rsid w:val="00107498"/>
    <w:rsid w:val="0011142B"/>
    <w:rsid w:val="00113209"/>
    <w:rsid w:val="00121457"/>
    <w:rsid w:val="00131AEE"/>
    <w:rsid w:val="001328A5"/>
    <w:rsid w:val="00134D38"/>
    <w:rsid w:val="0013549C"/>
    <w:rsid w:val="00154CB6"/>
    <w:rsid w:val="00155491"/>
    <w:rsid w:val="00162B0A"/>
    <w:rsid w:val="00172936"/>
    <w:rsid w:val="00180982"/>
    <w:rsid w:val="001A3D65"/>
    <w:rsid w:val="001C68CB"/>
    <w:rsid w:val="001D28A1"/>
    <w:rsid w:val="001D49F0"/>
    <w:rsid w:val="001D6AED"/>
    <w:rsid w:val="001E437A"/>
    <w:rsid w:val="001E66BE"/>
    <w:rsid w:val="002023A5"/>
    <w:rsid w:val="00206AC1"/>
    <w:rsid w:val="0021235F"/>
    <w:rsid w:val="00216283"/>
    <w:rsid w:val="00217150"/>
    <w:rsid w:val="00224AC3"/>
    <w:rsid w:val="002256E9"/>
    <w:rsid w:val="00230CF9"/>
    <w:rsid w:val="00231C2B"/>
    <w:rsid w:val="00236908"/>
    <w:rsid w:val="00240F76"/>
    <w:rsid w:val="00245C7C"/>
    <w:rsid w:val="00245EFA"/>
    <w:rsid w:val="00247906"/>
    <w:rsid w:val="00250EA5"/>
    <w:rsid w:val="00255E24"/>
    <w:rsid w:val="002857E6"/>
    <w:rsid w:val="00294F54"/>
    <w:rsid w:val="002964FD"/>
    <w:rsid w:val="002A4C2D"/>
    <w:rsid w:val="002B195A"/>
    <w:rsid w:val="002B433F"/>
    <w:rsid w:val="002B5D44"/>
    <w:rsid w:val="002C19DF"/>
    <w:rsid w:val="002C3287"/>
    <w:rsid w:val="002C7117"/>
    <w:rsid w:val="002C7D3E"/>
    <w:rsid w:val="002D1BB5"/>
    <w:rsid w:val="002D1D49"/>
    <w:rsid w:val="002D2C9D"/>
    <w:rsid w:val="002D608E"/>
    <w:rsid w:val="002E4A40"/>
    <w:rsid w:val="002E6CE8"/>
    <w:rsid w:val="002F4B47"/>
    <w:rsid w:val="00310E9F"/>
    <w:rsid w:val="00313730"/>
    <w:rsid w:val="00322A82"/>
    <w:rsid w:val="00325A43"/>
    <w:rsid w:val="00327919"/>
    <w:rsid w:val="00331F19"/>
    <w:rsid w:val="00332828"/>
    <w:rsid w:val="003339CB"/>
    <w:rsid w:val="00335430"/>
    <w:rsid w:val="0033584A"/>
    <w:rsid w:val="003374DF"/>
    <w:rsid w:val="00356325"/>
    <w:rsid w:val="003575C0"/>
    <w:rsid w:val="0037280A"/>
    <w:rsid w:val="00396D77"/>
    <w:rsid w:val="003A2D5B"/>
    <w:rsid w:val="003A44E5"/>
    <w:rsid w:val="003B0AB8"/>
    <w:rsid w:val="003B1319"/>
    <w:rsid w:val="003B3E7D"/>
    <w:rsid w:val="003B6CF3"/>
    <w:rsid w:val="003C4ED1"/>
    <w:rsid w:val="003D589C"/>
    <w:rsid w:val="003E2204"/>
    <w:rsid w:val="00412448"/>
    <w:rsid w:val="00420CD0"/>
    <w:rsid w:val="004262EF"/>
    <w:rsid w:val="00431C35"/>
    <w:rsid w:val="0043792E"/>
    <w:rsid w:val="00450020"/>
    <w:rsid w:val="00461215"/>
    <w:rsid w:val="0046152B"/>
    <w:rsid w:val="004625EF"/>
    <w:rsid w:val="00462B52"/>
    <w:rsid w:val="0046310C"/>
    <w:rsid w:val="004664F0"/>
    <w:rsid w:val="00484019"/>
    <w:rsid w:val="00494F69"/>
    <w:rsid w:val="00495EDD"/>
    <w:rsid w:val="00496E4B"/>
    <w:rsid w:val="004A183D"/>
    <w:rsid w:val="004A217C"/>
    <w:rsid w:val="004B09DA"/>
    <w:rsid w:val="004C4005"/>
    <w:rsid w:val="004C7C75"/>
    <w:rsid w:val="004D6497"/>
    <w:rsid w:val="004E0636"/>
    <w:rsid w:val="004E5536"/>
    <w:rsid w:val="004F3601"/>
    <w:rsid w:val="004F76C6"/>
    <w:rsid w:val="00527E90"/>
    <w:rsid w:val="00537B5C"/>
    <w:rsid w:val="005452AF"/>
    <w:rsid w:val="00545DD8"/>
    <w:rsid w:val="0055474D"/>
    <w:rsid w:val="00563473"/>
    <w:rsid w:val="00577892"/>
    <w:rsid w:val="00593BAA"/>
    <w:rsid w:val="005A4C6B"/>
    <w:rsid w:val="005A6ACE"/>
    <w:rsid w:val="005B0626"/>
    <w:rsid w:val="005B1555"/>
    <w:rsid w:val="005B58B1"/>
    <w:rsid w:val="005C2748"/>
    <w:rsid w:val="005D062D"/>
    <w:rsid w:val="005D7D6C"/>
    <w:rsid w:val="006031AB"/>
    <w:rsid w:val="0061096B"/>
    <w:rsid w:val="0062332C"/>
    <w:rsid w:val="006302AE"/>
    <w:rsid w:val="00631666"/>
    <w:rsid w:val="0063411E"/>
    <w:rsid w:val="00637626"/>
    <w:rsid w:val="00644D11"/>
    <w:rsid w:val="0065340B"/>
    <w:rsid w:val="00664DBC"/>
    <w:rsid w:val="00666597"/>
    <w:rsid w:val="00673219"/>
    <w:rsid w:val="0068001C"/>
    <w:rsid w:val="0069067D"/>
    <w:rsid w:val="006936D6"/>
    <w:rsid w:val="006940C0"/>
    <w:rsid w:val="006A7AB7"/>
    <w:rsid w:val="006B68BB"/>
    <w:rsid w:val="006C52A9"/>
    <w:rsid w:val="006C54EA"/>
    <w:rsid w:val="006D4916"/>
    <w:rsid w:val="006E08EA"/>
    <w:rsid w:val="006E40A5"/>
    <w:rsid w:val="006F017B"/>
    <w:rsid w:val="006F0B39"/>
    <w:rsid w:val="006F5B71"/>
    <w:rsid w:val="00704190"/>
    <w:rsid w:val="00704BE1"/>
    <w:rsid w:val="00712344"/>
    <w:rsid w:val="007237EF"/>
    <w:rsid w:val="00741667"/>
    <w:rsid w:val="007540E9"/>
    <w:rsid w:val="00767F0F"/>
    <w:rsid w:val="0077473A"/>
    <w:rsid w:val="007821C3"/>
    <w:rsid w:val="0078582B"/>
    <w:rsid w:val="007A209A"/>
    <w:rsid w:val="007A2F5D"/>
    <w:rsid w:val="007A6B3D"/>
    <w:rsid w:val="007B3C26"/>
    <w:rsid w:val="007B434E"/>
    <w:rsid w:val="007C26AE"/>
    <w:rsid w:val="007C45C3"/>
    <w:rsid w:val="007C60A3"/>
    <w:rsid w:val="007C73A9"/>
    <w:rsid w:val="007D00EF"/>
    <w:rsid w:val="007E62CC"/>
    <w:rsid w:val="007E7E78"/>
    <w:rsid w:val="007F7C83"/>
    <w:rsid w:val="008040DE"/>
    <w:rsid w:val="00807788"/>
    <w:rsid w:val="00810B92"/>
    <w:rsid w:val="00816323"/>
    <w:rsid w:val="00817E7B"/>
    <w:rsid w:val="00836EEC"/>
    <w:rsid w:val="00867D72"/>
    <w:rsid w:val="00880FA6"/>
    <w:rsid w:val="0088439D"/>
    <w:rsid w:val="00892C7A"/>
    <w:rsid w:val="00894984"/>
    <w:rsid w:val="008A2A7B"/>
    <w:rsid w:val="008A54C9"/>
    <w:rsid w:val="008B2C01"/>
    <w:rsid w:val="008C031E"/>
    <w:rsid w:val="008C32B9"/>
    <w:rsid w:val="008C7C94"/>
    <w:rsid w:val="008D0F28"/>
    <w:rsid w:val="008D115C"/>
    <w:rsid w:val="008D415E"/>
    <w:rsid w:val="008E4884"/>
    <w:rsid w:val="008E4F12"/>
    <w:rsid w:val="008F22A4"/>
    <w:rsid w:val="00901210"/>
    <w:rsid w:val="00906D88"/>
    <w:rsid w:val="00914F2F"/>
    <w:rsid w:val="009335F4"/>
    <w:rsid w:val="00934B7B"/>
    <w:rsid w:val="00935861"/>
    <w:rsid w:val="0096465B"/>
    <w:rsid w:val="00976242"/>
    <w:rsid w:val="00987ED3"/>
    <w:rsid w:val="00996D75"/>
    <w:rsid w:val="009A1085"/>
    <w:rsid w:val="009B1DA7"/>
    <w:rsid w:val="009B2F44"/>
    <w:rsid w:val="009B4B9B"/>
    <w:rsid w:val="009C3D7A"/>
    <w:rsid w:val="009C414F"/>
    <w:rsid w:val="009D4143"/>
    <w:rsid w:val="009D4501"/>
    <w:rsid w:val="009E39D8"/>
    <w:rsid w:val="009F4AB5"/>
    <w:rsid w:val="00A04F48"/>
    <w:rsid w:val="00A129E9"/>
    <w:rsid w:val="00A2579B"/>
    <w:rsid w:val="00A32619"/>
    <w:rsid w:val="00A36532"/>
    <w:rsid w:val="00A42539"/>
    <w:rsid w:val="00A46A3A"/>
    <w:rsid w:val="00A52F87"/>
    <w:rsid w:val="00A5585A"/>
    <w:rsid w:val="00A565B3"/>
    <w:rsid w:val="00A5756E"/>
    <w:rsid w:val="00A57BE5"/>
    <w:rsid w:val="00A6162F"/>
    <w:rsid w:val="00A739B5"/>
    <w:rsid w:val="00A7497B"/>
    <w:rsid w:val="00A81AE3"/>
    <w:rsid w:val="00A8523B"/>
    <w:rsid w:val="00A87954"/>
    <w:rsid w:val="00A913A5"/>
    <w:rsid w:val="00A92045"/>
    <w:rsid w:val="00A92309"/>
    <w:rsid w:val="00AA06EC"/>
    <w:rsid w:val="00AA0C65"/>
    <w:rsid w:val="00AA27AC"/>
    <w:rsid w:val="00AA31EC"/>
    <w:rsid w:val="00AA3302"/>
    <w:rsid w:val="00AB047C"/>
    <w:rsid w:val="00AB074E"/>
    <w:rsid w:val="00AB2F8B"/>
    <w:rsid w:val="00AB5AA1"/>
    <w:rsid w:val="00AC2400"/>
    <w:rsid w:val="00AD015E"/>
    <w:rsid w:val="00AE294F"/>
    <w:rsid w:val="00AE39B8"/>
    <w:rsid w:val="00AF5C86"/>
    <w:rsid w:val="00B012F7"/>
    <w:rsid w:val="00B04AE5"/>
    <w:rsid w:val="00B0567C"/>
    <w:rsid w:val="00B10B7B"/>
    <w:rsid w:val="00B45F65"/>
    <w:rsid w:val="00B607FA"/>
    <w:rsid w:val="00B6201D"/>
    <w:rsid w:val="00B723FA"/>
    <w:rsid w:val="00B77013"/>
    <w:rsid w:val="00B82958"/>
    <w:rsid w:val="00B90CF3"/>
    <w:rsid w:val="00B952F3"/>
    <w:rsid w:val="00BA33BA"/>
    <w:rsid w:val="00BA5FB6"/>
    <w:rsid w:val="00BB02E8"/>
    <w:rsid w:val="00BB10D5"/>
    <w:rsid w:val="00BC1541"/>
    <w:rsid w:val="00BD07A0"/>
    <w:rsid w:val="00BD0E6A"/>
    <w:rsid w:val="00BD2054"/>
    <w:rsid w:val="00BD5DAC"/>
    <w:rsid w:val="00BE11C3"/>
    <w:rsid w:val="00C05E18"/>
    <w:rsid w:val="00C07117"/>
    <w:rsid w:val="00C11AB4"/>
    <w:rsid w:val="00C15AD3"/>
    <w:rsid w:val="00C1666E"/>
    <w:rsid w:val="00C23A10"/>
    <w:rsid w:val="00C33FC3"/>
    <w:rsid w:val="00C41F65"/>
    <w:rsid w:val="00C42CEE"/>
    <w:rsid w:val="00C521A7"/>
    <w:rsid w:val="00C60ECB"/>
    <w:rsid w:val="00C67944"/>
    <w:rsid w:val="00C72C4E"/>
    <w:rsid w:val="00C7479C"/>
    <w:rsid w:val="00C81395"/>
    <w:rsid w:val="00C83DE7"/>
    <w:rsid w:val="00C92141"/>
    <w:rsid w:val="00C93A7D"/>
    <w:rsid w:val="00C94F8A"/>
    <w:rsid w:val="00CB0B1C"/>
    <w:rsid w:val="00CC66BF"/>
    <w:rsid w:val="00CD2EF1"/>
    <w:rsid w:val="00CD5182"/>
    <w:rsid w:val="00CD5C16"/>
    <w:rsid w:val="00CD76BA"/>
    <w:rsid w:val="00CE091E"/>
    <w:rsid w:val="00CE6D49"/>
    <w:rsid w:val="00CE7559"/>
    <w:rsid w:val="00CF3C6A"/>
    <w:rsid w:val="00CF4AEE"/>
    <w:rsid w:val="00CF6A03"/>
    <w:rsid w:val="00CF72A0"/>
    <w:rsid w:val="00D11E3C"/>
    <w:rsid w:val="00D13084"/>
    <w:rsid w:val="00D1662A"/>
    <w:rsid w:val="00D20605"/>
    <w:rsid w:val="00D20CBB"/>
    <w:rsid w:val="00D212A3"/>
    <w:rsid w:val="00D235F5"/>
    <w:rsid w:val="00D236E1"/>
    <w:rsid w:val="00D32F61"/>
    <w:rsid w:val="00D462D4"/>
    <w:rsid w:val="00D5038D"/>
    <w:rsid w:val="00D521E6"/>
    <w:rsid w:val="00D552DF"/>
    <w:rsid w:val="00D66004"/>
    <w:rsid w:val="00D73CE7"/>
    <w:rsid w:val="00D8019D"/>
    <w:rsid w:val="00D84A6E"/>
    <w:rsid w:val="00D85C47"/>
    <w:rsid w:val="00D876A5"/>
    <w:rsid w:val="00D9603E"/>
    <w:rsid w:val="00DB09F2"/>
    <w:rsid w:val="00DB4BD2"/>
    <w:rsid w:val="00DB4E73"/>
    <w:rsid w:val="00DB6450"/>
    <w:rsid w:val="00DB7A11"/>
    <w:rsid w:val="00DC1039"/>
    <w:rsid w:val="00DC1DD1"/>
    <w:rsid w:val="00DC7CD5"/>
    <w:rsid w:val="00DD31FB"/>
    <w:rsid w:val="00DE6415"/>
    <w:rsid w:val="00DF24B7"/>
    <w:rsid w:val="00E05E03"/>
    <w:rsid w:val="00E06945"/>
    <w:rsid w:val="00E07FA0"/>
    <w:rsid w:val="00E266CD"/>
    <w:rsid w:val="00E31C3D"/>
    <w:rsid w:val="00E32614"/>
    <w:rsid w:val="00E35BE6"/>
    <w:rsid w:val="00E44A0A"/>
    <w:rsid w:val="00E74030"/>
    <w:rsid w:val="00E75493"/>
    <w:rsid w:val="00E83176"/>
    <w:rsid w:val="00E90AAF"/>
    <w:rsid w:val="00E97A24"/>
    <w:rsid w:val="00EA2C38"/>
    <w:rsid w:val="00EA4D40"/>
    <w:rsid w:val="00EC6FF6"/>
    <w:rsid w:val="00EC7151"/>
    <w:rsid w:val="00ED3D9C"/>
    <w:rsid w:val="00EE3987"/>
    <w:rsid w:val="00EE3D16"/>
    <w:rsid w:val="00EE59BC"/>
    <w:rsid w:val="00EE5B6C"/>
    <w:rsid w:val="00EF51F2"/>
    <w:rsid w:val="00F03C3B"/>
    <w:rsid w:val="00F10AC6"/>
    <w:rsid w:val="00F114D4"/>
    <w:rsid w:val="00F15104"/>
    <w:rsid w:val="00F16335"/>
    <w:rsid w:val="00F2219D"/>
    <w:rsid w:val="00F2534B"/>
    <w:rsid w:val="00F30A75"/>
    <w:rsid w:val="00F34732"/>
    <w:rsid w:val="00F61027"/>
    <w:rsid w:val="00F6124A"/>
    <w:rsid w:val="00F6516A"/>
    <w:rsid w:val="00F658CD"/>
    <w:rsid w:val="00F744BD"/>
    <w:rsid w:val="00F77063"/>
    <w:rsid w:val="00F91212"/>
    <w:rsid w:val="00F95055"/>
    <w:rsid w:val="00FA1F08"/>
    <w:rsid w:val="00FA356B"/>
    <w:rsid w:val="00FB0FED"/>
    <w:rsid w:val="00FB2B27"/>
    <w:rsid w:val="00FB5DB1"/>
    <w:rsid w:val="00FC69C8"/>
    <w:rsid w:val="00FD5BB7"/>
    <w:rsid w:val="00FD7088"/>
    <w:rsid w:val="00FE1439"/>
    <w:rsid w:val="00FE6221"/>
    <w:rsid w:val="00FF3544"/>
    <w:rsid w:val="01C0DCAB"/>
    <w:rsid w:val="06CF8622"/>
    <w:rsid w:val="0B12F700"/>
    <w:rsid w:val="0D94D91B"/>
    <w:rsid w:val="0EA75EDA"/>
    <w:rsid w:val="12F5374D"/>
    <w:rsid w:val="13A4DC49"/>
    <w:rsid w:val="1463EF71"/>
    <w:rsid w:val="15FE37CB"/>
    <w:rsid w:val="17D09E41"/>
    <w:rsid w:val="1DA72D09"/>
    <w:rsid w:val="27B55BA7"/>
    <w:rsid w:val="2804CFB4"/>
    <w:rsid w:val="2B4FC9B4"/>
    <w:rsid w:val="2B846461"/>
    <w:rsid w:val="342CABB9"/>
    <w:rsid w:val="36508A0A"/>
    <w:rsid w:val="38EA8668"/>
    <w:rsid w:val="39F32694"/>
    <w:rsid w:val="3C7D65ED"/>
    <w:rsid w:val="3D01632F"/>
    <w:rsid w:val="40F98283"/>
    <w:rsid w:val="41A48CBB"/>
    <w:rsid w:val="43E2C811"/>
    <w:rsid w:val="47E7CC73"/>
    <w:rsid w:val="4863CAD5"/>
    <w:rsid w:val="50BAF7FC"/>
    <w:rsid w:val="5C3422EE"/>
    <w:rsid w:val="5FCE1A95"/>
    <w:rsid w:val="61228537"/>
    <w:rsid w:val="625D7D63"/>
    <w:rsid w:val="626F2D37"/>
    <w:rsid w:val="631322C8"/>
    <w:rsid w:val="684EAB51"/>
    <w:rsid w:val="69A9889F"/>
    <w:rsid w:val="6A530646"/>
    <w:rsid w:val="6D694C35"/>
    <w:rsid w:val="714A9E43"/>
    <w:rsid w:val="77ECB786"/>
    <w:rsid w:val="79073539"/>
    <w:rsid w:val="7A9ECD75"/>
    <w:rsid w:val="7B61665C"/>
    <w:rsid w:val="7D6A06C6"/>
    <w:rsid w:val="7E8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1BFE9"/>
  <w15:chartTrackingRefBased/>
  <w15:docId w15:val="{B9AE2399-67EA-41BC-89DF-04530DE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6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3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C3B"/>
    <w:rPr>
      <w:b/>
      <w:bCs/>
      <w:sz w:val="20"/>
      <w:szCs w:val="20"/>
    </w:rPr>
  </w:style>
  <w:style w:type="paragraph" w:customStyle="1" w:styleId="Psmenkov">
    <w:name w:val="Písmenkový"/>
    <w:link w:val="PsmenkovChar"/>
    <w:rsid w:val="0008452A"/>
    <w:pPr>
      <w:widowControl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PsmenkovChar">
    <w:name w:val="Písmenkový Char"/>
    <w:link w:val="Psmenkov"/>
    <w:rsid w:val="0008452A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Revize">
    <w:name w:val="Revision"/>
    <w:hidden/>
    <w:uiPriority w:val="99"/>
    <w:semiHidden/>
    <w:rsid w:val="0046121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857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857E6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07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49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3A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4E5"/>
  </w:style>
  <w:style w:type="paragraph" w:styleId="Odstavecseseznamem">
    <w:name w:val="List Paragraph"/>
    <w:basedOn w:val="Normln"/>
    <w:uiPriority w:val="34"/>
    <w:qFormat/>
    <w:rsid w:val="004E5536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01743E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01743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85B9A-6E52-4285-A07F-AC59B5145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AE16C-14F0-4159-83C8-06C4836C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7070-A3F4-428B-B60D-D4BDE2694BD3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1965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Martin Sysel</cp:lastModifiedBy>
  <cp:revision>12</cp:revision>
  <dcterms:created xsi:type="dcterms:W3CDTF">2026-05-27T13:44:00Z</dcterms:created>
  <dcterms:modified xsi:type="dcterms:W3CDTF">2026-06-10T11:39:00Z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41df9436-234d-437c-a73c-e241215b3d56</vt:lpwstr>
  </property>
  <property fmtid="{D5CDD505-2E9C-101B-9397-08002B2CF9AE}" pid="3" name="ContentTypeId">
    <vt:lpwstr>0x010100E9E10CE4BC10AB499C8FDEDE2D1973E6</vt:lpwstr>
  </property>
  <property fmtid="{D5CDD505-2E9C-101B-9397-08002B2CF9AE}" pid="4" name="MediaServiceImageTags">
    <vt:lpwstr/>
  </property>
</Properties>
</file>