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3014"/>
        <w:gridCol w:w="3423"/>
      </w:tblGrid>
      <w:tr w:rsidR="002962EB" w:rsidRPr="005D6469" w14:paraId="494659D5" w14:textId="77777777" w:rsidTr="00FE121F">
        <w:trPr>
          <w:trHeight w:val="20"/>
        </w:trPr>
        <w:tc>
          <w:tcPr>
            <w:tcW w:w="27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A5CEC" w14:textId="77777777" w:rsidR="002962EB" w:rsidRPr="005D6469" w:rsidRDefault="002962EB" w:rsidP="00FE121F">
            <w:pPr>
              <w:pStyle w:val="Zpat"/>
              <w:tabs>
                <w:tab w:val="left" w:pos="708"/>
              </w:tabs>
            </w:pPr>
            <w:r w:rsidRPr="005D6469">
              <w:t>Kód:</w:t>
            </w:r>
          </w:p>
        </w:tc>
        <w:tc>
          <w:tcPr>
            <w:tcW w:w="643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0BC30B" w14:textId="43DDC0EC" w:rsidR="002962EB" w:rsidRPr="005D6469" w:rsidRDefault="002962E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SR/XX/202</w:t>
            </w:r>
            <w:r w:rsidR="007C2D18" w:rsidRPr="005D6469"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3F473F" w:rsidRPr="005D6469" w14:paraId="10E75A7A" w14:textId="77777777" w:rsidTr="000E5E28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4F0D7" w14:textId="4EA4878D" w:rsidR="003F473F" w:rsidRPr="005D6469" w:rsidRDefault="003F473F" w:rsidP="000E5E2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Číslo jednací: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C83D61" w14:textId="2AF16EC3" w:rsidR="003F473F" w:rsidRPr="005D6469" w:rsidRDefault="00427D6F" w:rsidP="00FE121F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5D6469">
              <w:rPr>
                <w:rFonts w:ascii="Times New Roman" w:hAnsi="Times New Roman" w:cs="Times New Roman"/>
                <w:caps/>
                <w:lang w:val="cs-CZ"/>
              </w:rPr>
              <w:t>utb/26/XXX</w:t>
            </w:r>
          </w:p>
        </w:tc>
      </w:tr>
      <w:tr w:rsidR="003F473F" w:rsidRPr="005D6469" w14:paraId="1830D3B2" w14:textId="77777777" w:rsidTr="003F473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8B0E7" w14:textId="50F037ED" w:rsidR="003F473F" w:rsidRPr="005D6469" w:rsidRDefault="00427D6F" w:rsidP="003F473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Klasifikace dokumentu: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07400C" w14:textId="33829CAF" w:rsidR="003F473F" w:rsidRPr="005D6469" w:rsidRDefault="00427D6F" w:rsidP="00FE121F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5D6469">
              <w:rPr>
                <w:rFonts w:ascii="Times New Roman" w:hAnsi="Times New Roman" w:cs="Times New Roman"/>
                <w:caps/>
                <w:lang w:val="cs-CZ"/>
              </w:rPr>
              <w:t>VEŘEJNÝ</w:t>
            </w:r>
          </w:p>
        </w:tc>
      </w:tr>
      <w:tr w:rsidR="002962EB" w:rsidRPr="005D6469" w14:paraId="56B2A5E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11C3E" w14:textId="77777777" w:rsidR="002962EB" w:rsidRPr="005D6469" w:rsidRDefault="002962E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Druh: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ED54485" w14:textId="4E856F9E" w:rsidR="002962EB" w:rsidRPr="005D6469" w:rsidRDefault="00D77EC4" w:rsidP="00FE121F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5D6469">
              <w:rPr>
                <w:rFonts w:ascii="Times New Roman" w:hAnsi="Times New Roman" w:cs="Times New Roman"/>
                <w:caps/>
                <w:lang w:val="cs-CZ"/>
              </w:rPr>
              <w:t>SMĚRNICE ŘEDITELE uni</w:t>
            </w:r>
          </w:p>
        </w:tc>
      </w:tr>
      <w:tr w:rsidR="002962EB" w:rsidRPr="005D6469" w14:paraId="5AAB695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2F42C" w14:textId="77777777" w:rsidR="002962EB" w:rsidRPr="005D6469" w:rsidRDefault="002962E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Název: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6ADF562" w14:textId="36E92202" w:rsidR="002962EB" w:rsidRPr="005D6469" w:rsidRDefault="004E73CC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</w:t>
            </w:r>
            <w:r w:rsidR="00C53A78" w:rsidRPr="005D6469">
              <w:rPr>
                <w:rFonts w:ascii="Times New Roman" w:hAnsi="Times New Roman" w:cs="Times New Roman"/>
                <w:lang w:val="cs-CZ"/>
              </w:rPr>
              <w:t xml:space="preserve">řijímací řízení do doktorských studijních </w:t>
            </w:r>
            <w:r w:rsidR="008D27C1" w:rsidRPr="005D6469">
              <w:rPr>
                <w:rFonts w:ascii="Times New Roman" w:hAnsi="Times New Roman" w:cs="Times New Roman"/>
                <w:lang w:val="cs-CZ"/>
              </w:rPr>
              <w:t xml:space="preserve">programů </w:t>
            </w:r>
            <w:r w:rsidR="00C53A78" w:rsidRPr="005D6469">
              <w:rPr>
                <w:rFonts w:ascii="Times New Roman" w:hAnsi="Times New Roman" w:cs="Times New Roman"/>
                <w:lang w:val="cs-CZ"/>
              </w:rPr>
              <w:t xml:space="preserve">uskutečňovaných </w:t>
            </w:r>
            <w:r w:rsidR="00F07A43" w:rsidRPr="005D6469">
              <w:rPr>
                <w:rFonts w:ascii="Times New Roman" w:hAnsi="Times New Roman" w:cs="Times New Roman"/>
                <w:lang w:val="cs-CZ"/>
              </w:rPr>
              <w:t>přímo Univerzitou Tomáše Bati ve Zlíně spolu s vysokoškolským ústavem</w:t>
            </w:r>
          </w:p>
        </w:tc>
      </w:tr>
      <w:tr w:rsidR="009F543B" w:rsidRPr="005D6469" w14:paraId="550FBE4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45BE2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Organizační závaznost: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75D8EC" w14:textId="471D1BE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Univerzitní institut</w:t>
            </w:r>
          </w:p>
        </w:tc>
      </w:tr>
      <w:tr w:rsidR="009F543B" w:rsidRPr="005D6469" w14:paraId="78CBAF08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2D2BA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Datum vydání: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00DC" w14:textId="165E97C4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13CE936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 xml:space="preserve">Verze: 01 </w:t>
            </w:r>
          </w:p>
        </w:tc>
      </w:tr>
      <w:tr w:rsidR="009F543B" w:rsidRPr="005D6469" w14:paraId="77EE162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6ADC2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Účinnost od: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044BC06" w14:textId="45F101AF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</w:tr>
      <w:tr w:rsidR="00687E4B" w:rsidRPr="005D6469" w14:paraId="08978AF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3FC09" w14:textId="77777777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Vydává: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678851C" w14:textId="0956603B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Ředitel UNI</w:t>
            </w:r>
            <w:r w:rsidR="00D01063" w:rsidRPr="005D6469">
              <w:rPr>
                <w:rFonts w:ascii="Times New Roman" w:hAnsi="Times New Roman" w:cs="Times New Roman"/>
                <w:lang w:val="cs-CZ"/>
              </w:rPr>
              <w:t xml:space="preserve"> po předchozím schválení AS UTB</w:t>
            </w:r>
          </w:p>
        </w:tc>
      </w:tr>
      <w:tr w:rsidR="00687E4B" w:rsidRPr="005D6469" w14:paraId="750170F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A1E7C" w14:textId="77777777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Zpracoval: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7305A34" w14:textId="314CE8A7" w:rsidR="00687E4B" w:rsidRPr="005D6469" w:rsidRDefault="002A174A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Zástupce ředitele UNI pro tvůrčí činnosti</w:t>
            </w:r>
          </w:p>
        </w:tc>
      </w:tr>
      <w:tr w:rsidR="00687E4B" w:rsidRPr="005D6469" w14:paraId="6D6CAC38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72857" w14:textId="77777777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Spolupracoval: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B37A6E" w14:textId="79608631" w:rsidR="00687E4B" w:rsidRPr="005D6469" w:rsidRDefault="002A174A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Právní oddělení UTB</w:t>
            </w:r>
          </w:p>
        </w:tc>
      </w:tr>
      <w:tr w:rsidR="009F543B" w:rsidRPr="005D6469" w14:paraId="08F5068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7CD83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Počet stran: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5340D75" w14:textId="6D5046EC" w:rsidR="009F543B" w:rsidRPr="005D6469" w:rsidRDefault="005D6469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7</w:t>
            </w:r>
          </w:p>
        </w:tc>
      </w:tr>
      <w:tr w:rsidR="009F543B" w:rsidRPr="005D6469" w14:paraId="14FC6BF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7B498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Počet příloh: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1A7FF5D" w14:textId="5043A2F4" w:rsidR="009F543B" w:rsidRPr="005D6469" w:rsidRDefault="00E23498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1</w:t>
            </w:r>
          </w:p>
        </w:tc>
      </w:tr>
      <w:tr w:rsidR="009F543B" w:rsidRPr="005D6469" w14:paraId="5E2988E6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628F6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Rozdělovník: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71E3D7B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Zaměstnanci a studenti UTB</w:t>
            </w:r>
          </w:p>
        </w:tc>
      </w:tr>
      <w:tr w:rsidR="009F543B" w:rsidRPr="005D6469" w14:paraId="5A674C85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A75CB13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Podpis oprávněné osoby: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3FC8AD8" w14:textId="77777777" w:rsidR="009F543B" w:rsidRPr="005D6469" w:rsidRDefault="009F543B" w:rsidP="00FE12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65F42D58" w14:textId="77777777" w:rsidR="00B35822" w:rsidRPr="005D6469" w:rsidRDefault="00B35822" w:rsidP="00B35822">
      <w:pPr>
        <w:pStyle w:val="Default"/>
        <w:spacing w:after="120"/>
        <w:rPr>
          <w:sz w:val="22"/>
          <w:szCs w:val="22"/>
        </w:rPr>
      </w:pPr>
    </w:p>
    <w:p w14:paraId="637C6B80" w14:textId="62583744" w:rsidR="00B35822" w:rsidRPr="005D6469" w:rsidRDefault="00B3582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</w:t>
      </w:r>
    </w:p>
    <w:p w14:paraId="3734F8E0" w14:textId="64D72BCC" w:rsidR="00B35822" w:rsidRPr="005D6469" w:rsidRDefault="00B35822" w:rsidP="008A1C9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Obecné informace</w:t>
      </w:r>
    </w:p>
    <w:p w14:paraId="2DB810DF" w14:textId="77777777" w:rsidR="00B51182" w:rsidRPr="005D6469" w:rsidRDefault="00B51182" w:rsidP="008A1C9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02E3239B" w14:textId="5CD6E205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Přijímací řízení do doktorských studijních programů se vyhlašuje pro následující studijní programy uskutečňované na Univerzitě Tomáše Bati ve Zlíně (dále jen „UTB“) </w:t>
      </w:r>
      <w:r w:rsidR="00057B6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spolu s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057B6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Univerzitním institutem (dále jen „UNI“) </w:t>
      </w:r>
      <w:r w:rsidR="00687E4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českém jazyce: </w:t>
      </w:r>
    </w:p>
    <w:p w14:paraId="063C6805" w14:textId="73B59E8E" w:rsidR="00B35822" w:rsidRPr="005D6469" w:rsidRDefault="00B35822" w:rsidP="008A1C9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 xml:space="preserve">1) </w:t>
      </w:r>
      <w:proofErr w:type="spellStart"/>
      <w:r w:rsidRPr="005D6469">
        <w:rPr>
          <w:color w:val="232325"/>
        </w:rPr>
        <w:t>Biomateriály</w:t>
      </w:r>
      <w:proofErr w:type="spellEnd"/>
      <w:r w:rsidRPr="005D6469">
        <w:rPr>
          <w:color w:val="232325"/>
        </w:rPr>
        <w:t xml:space="preserve"> a </w:t>
      </w:r>
      <w:proofErr w:type="spellStart"/>
      <w:r w:rsidRPr="005D6469">
        <w:rPr>
          <w:color w:val="232325"/>
        </w:rPr>
        <w:t>biokompozity</w:t>
      </w:r>
      <w:proofErr w:type="spellEnd"/>
      <w:r w:rsidRPr="005D6469">
        <w:rPr>
          <w:color w:val="232325"/>
        </w:rPr>
        <w:t xml:space="preserve"> (P0711D130023)</w:t>
      </w:r>
    </w:p>
    <w:p w14:paraId="566F3599" w14:textId="504D410C" w:rsidR="00B35822" w:rsidRPr="005D6469" w:rsidRDefault="00B35822" w:rsidP="008A1C9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>2) Nanotechnologie a pokročilé materiály (P0719D130001)</w:t>
      </w:r>
    </w:p>
    <w:p w14:paraId="036807C0" w14:textId="1B2E96AD" w:rsidR="00B35822" w:rsidRPr="005D6469" w:rsidRDefault="00525471" w:rsidP="00B5118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>a v anglickém jazyce:</w:t>
      </w:r>
    </w:p>
    <w:p w14:paraId="2DA4A201" w14:textId="1990937E" w:rsidR="00525471" w:rsidRPr="005D6469" w:rsidRDefault="00525471" w:rsidP="008A1C9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 xml:space="preserve">1) </w:t>
      </w:r>
      <w:proofErr w:type="spellStart"/>
      <w:r w:rsidRPr="005D6469">
        <w:rPr>
          <w:color w:val="232325"/>
        </w:rPr>
        <w:t>Biomaterials</w:t>
      </w:r>
      <w:proofErr w:type="spellEnd"/>
      <w:r w:rsidRPr="005D6469">
        <w:rPr>
          <w:color w:val="232325"/>
        </w:rPr>
        <w:t xml:space="preserve"> and </w:t>
      </w:r>
      <w:proofErr w:type="spellStart"/>
      <w:r w:rsidRPr="005D6469">
        <w:rPr>
          <w:color w:val="232325"/>
        </w:rPr>
        <w:t>Biocomposites</w:t>
      </w:r>
      <w:proofErr w:type="spellEnd"/>
      <w:r w:rsidRPr="005D6469">
        <w:rPr>
          <w:color w:val="232325"/>
        </w:rPr>
        <w:t xml:space="preserve"> (P0711D130024)</w:t>
      </w:r>
    </w:p>
    <w:p w14:paraId="65571973" w14:textId="22060FC2" w:rsidR="00525471" w:rsidRPr="005D6469" w:rsidRDefault="00525471" w:rsidP="008A1C92">
      <w:pPr>
        <w:pStyle w:val="Default"/>
        <w:spacing w:after="120" w:line="360" w:lineRule="auto"/>
        <w:ind w:left="720"/>
        <w:jc w:val="both"/>
        <w:rPr>
          <w:color w:val="232325"/>
        </w:rPr>
      </w:pPr>
      <w:r w:rsidRPr="005D6469">
        <w:rPr>
          <w:color w:val="232325"/>
        </w:rPr>
        <w:t xml:space="preserve">2) </w:t>
      </w:r>
      <w:proofErr w:type="spellStart"/>
      <w:r w:rsidRPr="005D6469">
        <w:rPr>
          <w:color w:val="232325"/>
        </w:rPr>
        <w:t>Nanotechnology</w:t>
      </w:r>
      <w:proofErr w:type="spellEnd"/>
      <w:r w:rsidRPr="005D6469">
        <w:rPr>
          <w:color w:val="232325"/>
        </w:rPr>
        <w:t xml:space="preserve"> and </w:t>
      </w:r>
      <w:proofErr w:type="spellStart"/>
      <w:r w:rsidRPr="005D6469">
        <w:rPr>
          <w:color w:val="232325"/>
        </w:rPr>
        <w:t>Advanced</w:t>
      </w:r>
      <w:proofErr w:type="spellEnd"/>
      <w:r w:rsidRPr="005D6469">
        <w:rPr>
          <w:color w:val="232325"/>
        </w:rPr>
        <w:t xml:space="preserve"> </w:t>
      </w:r>
      <w:proofErr w:type="spellStart"/>
      <w:r w:rsidRPr="005D6469">
        <w:rPr>
          <w:color w:val="232325"/>
        </w:rPr>
        <w:t>materials</w:t>
      </w:r>
      <w:proofErr w:type="spellEnd"/>
      <w:r w:rsidRPr="005D6469">
        <w:rPr>
          <w:color w:val="232325"/>
        </w:rPr>
        <w:t xml:space="preserve"> (P0719D130002)</w:t>
      </w:r>
    </w:p>
    <w:p w14:paraId="54D52CA7" w14:textId="5A76FD72" w:rsidR="00B35822" w:rsidRPr="005D6469" w:rsidRDefault="00B35822" w:rsidP="00B51182">
      <w:pPr>
        <w:pStyle w:val="Default"/>
        <w:spacing w:after="120" w:line="360" w:lineRule="auto"/>
        <w:ind w:firstLine="720"/>
      </w:pPr>
      <w:r w:rsidRPr="005D6469">
        <w:t>(dále jen „doktorské studijní programy“)</w:t>
      </w:r>
    </w:p>
    <w:p w14:paraId="23A4D6F0" w14:textId="057BE2C8" w:rsidR="00116CD7" w:rsidRPr="005D6469" w:rsidRDefault="00116CD7" w:rsidP="00B51182">
      <w:pPr>
        <w:pStyle w:val="Default"/>
        <w:spacing w:after="120" w:line="360" w:lineRule="auto"/>
        <w:ind w:left="720"/>
        <w:jc w:val="both"/>
      </w:pPr>
      <w:r w:rsidRPr="005D6469">
        <w:t>v souladu s § 48 až 50 zákona č. 111/1998 Sb., o vysokých školách a o změně a doplnění dalších zákonů</w:t>
      </w:r>
      <w:r w:rsidR="00CF4D59" w:rsidRPr="005D6469">
        <w:t xml:space="preserve"> (zákon o vysokých školách), ve znění pozdějších předpisů,</w:t>
      </w:r>
      <w:r w:rsidRPr="005D6469">
        <w:t xml:space="preserve"> (dále jen „zákon“) a v souladu s pravidly pro přijímací řízení a podmínkami pro přijetí ke</w:t>
      </w:r>
      <w:r w:rsidR="00C45F72" w:rsidRPr="005D6469">
        <w:t> </w:t>
      </w:r>
      <w:r w:rsidRPr="005D6469">
        <w:t>studiu uvedenými ve Statutu UTB.</w:t>
      </w:r>
    </w:p>
    <w:p w14:paraId="111EF3E3" w14:textId="6E2B7233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(2) Za správnost a úplnost informací na adrese https://www.utb.cz/veda-a-vyzkum/ph-d-studium odpovídá pověřený prorektor.</w:t>
      </w:r>
    </w:p>
    <w:p w14:paraId="59C8AEF5" w14:textId="341A2699" w:rsidR="0045291A" w:rsidRPr="005D6469" w:rsidRDefault="00B3582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lastRenderedPageBreak/>
        <w:t>Článek 2</w:t>
      </w:r>
    </w:p>
    <w:p w14:paraId="04AAB6D6" w14:textId="7449C35D" w:rsidR="00B35822" w:rsidRPr="005D6469" w:rsidRDefault="00B3582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Podmínky pro přihlášení uchazeče</w:t>
      </w:r>
    </w:p>
    <w:p w14:paraId="4CD8B48E" w14:textId="77777777" w:rsidR="00B51182" w:rsidRPr="005D6469" w:rsidRDefault="00B5118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1D5735C1" w14:textId="21425E92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Přihlášku ke studiu pro doktorské studijní programy mohou podávat uchazeči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 studium (dále jen „uchazeč“)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kteří úspěšně ukončili vysokoškolské vzdělání v magisterském studijním programu, nebo jsou studenty posledního ročníku magisterského studijního programu na vysoké škole s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předpokladem, že studium řádně ukončí před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zahájením doktorského studia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okud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státní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závěrečná zkouška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uchazeče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proběhne až po 1. termínu přijímací zkoušky, může si uchazeč podat přihlášku na 2.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termín přijímacího řízení za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předpokladu, že bude mít studium magisterského studijního programu do tohoto termínu řádně ukončeno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Uchazeči, kteří úspěšně ukončili vysokoškolské vzdělání v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magisterském studijním programu na zahraniční vysoké škole (mimo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vysoké školy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Slovenské republiky), postupují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dále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BE59AA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v souladu se zákonem a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dle směrnice rektora, upravující uznávání zahraničního středoškolského a vysokoškolského vzdělání a kvalifikace. Přihlášky ke</w:t>
      </w:r>
      <w:r w:rsidR="00BE59A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studiu pro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uvedené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doktorské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studijní programy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jsou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přijímá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ny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elektronickou formou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to je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podáním elektronické přihlášky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 „e-přihláška“)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prostřednictvím elektronického informačního systému UTB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– viz odstavec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Lhůta pro</w:t>
      </w:r>
      <w:r w:rsidR="000E5E2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podávání přihlášek je zveřejněna ve veřejné části internetových stránek UTB na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https://www.utb.cz/veda-a-vyzkum/ph-d-studium/celoskolske-doktorske-studijni-programy/prijimaci-rizeni/.</w:t>
      </w:r>
    </w:p>
    <w:p w14:paraId="2107E967" w14:textId="5E1C13C5" w:rsidR="00B35822" w:rsidRPr="005D6469" w:rsidRDefault="00B35822" w:rsidP="00B51182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Pro daný akademický rok jsou termíny pro podávání přihlášek </w:t>
      </w:r>
      <w:r w:rsidR="00EB1D6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zpravidla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stanoveny následovně:</w:t>
      </w:r>
    </w:p>
    <w:p w14:paraId="43713707" w14:textId="04F12765" w:rsidR="00B35822" w:rsidRPr="005D6469" w:rsidRDefault="004F4096" w:rsidP="00B51182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kolo přijímacího řízení – do </w:t>
      </w:r>
      <w:r w:rsidR="00D0106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31. května 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předchozího akademického roku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65F41191" w14:textId="7E251FC5" w:rsidR="009375EB" w:rsidRPr="005D6469" w:rsidRDefault="004F4096" w:rsidP="00B51182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kolo přijímacího řízení </w:t>
      </w:r>
      <w:r w:rsidR="693901F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F950E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0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září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daného akademického roku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6958F250" w14:textId="7CBCA0FF" w:rsidR="00B35822" w:rsidRPr="005D6469" w:rsidRDefault="009375EB" w:rsidP="00B51182">
      <w:pPr>
        <w:pStyle w:val="Odstavecseseznamem"/>
        <w:spacing w:after="12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3. kolo přijímacího řízení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 do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31.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ledna</w:t>
      </w:r>
      <w:r w:rsidR="00D0106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daného akademického roku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1454E10C" w14:textId="47FBF81D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E-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přihlášku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lze podat na 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internetové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adrese www.eprihlaska.utb.cz. Při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vyplňování e</w:t>
      </w:r>
      <w:r w:rsidR="00A3695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noBreakHyphen/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přihlášky si uchazeč volí studijní program, předběžně vybrané téma disertační práce, školitele a formu studia (prezenční nebo kombinovanou). Témata jsou zveřejněna na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stránkách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https://www.utb.cz/veda-a-vyzkum/ph-d-studium/celoskolske-doktorske-studijni-programy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1A230058" w14:textId="63604601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(3) Uchazeč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je povinen bezodkladně po podání e-přihlášky (nejpozději však do mezního termínu pro podání e-přihlášky) uhradit poplatek za úkony spojené s přijímacím řízením (dále jen „poplatek“), který je nevratný a je stanoven v souladu s příslušnými ustanoveními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zákona</w:t>
      </w:r>
      <w:r w:rsidR="0039627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čl. 13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Statutu UTB. Výše poplatku společně s detaily pro platbu je uveřejněna na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webových stránkách https://www.utb.cz/veda-a-vyzkum/ph-d-studium/celoskolske-doktorske-studijni-programy/prijimaci-rizeni/. V případě nejasností je možno kontaktovat </w:t>
      </w:r>
      <w:r w:rsidR="009323A6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oddělení vzdělávací a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studijní </w:t>
      </w:r>
      <w:r w:rsidR="009323A6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agendy UNI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 doplňující informace (email: studium-phd@cps.utb.cz)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051D3EFA" w14:textId="46063A7B" w:rsidR="00C45F72" w:rsidRPr="0090420C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(4) </w:t>
      </w:r>
      <w:r w:rsidR="002F4EB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Pokud </w:t>
      </w:r>
      <w:r w:rsidR="002F4EB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chazeč neuhradí výše uvedený poplatek,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platí, že vzal přihlášku ke studiu zpět. Přijímací řízení bude v takovém případě zastaveno a usnesení o zastavení přijímacího řízení bude uchazeči doručeno prostřednictvím elektronického informačního systému UTB.</w:t>
      </w:r>
    </w:p>
    <w:p w14:paraId="55582DE4" w14:textId="105B8DA1" w:rsidR="002E40C7" w:rsidRPr="0090420C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(5)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Uchazeč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 doktorského studijního programu v českém jazyce </w:t>
      </w:r>
      <w:r w:rsidR="008F6DF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rámci e-přihlášky doloží</w:t>
      </w:r>
      <w:r w:rsidR="002E40C7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nahráním elektronických příloh 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e-přihlášky</w:t>
      </w:r>
      <w:r w:rsidR="002E40C7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</w:p>
    <w:p w14:paraId="712EB55F" w14:textId="77777777" w:rsidR="002E40C7" w:rsidRPr="0090420C" w:rsidRDefault="00C45F72" w:rsidP="002E40C7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E40C7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životopis, </w:t>
      </w:r>
    </w:p>
    <w:p w14:paraId="7F32D2CC" w14:textId="7A4E530E" w:rsidR="002E40C7" w:rsidRPr="0090420C" w:rsidRDefault="002E40C7" w:rsidP="002E40C7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="002F4EB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motivační dopis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(v délce 1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 strany)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</w:p>
    <w:p w14:paraId="23804DE7" w14:textId="29D52996" w:rsidR="0035562E" w:rsidRPr="0090420C" w:rsidRDefault="002E40C7" w:rsidP="003E5300">
      <w:pPr>
        <w:pStyle w:val="Odstavecseseznamem"/>
        <w:spacing w:after="12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</w:t>
      </w:r>
      <w:r w:rsidR="00025FEA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doklad o dosavadní odborné publikační či obdobné činnosti v oblasti odpovídající zvolenému programu, účasti na</w:t>
      </w:r>
      <w:r w:rsidR="009323A6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vědeckých konferencích a případně doklad o jazykových znalostech</w:t>
      </w:r>
      <w:r w:rsidR="00B73496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anglickém jazyce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711DAF56" w14:textId="335FA2D5" w:rsidR="002E40C7" w:rsidRPr="0090420C" w:rsidRDefault="0035562E" w:rsidP="0035562E">
      <w:p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 dále uchazeč po uhrazení poplatku doručí na organizační součást UNI Centrum polymerních systémů (Centrum polymerních systému, UTB ve Zlíně, třída Tomáše Bati 5678, 760 01 Zlín, případně elektronicky na studium-phd@cps.utb.cz) úředně ověřenou kopii vysokoškolského diplomu </w:t>
      </w:r>
      <w:r w:rsidR="00B73496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(v případě uchazeče posledního ročníku magisterského studijního programu sdělí předpokládaný termín státní závěrečné zkoušky a před vydáním rozhodnutí o přijetí ke studiu dodá úředně ověřenou kopii vysokoškolského diplomu)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770DF042" w14:textId="0D732C86" w:rsidR="007E048E" w:rsidRPr="0090420C" w:rsidRDefault="007E048E" w:rsidP="009F2191">
      <w:pPr>
        <w:pStyle w:val="Odstavecseseznamem"/>
        <w:spacing w:after="12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(6) Uchazeč do doktorského studijního programu v anglickém jazyce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který řádně ukončil studium v magisterském studijním programu na zahraniční vysoké škole 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EE5D8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mimo vysoké školy Slovenské republiky, Polské republiky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EE5D8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Maďarské republiky, Slovinské republiky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postupuj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dle směrnice rektora</w:t>
      </w:r>
      <w:r w:rsidR="001D35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SR/16/2025 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„Podmínky pro uznání zahraničního vysokoškolského vzdělání a kvalifikace na Univerzitě Tomáše Bati ve Zlíně“ nebo dle směrnice rektora</w:t>
      </w:r>
      <w:r w:rsidR="001D35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SR/28/2023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„Pravidla pro posuzování zahraničního středoškolského a</w:t>
      </w:r>
      <w:r w:rsidR="00A3695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vysokoškolského vzdělání v rámci přijímacího řízení na Univerzitě Tomáše Bati ve Zlíně“  </w:t>
      </w:r>
      <w:r w:rsidR="009F219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 v 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rámci e-přihlášky doloží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nahráním elektronických příloh e-přihlášky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</w:p>
    <w:p w14:paraId="2F24295E" w14:textId="6F155E96" w:rsidR="00CA725F" w:rsidRPr="0090420C" w:rsidRDefault="00CA725F" w:rsidP="009F2191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 úředně ověřenou kopii vysokoškolského diplomu včetně příloh (</w:t>
      </w:r>
      <w:proofErr w:type="spellStart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Diploma</w:t>
      </w:r>
      <w:proofErr w:type="spellEnd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Supplement</w:t>
      </w:r>
      <w:proofErr w:type="spellEnd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nebo výpis výsledků studia), přeloženou do českého nebo anglického jazyka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33A754B8" w14:textId="3EC744B6" w:rsidR="000530D0" w:rsidRPr="0090420C" w:rsidRDefault="000530D0" w:rsidP="000530D0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- doklad o uznání zahraničního vysokoškolského vzdělání vydaný příslušným orgánem v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České republice nebo doklad o posouzení zahraničního vysokoškolského vzdělání v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rámci přijímacího řízení na Univerzitě Tomáše bati ve Zlíně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444BD189" w14:textId="77777777" w:rsidR="007E048E" w:rsidRPr="0090420C" w:rsidRDefault="007E048E" w:rsidP="007E048E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 životopis,</w:t>
      </w:r>
    </w:p>
    <w:p w14:paraId="73789D17" w14:textId="3D1A8E06" w:rsidR="007E048E" w:rsidRPr="0090420C" w:rsidRDefault="002E40C7" w:rsidP="007E048E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motivační dopis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(v délce 1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 strany)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3795E64A" w14:textId="1DCF634F" w:rsidR="007E048E" w:rsidRPr="0090420C" w:rsidRDefault="002E40C7" w:rsidP="000530D0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doklad o dosavadní odborné publikační či obdobné činnosti v oblasti odpovídající zvolenému programu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účasti na vědeckých konferencích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0BD1F88A" w14:textId="3DECDD70" w:rsidR="007E048E" w:rsidRPr="0090420C" w:rsidRDefault="000530D0" w:rsidP="00025FEA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doklad o jazykových znalostech v anglickém jazyce na úrovni minimálně B2 nebo vyšším dle 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Společného evropského referenčního rámce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25FEA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 jazyky</w:t>
      </w:r>
      <w:r w:rsidR="005D617D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04DC4DBA" w14:textId="68A0063C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9F219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1A708A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Pokud uchazeč nedodá všechny materiály nebo pokud bude přihláška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uchazeče vykazovat jiné nedostatky, bude uchazeč vyzván prostřednictvím elektronického informačního systému UTB k jejich odstranění a bude mu k tomuto poskytnuta přiměřená lhůta. Pokud uchazeč nedoplní přihlášku či neodstraní výše uvedené nedostatky přihlášky ani v takto dodatečně poskytnuté lhůtě, přijímací řízení bude zastaveno. Rozhodnutí o zastavení přijímacího řízení bude uchazeči doručeno prostřednictvím elektronického informačního systému UTB.</w:t>
      </w:r>
    </w:p>
    <w:p w14:paraId="129E9112" w14:textId="77050DDF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9F219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8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Přihlášen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uchazeč bud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písemně 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pozván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k účasti na přijímací zkoušce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prostřednictvím elektronického informačního systému UTB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Pokud bude uchazeči známo s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předstihem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(minimálně 5 pracovních dnů před zveřejněným termínem konání přijímací zkoušky)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že se z objektivních důvodů nemůže dostavit osobně k pohovoru během přijímací zkoušky (např. 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 důvodu 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pobyt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mimo ČR v termínu konání přijímací zkoušky), může mu být po schválení předsed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ou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přijímací komise umožněna účast na tomto pohovoru</w:t>
      </w:r>
      <w:r w:rsidR="008040A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formou přímého kontaktu uchazeče s přijímací komisí (videohovor)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případě řádně odůvodněné </w:t>
      </w:r>
      <w:r w:rsidR="00416DB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omluvy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uchazeče bude na žádost uchazeče stanoven náhradní termín příjímací zkoušky. Zdůvodnění </w:t>
      </w:r>
      <w:r w:rsidR="00416DB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omluvy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 přijímací zkoušce je třeba doložit nejpozději 5 pracovních dnů po jejím konání. O </w:t>
      </w:r>
      <w:r w:rsidR="00416DB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přijetí omluvy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rozhoduje předseda přijímací komise.</w:t>
      </w:r>
    </w:p>
    <w:p w14:paraId="25891F75" w14:textId="3DE0151D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9F219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9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Přijímací zkoušku nelze prominout.</w:t>
      </w:r>
    </w:p>
    <w:p w14:paraId="01B5D639" w14:textId="18888B7F" w:rsidR="00B35822" w:rsidRPr="005D6469" w:rsidRDefault="00B35822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3</w:t>
      </w:r>
    </w:p>
    <w:p w14:paraId="78723520" w14:textId="78A3529B" w:rsidR="00B35822" w:rsidRPr="005D6469" w:rsidRDefault="00B35822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Přijímací komise</w:t>
      </w:r>
    </w:p>
    <w:p w14:paraId="2CA502CA" w14:textId="77777777" w:rsidR="009323A6" w:rsidRPr="005D6469" w:rsidRDefault="009323A6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320DB2E3" w14:textId="71EC1BE1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Přijímací komise, jmenovaná </w:t>
      </w:r>
      <w:r w:rsidR="00FA48F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ředitelem UNI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 návrh příslušné </w:t>
      </w:r>
      <w:r w:rsidR="00FE6B3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borové rady</w:t>
      </w:r>
      <w:r w:rsidR="70DBFF0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řídí průběh přijímací zkoušky. Počet členů přijímací komise je minimálně pět. Předsedou přijímací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komise je garant studijního programu. Dalšími členy komise jsou školitelé, kteří vypsali téma, které si uchazeč zvolil, a další odborníci z řad docentů a profesorů.</w:t>
      </w:r>
    </w:p>
    <w:p w14:paraId="506D058F" w14:textId="527A258C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Přijímací komise hodnotí předpoklady uchazečů pro doktorské studium na základě výsledků přijímací zkoušky, vypracovává zprávu z průběhu přijímací zkoušky obsahující hodnocení uchazečů, a navrhuje rektorovi 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UTB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přijetí uchazečů.</w:t>
      </w:r>
    </w:p>
    <w:p w14:paraId="017B1F63" w14:textId="077D2C19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(3) Přijímací komise je usnášeníschopná, jsou-li přítomny alespoň tři pětiny ze všech jmenovaných členů.</w:t>
      </w:r>
    </w:p>
    <w:p w14:paraId="6B6FC3AC" w14:textId="68116437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(4) Jednání přijímací komise je neveřejné.</w:t>
      </w:r>
    </w:p>
    <w:p w14:paraId="39B28BDB" w14:textId="48CCA590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(5) Usnesení komise se provádí hlasováním, přičemž pro přijetí usnesení je zapotřebí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většiny všech přítomných členů komise.</w:t>
      </w:r>
    </w:p>
    <w:p w14:paraId="01B3604B" w14:textId="64031CF3" w:rsidR="00C640A5" w:rsidRPr="005D6469" w:rsidRDefault="00C640A5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4</w:t>
      </w:r>
    </w:p>
    <w:p w14:paraId="5981CF86" w14:textId="30A9FAC3" w:rsidR="00C640A5" w:rsidRPr="005D6469" w:rsidRDefault="00C640A5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Přijímací zkouška</w:t>
      </w:r>
    </w:p>
    <w:p w14:paraId="0405CE47" w14:textId="77777777" w:rsidR="009323A6" w:rsidRPr="005D6469" w:rsidRDefault="009323A6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11AC2502" w14:textId="09F67590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Přijímací zkouška je nedílnou součástí procesu přijímacího řízení.</w:t>
      </w:r>
    </w:p>
    <w:p w14:paraId="7DB9D3E9" w14:textId="0DEDDE62" w:rsidR="00830857" w:rsidRPr="005D6469" w:rsidRDefault="00B35822" w:rsidP="00830857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Termíny konání přijímacích zkoušek pro daný akademický rok stanovuje </w:t>
      </w:r>
      <w:r w:rsidR="00A2210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ředitel UNI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A3695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bud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ou 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zveřejně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ny na webových stránkách 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https://www.utb.cz/veda-a-vyzkum/ph-d-studium/celoskolske-doktorske-studijni-programy/prijimaci-rizeni/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nejpozději v poslední den lhůty pro podání přihlášek ke studiu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daném kole přijímacího řízení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6D9B5CD4" w14:textId="1C988B5E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(3) </w:t>
      </w:r>
      <w:r w:rsidR="00B3673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Přijímací zkouška se zaměřuje na zjištění předpokladů a motivace uchazeče pro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B3673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samostatnou tvůrčí činnost v daném studijním </w:t>
      </w:r>
      <w:r w:rsidR="00C43C1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program</w:t>
      </w:r>
      <w:r w:rsidR="00B3673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 a na zjištění úrovně odborných znalostí.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Přijímací zkouška se skládá z</w:t>
      </w:r>
      <w:r w:rsidR="0052014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CE2305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ověření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znalostí z jazyka anglického</w:t>
      </w:r>
      <w:r w:rsidR="00D167E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zhodnocení předchozího studia</w:t>
      </w:r>
      <w:r w:rsidR="00A2210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dle studijního průměru v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magisterském studijním programu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A2210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="009A3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části ústní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která má za cíl ověřit znalosti uchazeče v oblasti zaměření daného studijního programu </w:t>
      </w:r>
      <w:r w:rsidR="009F5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zv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olené</w:t>
      </w:r>
      <w:r w:rsidR="009F5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ho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téma</w:t>
      </w:r>
      <w:r w:rsidR="009F5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disertační práce</w:t>
      </w:r>
      <w:r w:rsidR="009A3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také </w:t>
      </w:r>
      <w:r w:rsidR="009A3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dřívější tvůrčí činnosti uchazeče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Tvůrčí činnosti budou hodnoceny na základě hodnověrných dokladů o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odborné nebo vědecké činnosti, či výstupů z praxe, které uchazeč k přihlášce přiloží, a to s ohledem na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délku kariéry a praxi uchazeče.</w:t>
      </w:r>
      <w:r w:rsidR="00EC6EB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 tohoto hodnocení spadá také diplomová práce uchazeče, kde se hodnotí její zaměření s ohledem na studijní program, a její celková kvalita.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Zkušební komise na základě pohovoru</w:t>
      </w:r>
      <w:r w:rsidR="00EC6EB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 uchazečem o předložených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C6EB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výstupech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přidělí body až do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maximálního počtu bodů definovaného v Příloze 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č.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1.</w:t>
      </w:r>
    </w:p>
    <w:p w14:paraId="2A6E0A2F" w14:textId="18585608" w:rsidR="0010541D" w:rsidRPr="005D6469" w:rsidRDefault="0010541D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462DBD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Pro sestavení pořadí se jednotlivým posuzovaným kategoriím přidělí bodové hodnocení podle </w:t>
      </w:r>
      <w:r w:rsidR="00F61E25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Přílohy</w:t>
      </w:r>
      <w:r w:rsidR="0052014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1.</w:t>
      </w:r>
    </w:p>
    <w:p w14:paraId="502101FC" w14:textId="7EB4C1ED" w:rsidR="00D36D71" w:rsidRPr="005D6469" w:rsidRDefault="0010541D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případě rovnosti bodů více uchazečů rozhodne o pořadí vyšší bodový zisk uchazeče v posloupnosti hodnocených kritérií: a) hodnocení 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ústního pohovoru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zkušební komise</w:t>
      </w:r>
      <w:r w:rsidR="00A77FD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A77FD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studijní výsled</w:t>
      </w:r>
      <w:r w:rsidR="00DF280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ky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ve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druhém stupni studia</w:t>
      </w:r>
      <w:r w:rsidR="000D5E1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7AF48FFF" w14:textId="1D841ACC" w:rsidR="000C6A9A" w:rsidRPr="005D6469" w:rsidRDefault="0010541D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 doktorské studium může být přijat uchazeč, který dosáhne alespoň 50 % z maximálního možného počtu bodů v</w:t>
      </w:r>
      <w:r w:rsidR="0064706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hodnocení ústní zkoušky</w:t>
      </w:r>
      <w:r w:rsidR="000C6A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30FE50D0" w14:textId="019914EF" w:rsidR="00130908" w:rsidRPr="005D6469" w:rsidRDefault="00130908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Na doktorské studium může být přijat uchazeč, který dosáhne alespoň 50 % z maximálního možného počtu bodů v hodnocení zkoušky z anglického jazyka.</w:t>
      </w:r>
    </w:p>
    <w:p w14:paraId="0947D90D" w14:textId="5F5F0DFD" w:rsidR="00D36D71" w:rsidRPr="005D6469" w:rsidRDefault="000C6A9A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8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Pokud uchazeč dosáhne méně než 50 % </w:t>
      </w:r>
      <w:r w:rsidR="0013090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maximálního počtu bodů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</w:t>
      </w:r>
      <w:r w:rsidR="0013090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ústní části zkoušky</w:t>
      </w:r>
      <w:r w:rsidR="0025501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nebo v hodnocení zkoušky z anglického jazyka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je výsledek jeho přijímací zkoušky hodnocen jako „nevyhověl“. Takový uchazeč je nepřijat z důvodu nesplnění podmínek přijímací zkoušky.</w:t>
      </w:r>
    </w:p>
    <w:p w14:paraId="3A363CE4" w14:textId="198CE862" w:rsidR="00D36D71" w:rsidRPr="005D6469" w:rsidRDefault="00DD4D56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9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 výsledku přijímací zkoušky se vyhotoví zápis.</w:t>
      </w:r>
    </w:p>
    <w:p w14:paraId="5F276C64" w14:textId="65E5CD91" w:rsidR="00F04CEA" w:rsidRPr="005D6469" w:rsidRDefault="002B1FC9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0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P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ořadí přijatých uchazečů bude sestaveno na základě dosažených bodů.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Přijati budou ti uchazeči, kteří prokázali nejvyšší míru schopností ke studiu.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75648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Maximální 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počet </w:t>
      </w:r>
      <w:r w:rsidR="008576B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přijatých studentů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daném 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akademickém 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roce</w:t>
      </w:r>
      <w:r w:rsidR="008576B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bude stanoven pokynem ředitele</w:t>
      </w:r>
      <w:r w:rsidR="007E12A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5E424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zveřejněn na internetových stránkách UNI v souladu se zákonem</w:t>
      </w:r>
      <w:r w:rsidR="008576B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7C4530FD" w14:textId="66C18078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 výsledkem přijímací zkoušky budou uchazeči seznámeni prostřednictvím rozhodnutí neprodleně po jeho schválení rektorem, a to prostřednictvím elektronického informačního systému UTB. Rozhodnutí je doručeno okamžikem, kdy se po zpřístupnění rozhodnutí uchazeči v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elektronickém informačním systému UTB uchazeč do uvedeného systému přihlásí. Nepřihlásí-li se do něj ve lhůtě 10 dnů ode dne, kdy mu bylo rozhodnutí v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elektronickém informačním systému UTB zpřístupněno, považuje se toto rozhodnutí za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doručené posledním dnem této lhůty.</w:t>
      </w:r>
    </w:p>
    <w:p w14:paraId="13EBCD41" w14:textId="5361438D" w:rsidR="005B20CF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Uchazeč se může odvolat proti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rozhodnutí podle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čl. 10 odst. 8 a 9 Statutu UTB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03734C40" w14:textId="55694DF1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7E12A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Uchazeči mají právo v souladu s § 50 odst. 5 zákona nahlížet do spisu uchazeče týkajícího se přijímacího řízení až po oznámení rozhodnutí.</w:t>
      </w:r>
    </w:p>
    <w:p w14:paraId="10D8579C" w14:textId="0F5A538D" w:rsidR="00B35822" w:rsidRPr="005D6469" w:rsidRDefault="00B35822" w:rsidP="00DC59C8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5</w:t>
      </w:r>
    </w:p>
    <w:p w14:paraId="0648E680" w14:textId="77231AC2" w:rsidR="00B35822" w:rsidRPr="005D6469" w:rsidRDefault="00B35822" w:rsidP="00DC59C8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Zápis do studia</w:t>
      </w:r>
    </w:p>
    <w:p w14:paraId="18C6788B" w14:textId="77777777" w:rsidR="00DC59C8" w:rsidRPr="005D6469" w:rsidRDefault="00DC59C8" w:rsidP="00DC59C8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648803D" w14:textId="151D5408" w:rsidR="00B35822" w:rsidRPr="005D6469" w:rsidRDefault="00B35822" w:rsidP="00DC59C8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Termín zápisu do studia bude uchazečům sdělen v rozhodnutí o přijetí ke studiu.</w:t>
      </w:r>
    </w:p>
    <w:p w14:paraId="17FD1A74" w14:textId="14823495" w:rsidR="00B35822" w:rsidRPr="005D6469" w:rsidRDefault="00B35822" w:rsidP="00A3695F">
      <w:pPr>
        <w:keepNext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lastRenderedPageBreak/>
        <w:t xml:space="preserve">Článek </w:t>
      </w:r>
      <w:r w:rsidR="005A3C57"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6</w:t>
      </w:r>
    </w:p>
    <w:p w14:paraId="63EC94F4" w14:textId="29BA4AC9" w:rsidR="00B35822" w:rsidRPr="005D6469" w:rsidRDefault="00B35822" w:rsidP="00A3695F">
      <w:pPr>
        <w:keepNext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Závěrečná ustanovení</w:t>
      </w:r>
    </w:p>
    <w:p w14:paraId="6AD3BE89" w14:textId="77777777" w:rsidR="00357011" w:rsidRPr="005D6469" w:rsidRDefault="00357011" w:rsidP="00A3695F">
      <w:pPr>
        <w:keepNext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37A1CADD" w14:textId="77777777" w:rsidR="00357011" w:rsidRPr="005D6469" w:rsidRDefault="00357011" w:rsidP="00A3695F">
      <w:pPr>
        <w:pStyle w:val="Odstavecseseznamem"/>
        <w:keepNext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>Bodové hodnocení příjímací zkoušky je uvedeno v Příloze č. 1.</w:t>
      </w:r>
    </w:p>
    <w:p w14:paraId="43CFE916" w14:textId="3F40E616" w:rsidR="00357011" w:rsidRPr="005D6469" w:rsidRDefault="00357011" w:rsidP="00357011">
      <w:pPr>
        <w:pStyle w:val="Odstavecseseznamem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>Tato směrnice nahrazuje Směrnic</w:t>
      </w:r>
      <w:r w:rsidR="00D074A2" w:rsidRPr="005D646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rektora SR/15/2024</w:t>
      </w:r>
      <w:r w:rsidR="00D074A2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a SR/16/2024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61B330E" w14:textId="69A1447A" w:rsidR="00B35822" w:rsidRPr="005D6469" w:rsidRDefault="00B35822" w:rsidP="00357011">
      <w:pPr>
        <w:pStyle w:val="Odstavecseseznamem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Tato směrnice byla schválena Akademickým senátem UTB dne </w:t>
      </w:r>
      <w:r w:rsidR="00357011" w:rsidRPr="005D646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2A174A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57011" w:rsidRPr="005D6469">
        <w:rPr>
          <w:rFonts w:ascii="Times New Roman" w:hAnsi="Times New Roman" w:cs="Times New Roman"/>
          <w:sz w:val="24"/>
          <w:szCs w:val="24"/>
          <w:lang w:val="cs-CZ"/>
        </w:rPr>
        <w:t>června</w:t>
      </w:r>
      <w:r w:rsidR="002A174A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2026.</w:t>
      </w:r>
    </w:p>
    <w:p w14:paraId="6ACCDB41" w14:textId="3561FD6F" w:rsidR="00357011" w:rsidRDefault="00357011" w:rsidP="0090420C">
      <w:pPr>
        <w:pStyle w:val="Odstavecseseznamem"/>
        <w:numPr>
          <w:ilvl w:val="0"/>
          <w:numId w:val="2"/>
        </w:numPr>
        <w:spacing w:after="5520" w:line="36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Tato směrnice nabývá platnosti a účinnosti dnem jejího </w:t>
      </w:r>
      <w:r w:rsidR="007409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zveřejnění na úřední desce UNI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tbl>
      <w:tblPr>
        <w:tblStyle w:val="TableNormal1"/>
        <w:tblW w:w="9215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5"/>
      </w:tblGrid>
      <w:tr w:rsidR="0090420C" w:rsidRPr="00186E12" w14:paraId="7905EC39" w14:textId="77777777" w:rsidTr="004520BA">
        <w:trPr>
          <w:trHeight w:hRule="exact" w:val="306"/>
        </w:trPr>
        <w:tc>
          <w:tcPr>
            <w:tcW w:w="9215" w:type="dxa"/>
            <w:gridSpan w:val="4"/>
            <w:tcBorders>
              <w:top w:val="double" w:sz="4" w:space="0" w:color="auto"/>
              <w:left w:val="double" w:sz="4" w:space="0" w:color="auto"/>
              <w:bottom w:val="single" w:sz="7" w:space="0" w:color="000000"/>
              <w:right w:val="double" w:sz="4" w:space="0" w:color="auto"/>
            </w:tcBorders>
          </w:tcPr>
          <w:p w14:paraId="2C4F4B3B" w14:textId="77777777" w:rsidR="0090420C" w:rsidRPr="00186E12" w:rsidRDefault="0090420C" w:rsidP="0090420C">
            <w:pPr>
              <w:pStyle w:val="TableParagraph"/>
              <w:spacing w:before="12" w:line="276" w:lineRule="auto"/>
              <w:ind w:left="360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Verze </w:t>
            </w: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dokumentu</w:t>
            </w:r>
          </w:p>
        </w:tc>
      </w:tr>
      <w:tr w:rsidR="0090420C" w:rsidRPr="00186E12" w14:paraId="02971AE8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73444615" w14:textId="77777777" w:rsidR="0090420C" w:rsidRPr="00186E12" w:rsidRDefault="0090420C" w:rsidP="00D3760D">
            <w:pPr>
              <w:pStyle w:val="TableParagraph"/>
              <w:spacing w:line="276" w:lineRule="auto"/>
              <w:ind w:left="799" w:righ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Datum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18BBE" w14:textId="77777777" w:rsidR="0090420C" w:rsidRPr="00186E12" w:rsidRDefault="0090420C" w:rsidP="004520BA">
            <w:pPr>
              <w:pStyle w:val="TableParagraph"/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Verze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AB217" w14:textId="77777777" w:rsidR="0090420C" w:rsidRPr="00186E12" w:rsidRDefault="0090420C" w:rsidP="004520BA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Změněno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27AF13CB" w14:textId="77777777" w:rsidR="0090420C" w:rsidRPr="00186E12" w:rsidRDefault="0090420C" w:rsidP="00D3760D">
            <w:pPr>
              <w:pStyle w:val="TableParagraph"/>
              <w:spacing w:line="276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Popis změny</w:t>
            </w:r>
          </w:p>
        </w:tc>
      </w:tr>
      <w:tr w:rsidR="0090420C" w:rsidRPr="00186E12" w14:paraId="2C2DB263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79EFE6AF" w14:textId="77777777" w:rsidR="0090420C" w:rsidRPr="0001743E" w:rsidRDefault="0090420C" w:rsidP="00D3760D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7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2026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1AE75" w14:textId="77777777" w:rsidR="0090420C" w:rsidRPr="0001743E" w:rsidRDefault="0090420C" w:rsidP="00D3760D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01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E71AE" w14:textId="77777777" w:rsidR="0090420C" w:rsidRPr="0001743E" w:rsidRDefault="0090420C" w:rsidP="004520BA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Ředitel UNI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659BFC5F" w14:textId="77777777" w:rsidR="0090420C" w:rsidRPr="0001743E" w:rsidRDefault="0090420C" w:rsidP="00D3760D">
            <w:pPr>
              <w:pStyle w:val="TableParagraph"/>
              <w:spacing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Vytvoření</w:t>
            </w: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dokumentu</w:t>
            </w:r>
          </w:p>
        </w:tc>
      </w:tr>
      <w:tr w:rsidR="004520BA" w:rsidRPr="00186E12" w14:paraId="5E45CA9E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3BF29331" w14:textId="77777777" w:rsidR="004520BA" w:rsidRPr="0001743E" w:rsidRDefault="004520BA" w:rsidP="00D3760D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58E39" w14:textId="77777777" w:rsidR="004520BA" w:rsidRPr="0001743E" w:rsidRDefault="004520BA" w:rsidP="00D3760D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E0F3A" w14:textId="77777777" w:rsidR="004520BA" w:rsidRPr="0001743E" w:rsidRDefault="004520BA" w:rsidP="004520B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360AFAD7" w14:textId="77777777" w:rsidR="004520BA" w:rsidRPr="0001743E" w:rsidRDefault="004520BA" w:rsidP="00D3760D">
            <w:pPr>
              <w:pStyle w:val="TableParagraph"/>
              <w:spacing w:line="276" w:lineRule="auto"/>
              <w:ind w:left="87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</w:tr>
      <w:tr w:rsidR="004520BA" w:rsidRPr="00186E12" w14:paraId="577B1077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single" w:sz="7" w:space="0" w:color="000000"/>
            </w:tcBorders>
          </w:tcPr>
          <w:p w14:paraId="213CCDA5" w14:textId="77777777" w:rsidR="004520BA" w:rsidRPr="0001743E" w:rsidRDefault="004520BA" w:rsidP="00D3760D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34A9EB23" w14:textId="77777777" w:rsidR="004520BA" w:rsidRPr="0001743E" w:rsidRDefault="004520BA" w:rsidP="00D3760D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75AE8064" w14:textId="77777777" w:rsidR="004520BA" w:rsidRPr="0001743E" w:rsidRDefault="004520BA" w:rsidP="004520B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double" w:sz="4" w:space="0" w:color="auto"/>
            </w:tcBorders>
          </w:tcPr>
          <w:p w14:paraId="428084FF" w14:textId="77777777" w:rsidR="004520BA" w:rsidRPr="0001743E" w:rsidRDefault="004520BA" w:rsidP="00D3760D">
            <w:pPr>
              <w:pStyle w:val="TableParagraph"/>
              <w:spacing w:line="276" w:lineRule="auto"/>
              <w:ind w:left="87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</w:tr>
    </w:tbl>
    <w:p w14:paraId="57CAF888" w14:textId="7CA538EC" w:rsidR="004520BA" w:rsidRDefault="004520BA" w:rsidP="00452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985A440" w14:textId="77777777" w:rsidR="004520BA" w:rsidRPr="0090420C" w:rsidRDefault="004520BA" w:rsidP="00452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sectPr w:rsidR="004520BA" w:rsidRPr="0090420C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CE03" w14:textId="77777777" w:rsidR="00DF41ED" w:rsidRDefault="00DF41ED" w:rsidP="003F473F">
      <w:pPr>
        <w:spacing w:after="0" w:line="240" w:lineRule="auto"/>
      </w:pPr>
      <w:r>
        <w:separator/>
      </w:r>
    </w:p>
  </w:endnote>
  <w:endnote w:type="continuationSeparator" w:id="0">
    <w:p w14:paraId="234691A0" w14:textId="77777777" w:rsidR="00DF41ED" w:rsidRDefault="00DF41ED" w:rsidP="003F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316956"/>
      <w:docPartObj>
        <w:docPartGallery w:val="Page Numbers (Bottom of Page)"/>
        <w:docPartUnique/>
      </w:docPartObj>
    </w:sdtPr>
    <w:sdtEndPr/>
    <w:sdtContent>
      <w:p w14:paraId="145C4A03" w14:textId="0D97F57F" w:rsidR="00357011" w:rsidRDefault="00357011" w:rsidP="003570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F39C" w14:textId="77777777" w:rsidR="00DF41ED" w:rsidRDefault="00DF41ED" w:rsidP="003F473F">
      <w:pPr>
        <w:spacing w:after="0" w:line="240" w:lineRule="auto"/>
      </w:pPr>
      <w:r>
        <w:separator/>
      </w:r>
    </w:p>
  </w:footnote>
  <w:footnote w:type="continuationSeparator" w:id="0">
    <w:p w14:paraId="0C31F637" w14:textId="77777777" w:rsidR="00DF41ED" w:rsidRDefault="00DF41ED" w:rsidP="003F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262A" w14:textId="62DBEB1E" w:rsidR="003F473F" w:rsidRPr="008A1C92" w:rsidRDefault="003F473F" w:rsidP="003F473F">
    <w:pPr>
      <w:pStyle w:val="Zhlav"/>
      <w:pBdr>
        <w:bottom w:val="single" w:sz="12" w:space="1" w:color="000000"/>
      </w:pBdr>
      <w:jc w:val="center"/>
      <w:rPr>
        <w:i/>
        <w:lang w:val="cs-CZ"/>
      </w:rPr>
    </w:pPr>
    <w:r w:rsidRPr="008A1C92">
      <w:rPr>
        <w:i/>
        <w:lang w:val="cs-CZ"/>
      </w:rPr>
      <w:t>Vnitřní norma Univerzitního institutu Univerzity Tomáše Bati ve Zlíně</w:t>
    </w:r>
  </w:p>
  <w:p w14:paraId="7C7FA50C" w14:textId="4ECEC573" w:rsidR="003F473F" w:rsidRPr="008A1C92" w:rsidRDefault="003F473F" w:rsidP="003F473F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27F8"/>
    <w:multiLevelType w:val="hybridMultilevel"/>
    <w:tmpl w:val="303E1EE4"/>
    <w:lvl w:ilvl="0" w:tplc="9CEA6D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28C0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33DB8"/>
    <w:multiLevelType w:val="multilevel"/>
    <w:tmpl w:val="D912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004015">
    <w:abstractNumId w:val="2"/>
  </w:num>
  <w:num w:numId="2" w16cid:durableId="501169211">
    <w:abstractNumId w:val="1"/>
  </w:num>
  <w:num w:numId="3" w16cid:durableId="37894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SwsDAxN7I0M7Q0MzZW0lEKTi0uzszPAymwqAUASHHhbiwAAAA="/>
  </w:docVars>
  <w:rsids>
    <w:rsidRoot w:val="00B35822"/>
    <w:rsid w:val="0001368A"/>
    <w:rsid w:val="00020E57"/>
    <w:rsid w:val="00025FEA"/>
    <w:rsid w:val="00044F28"/>
    <w:rsid w:val="000530D0"/>
    <w:rsid w:val="00057B69"/>
    <w:rsid w:val="000A6066"/>
    <w:rsid w:val="000C6A9A"/>
    <w:rsid w:val="000D5E1C"/>
    <w:rsid w:val="000E5E28"/>
    <w:rsid w:val="000E604B"/>
    <w:rsid w:val="0010541D"/>
    <w:rsid w:val="00114B7B"/>
    <w:rsid w:val="00116CD7"/>
    <w:rsid w:val="00117581"/>
    <w:rsid w:val="001232CA"/>
    <w:rsid w:val="00130908"/>
    <w:rsid w:val="001330B2"/>
    <w:rsid w:val="00134689"/>
    <w:rsid w:val="001943FA"/>
    <w:rsid w:val="00197C7D"/>
    <w:rsid w:val="001A6F61"/>
    <w:rsid w:val="001A708A"/>
    <w:rsid w:val="001B4EB3"/>
    <w:rsid w:val="001D3572"/>
    <w:rsid w:val="001E7776"/>
    <w:rsid w:val="001F7AB7"/>
    <w:rsid w:val="00204D09"/>
    <w:rsid w:val="00222F20"/>
    <w:rsid w:val="00231379"/>
    <w:rsid w:val="002546E3"/>
    <w:rsid w:val="0025501A"/>
    <w:rsid w:val="00266689"/>
    <w:rsid w:val="002770AE"/>
    <w:rsid w:val="002812F8"/>
    <w:rsid w:val="00281F6C"/>
    <w:rsid w:val="002962EB"/>
    <w:rsid w:val="002A174A"/>
    <w:rsid w:val="002B1FC9"/>
    <w:rsid w:val="002E40C7"/>
    <w:rsid w:val="002E6CE8"/>
    <w:rsid w:val="002F4EB1"/>
    <w:rsid w:val="003129C6"/>
    <w:rsid w:val="00323E0D"/>
    <w:rsid w:val="00326534"/>
    <w:rsid w:val="003478A5"/>
    <w:rsid w:val="00354F8F"/>
    <w:rsid w:val="0035562E"/>
    <w:rsid w:val="00357011"/>
    <w:rsid w:val="00364B0E"/>
    <w:rsid w:val="003652D4"/>
    <w:rsid w:val="00396279"/>
    <w:rsid w:val="003B092C"/>
    <w:rsid w:val="003E5300"/>
    <w:rsid w:val="003F01F9"/>
    <w:rsid w:val="003F473F"/>
    <w:rsid w:val="00416DBE"/>
    <w:rsid w:val="004241E7"/>
    <w:rsid w:val="00427D6F"/>
    <w:rsid w:val="00427FBE"/>
    <w:rsid w:val="00435A4C"/>
    <w:rsid w:val="00437B91"/>
    <w:rsid w:val="00437FCD"/>
    <w:rsid w:val="004520BA"/>
    <w:rsid w:val="0045291A"/>
    <w:rsid w:val="00462DBD"/>
    <w:rsid w:val="00487F4E"/>
    <w:rsid w:val="00497699"/>
    <w:rsid w:val="004C44B4"/>
    <w:rsid w:val="004E73CC"/>
    <w:rsid w:val="004F1A2B"/>
    <w:rsid w:val="004F4096"/>
    <w:rsid w:val="00520143"/>
    <w:rsid w:val="00525471"/>
    <w:rsid w:val="005261F2"/>
    <w:rsid w:val="00542A14"/>
    <w:rsid w:val="00545DDC"/>
    <w:rsid w:val="00552A84"/>
    <w:rsid w:val="00566107"/>
    <w:rsid w:val="005971C1"/>
    <w:rsid w:val="005A3C57"/>
    <w:rsid w:val="005A4C6B"/>
    <w:rsid w:val="005B20CF"/>
    <w:rsid w:val="005B4587"/>
    <w:rsid w:val="005D617D"/>
    <w:rsid w:val="005D6469"/>
    <w:rsid w:val="005E4242"/>
    <w:rsid w:val="005E67A7"/>
    <w:rsid w:val="006151EB"/>
    <w:rsid w:val="0064706F"/>
    <w:rsid w:val="00665175"/>
    <w:rsid w:val="00670144"/>
    <w:rsid w:val="00687E4B"/>
    <w:rsid w:val="00693BEF"/>
    <w:rsid w:val="006941F9"/>
    <w:rsid w:val="006C5CC9"/>
    <w:rsid w:val="006E45B8"/>
    <w:rsid w:val="006E4766"/>
    <w:rsid w:val="00712849"/>
    <w:rsid w:val="00716AE9"/>
    <w:rsid w:val="007270AC"/>
    <w:rsid w:val="00740927"/>
    <w:rsid w:val="00740CE2"/>
    <w:rsid w:val="0075648C"/>
    <w:rsid w:val="007A2D4A"/>
    <w:rsid w:val="007C01CC"/>
    <w:rsid w:val="007C2D18"/>
    <w:rsid w:val="007E048E"/>
    <w:rsid w:val="007E12AE"/>
    <w:rsid w:val="00800068"/>
    <w:rsid w:val="008040AF"/>
    <w:rsid w:val="00830857"/>
    <w:rsid w:val="0084689E"/>
    <w:rsid w:val="008576B8"/>
    <w:rsid w:val="00871B8E"/>
    <w:rsid w:val="00881C8D"/>
    <w:rsid w:val="00894241"/>
    <w:rsid w:val="008962D8"/>
    <w:rsid w:val="008A1C92"/>
    <w:rsid w:val="008B1B19"/>
    <w:rsid w:val="008B6FFF"/>
    <w:rsid w:val="008D27C1"/>
    <w:rsid w:val="008D3423"/>
    <w:rsid w:val="008D62FD"/>
    <w:rsid w:val="008F6DF4"/>
    <w:rsid w:val="0090420C"/>
    <w:rsid w:val="009323A6"/>
    <w:rsid w:val="00936FAE"/>
    <w:rsid w:val="009375EB"/>
    <w:rsid w:val="009A3107"/>
    <w:rsid w:val="009B4C64"/>
    <w:rsid w:val="009C329A"/>
    <w:rsid w:val="009C7BF6"/>
    <w:rsid w:val="009F2191"/>
    <w:rsid w:val="009F4E11"/>
    <w:rsid w:val="009F5107"/>
    <w:rsid w:val="009F543B"/>
    <w:rsid w:val="00A17332"/>
    <w:rsid w:val="00A22104"/>
    <w:rsid w:val="00A3695F"/>
    <w:rsid w:val="00A51762"/>
    <w:rsid w:val="00A6154C"/>
    <w:rsid w:val="00A64694"/>
    <w:rsid w:val="00A7497B"/>
    <w:rsid w:val="00A77FDE"/>
    <w:rsid w:val="00A908FC"/>
    <w:rsid w:val="00AA5EDB"/>
    <w:rsid w:val="00B14A2C"/>
    <w:rsid w:val="00B32007"/>
    <w:rsid w:val="00B35822"/>
    <w:rsid w:val="00B36734"/>
    <w:rsid w:val="00B5117A"/>
    <w:rsid w:val="00B51182"/>
    <w:rsid w:val="00B73496"/>
    <w:rsid w:val="00BB4893"/>
    <w:rsid w:val="00BB58A2"/>
    <w:rsid w:val="00BD7A77"/>
    <w:rsid w:val="00BE0366"/>
    <w:rsid w:val="00BE59AA"/>
    <w:rsid w:val="00BF7B6D"/>
    <w:rsid w:val="00C27989"/>
    <w:rsid w:val="00C3204D"/>
    <w:rsid w:val="00C43C12"/>
    <w:rsid w:val="00C45F72"/>
    <w:rsid w:val="00C53A78"/>
    <w:rsid w:val="00C57ED2"/>
    <w:rsid w:val="00C640A5"/>
    <w:rsid w:val="00C93A95"/>
    <w:rsid w:val="00C95BB7"/>
    <w:rsid w:val="00CA52EB"/>
    <w:rsid w:val="00CA6EC0"/>
    <w:rsid w:val="00CA725F"/>
    <w:rsid w:val="00CA746C"/>
    <w:rsid w:val="00CD344A"/>
    <w:rsid w:val="00CE2305"/>
    <w:rsid w:val="00CF4D59"/>
    <w:rsid w:val="00D01063"/>
    <w:rsid w:val="00D074A2"/>
    <w:rsid w:val="00D167EA"/>
    <w:rsid w:val="00D201BE"/>
    <w:rsid w:val="00D276DB"/>
    <w:rsid w:val="00D32C39"/>
    <w:rsid w:val="00D36D71"/>
    <w:rsid w:val="00D409C8"/>
    <w:rsid w:val="00D422F3"/>
    <w:rsid w:val="00D67F50"/>
    <w:rsid w:val="00D7473F"/>
    <w:rsid w:val="00D77094"/>
    <w:rsid w:val="00D77EC4"/>
    <w:rsid w:val="00DA7C55"/>
    <w:rsid w:val="00DC59C8"/>
    <w:rsid w:val="00DD012F"/>
    <w:rsid w:val="00DD4D56"/>
    <w:rsid w:val="00DD7BEE"/>
    <w:rsid w:val="00DF280B"/>
    <w:rsid w:val="00DF41ED"/>
    <w:rsid w:val="00E00C9C"/>
    <w:rsid w:val="00E12FF0"/>
    <w:rsid w:val="00E22ED0"/>
    <w:rsid w:val="00E23498"/>
    <w:rsid w:val="00E30AA6"/>
    <w:rsid w:val="00E42083"/>
    <w:rsid w:val="00E60404"/>
    <w:rsid w:val="00E816F2"/>
    <w:rsid w:val="00EA25CD"/>
    <w:rsid w:val="00EB1D69"/>
    <w:rsid w:val="00EC0B58"/>
    <w:rsid w:val="00EC54B9"/>
    <w:rsid w:val="00EC6EBB"/>
    <w:rsid w:val="00EE3D16"/>
    <w:rsid w:val="00EE5D8F"/>
    <w:rsid w:val="00EF0E17"/>
    <w:rsid w:val="00F04CEA"/>
    <w:rsid w:val="00F07A43"/>
    <w:rsid w:val="00F16335"/>
    <w:rsid w:val="00F2161C"/>
    <w:rsid w:val="00F57942"/>
    <w:rsid w:val="00F61E25"/>
    <w:rsid w:val="00F950EF"/>
    <w:rsid w:val="00FA48F8"/>
    <w:rsid w:val="00FB4179"/>
    <w:rsid w:val="00FE121F"/>
    <w:rsid w:val="00FE6B3C"/>
    <w:rsid w:val="01F035B0"/>
    <w:rsid w:val="2FFDBF02"/>
    <w:rsid w:val="3087FA1E"/>
    <w:rsid w:val="3219CF58"/>
    <w:rsid w:val="3EDA3CEE"/>
    <w:rsid w:val="4BD66A56"/>
    <w:rsid w:val="4FBCE71F"/>
    <w:rsid w:val="5E9BD349"/>
    <w:rsid w:val="693901F4"/>
    <w:rsid w:val="708264BD"/>
    <w:rsid w:val="7082A48C"/>
    <w:rsid w:val="70DBFF00"/>
    <w:rsid w:val="7294511C"/>
    <w:rsid w:val="789D7C6E"/>
    <w:rsid w:val="78D589FB"/>
    <w:rsid w:val="7C65C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1B5D0"/>
  <w15:chartTrackingRefBased/>
  <w15:docId w15:val="{BB3ED636-91E8-4DD9-85B9-64DEB55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C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5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40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0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0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0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09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97699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96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962EB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3219CF5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4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11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116CD7"/>
  </w:style>
  <w:style w:type="character" w:customStyle="1" w:styleId="eop">
    <w:name w:val="eop"/>
    <w:basedOn w:val="Standardnpsmoodstavce"/>
    <w:rsid w:val="00116CD7"/>
  </w:style>
  <w:style w:type="paragraph" w:styleId="Zhlav">
    <w:name w:val="header"/>
    <w:basedOn w:val="Normln"/>
    <w:link w:val="ZhlavChar"/>
    <w:uiPriority w:val="99"/>
    <w:unhideWhenUsed/>
    <w:rsid w:val="003F4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73F"/>
  </w:style>
  <w:style w:type="paragraph" w:styleId="Odstavecseseznamem">
    <w:name w:val="List Paragraph"/>
    <w:basedOn w:val="Normln"/>
    <w:uiPriority w:val="34"/>
    <w:qFormat/>
    <w:rsid w:val="00B511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F7B6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D617D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90420C"/>
    <w:pPr>
      <w:widowControl w:val="0"/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90420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CF71C-36B3-4B99-BEE6-3C6D8431A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517B5-18BA-4D11-ACE0-B9E57BE0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8D23D-4CE4-41AD-8A12-18DB0ED1B869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7</Pages>
  <Words>1875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Vícha</dc:creator>
  <cp:keywords/>
  <dc:description/>
  <cp:lastModifiedBy>Martin Sysel</cp:lastModifiedBy>
  <cp:revision>21</cp:revision>
  <dcterms:created xsi:type="dcterms:W3CDTF">2026-05-27T09:40:00Z</dcterms:created>
  <dcterms:modified xsi:type="dcterms:W3CDTF">2026-06-10T11:41:00Z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7de39d1a-42af-4bc7-89e6-b1ce4be718ed</vt:lpwstr>
  </property>
  <property fmtid="{D5CDD505-2E9C-101B-9397-08002B2CF9AE}" pid="3" name="ContentTypeId">
    <vt:lpwstr>0x010100E9E10CE4BC10AB499C8FDEDE2D1973E6</vt:lpwstr>
  </property>
  <property fmtid="{D5CDD505-2E9C-101B-9397-08002B2CF9AE}" pid="4" name="MediaServiceImageTags">
    <vt:lpwstr/>
  </property>
</Properties>
</file>