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857E6" w:rsidRPr="00912868" w14:paraId="69251875" w14:textId="77777777" w:rsidTr="005D326F">
        <w:trPr>
          <w:trHeight w:val="20"/>
        </w:trPr>
        <w:tc>
          <w:tcPr>
            <w:tcW w:w="2710" w:type="dxa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5FB1D" w14:textId="77777777" w:rsidR="002857E6" w:rsidRPr="00912868" w:rsidRDefault="002857E6" w:rsidP="00912868">
            <w:pPr>
              <w:pStyle w:val="Zpat"/>
              <w:tabs>
                <w:tab w:val="left" w:pos="708"/>
              </w:tabs>
            </w:pPr>
            <w:r w:rsidRPr="00912868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576F6FE9" w14:textId="61CB2D42" w:rsidR="002857E6" w:rsidRPr="00912868" w:rsidRDefault="00EE59BC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A02BDC">
              <w:rPr>
                <w:rFonts w:ascii="Times New Roman" w:hAnsi="Times New Roman" w:cs="Times New Roman"/>
                <w:lang w:val="cs-CZ"/>
              </w:rPr>
              <w:t>S</w:t>
            </w:r>
            <w:r w:rsidR="00A02BDC" w:rsidRPr="00A02BDC">
              <w:rPr>
                <w:rFonts w:ascii="Times New Roman" w:hAnsi="Times New Roman" w:cs="Times New Roman"/>
                <w:lang w:val="cs-CZ"/>
              </w:rPr>
              <w:t>Ř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</w:t>
            </w:r>
            <w:r w:rsidRPr="00A02BDC">
              <w:rPr>
                <w:rFonts w:ascii="Times New Roman" w:hAnsi="Times New Roman" w:cs="Times New Roman"/>
                <w:lang w:val="cs-CZ"/>
              </w:rPr>
              <w:t>XX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/202</w:t>
            </w:r>
            <w:r w:rsidR="00C23A10" w:rsidRPr="00A02BDC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801F03" w:rsidRPr="00912868" w14:paraId="15E503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9337F" w14:textId="47278ED1" w:rsidR="00801F03" w:rsidRPr="007C2FB1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7C2FB1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6A994B27" w14:textId="539EB4E0" w:rsidR="00801F03" w:rsidRPr="007C2FB1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7C2FB1">
              <w:rPr>
                <w:rFonts w:ascii="Times New Roman" w:hAnsi="Times New Roman" w:cs="Times New Roman"/>
                <w:caps/>
                <w:lang w:val="cs-CZ"/>
              </w:rPr>
              <w:t>UTB/26/xxxxx</w:t>
            </w:r>
          </w:p>
        </w:tc>
      </w:tr>
      <w:tr w:rsidR="002857E6" w:rsidRPr="00912868" w14:paraId="18A9CE6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62694" w14:textId="64862A5C" w:rsidR="002857E6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E619CF">
              <w:rPr>
                <w:rFonts w:ascii="Times New Roman" w:hAnsi="Times New Roman" w:cs="Times New Roman"/>
                <w:lang w:val="cs-CZ"/>
              </w:rPr>
              <w:t>Klasifikace dokumentu: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502D4C8" w14:textId="3A76088D" w:rsidR="002857E6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E619CF">
              <w:rPr>
                <w:rFonts w:ascii="Times New Roman" w:hAnsi="Times New Roman" w:cs="Times New Roman"/>
                <w:caps/>
                <w:lang w:val="cs-CZ"/>
              </w:rPr>
              <w:t>INTERNí</w:t>
            </w:r>
          </w:p>
        </w:tc>
      </w:tr>
      <w:tr w:rsidR="00E25081" w:rsidRPr="00912868" w14:paraId="4086993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DA279" w14:textId="11E60C38" w:rsidR="00E25081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E619CF">
              <w:rPr>
                <w:rFonts w:ascii="Times New Roman" w:hAnsi="Times New Roman" w:cs="Times New Roman"/>
                <w:lang w:val="cs-CZ"/>
              </w:rPr>
              <w:t>Druh: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4AEC9F6" w14:textId="245FC0BA" w:rsidR="00E25081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E619CF">
              <w:rPr>
                <w:rFonts w:ascii="Times New Roman" w:hAnsi="Times New Roman" w:cs="Times New Roman"/>
                <w:caps/>
                <w:lang w:val="cs-CZ"/>
              </w:rPr>
              <w:t>SMĚRNICE ŘEDITELE uni</w:t>
            </w:r>
          </w:p>
        </w:tc>
      </w:tr>
      <w:tr w:rsidR="002857E6" w:rsidRPr="00912868" w14:paraId="5B8CCE2E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025C7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14960D66" w14:textId="085692BD" w:rsidR="002857E6" w:rsidRPr="00912868" w:rsidRDefault="00E25177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Směrnice Univerzitního </w:t>
            </w:r>
            <w:r w:rsidR="00A42F8A" w:rsidRPr="00912868">
              <w:rPr>
                <w:rFonts w:ascii="Times New Roman" w:hAnsi="Times New Roman" w:cs="Times New Roman"/>
                <w:lang w:val="cs-CZ"/>
              </w:rPr>
              <w:t>institut</w:t>
            </w:r>
            <w:r w:rsidR="00A42F8A">
              <w:rPr>
                <w:rFonts w:ascii="Times New Roman" w:hAnsi="Times New Roman" w:cs="Times New Roman"/>
                <w:lang w:val="cs-CZ"/>
              </w:rPr>
              <w:t>u</w:t>
            </w:r>
            <w:r w:rsidR="00A42F8A" w:rsidRPr="0091286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912868">
              <w:rPr>
                <w:rFonts w:ascii="Times New Roman" w:hAnsi="Times New Roman" w:cs="Times New Roman"/>
                <w:lang w:val="cs-CZ"/>
              </w:rPr>
              <w:t>doplňující Stipendijní řád Univerzity Tomáše Bati ve Zlíně</w:t>
            </w:r>
          </w:p>
        </w:tc>
      </w:tr>
      <w:tr w:rsidR="002857E6" w:rsidRPr="00912868" w14:paraId="49EA19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CEA98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6A4A92AE" w14:textId="1FB03C83" w:rsidR="002857E6" w:rsidRPr="00912868" w:rsidRDefault="00AF5C8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Univerzitní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institut</w:t>
            </w:r>
          </w:p>
        </w:tc>
      </w:tr>
      <w:tr w:rsidR="002857E6" w:rsidRPr="00912868" w14:paraId="4BA5454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F3032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BE021" w14:textId="2068CCBB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D62355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2857E6" w:rsidRPr="00912868" w14:paraId="5B673AA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5F027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3DED807E" w14:textId="38901385" w:rsidR="002857E6" w:rsidRPr="00912868" w:rsidRDefault="00063B6A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063B6A">
              <w:rPr>
                <w:rFonts w:ascii="Times New Roman" w:hAnsi="Times New Roman" w:cs="Times New Roman"/>
                <w:lang w:val="cs-CZ"/>
              </w:rPr>
              <w:t>1. 9. 2026</w:t>
            </w:r>
          </w:p>
        </w:tc>
      </w:tr>
      <w:tr w:rsidR="002857E6" w:rsidRPr="00912868" w14:paraId="194AFB09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416964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274E391" w14:textId="26CEB1EA" w:rsidR="002857E6" w:rsidRPr="00912868" w:rsidRDefault="008C32B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Ředitel UNI</w:t>
            </w:r>
            <w:r w:rsidR="005100BE">
              <w:rPr>
                <w:rFonts w:ascii="Times New Roman" w:hAnsi="Times New Roman" w:cs="Times New Roman"/>
                <w:lang w:val="cs-CZ"/>
              </w:rPr>
              <w:t xml:space="preserve"> po předchozím schválení AS UTB</w:t>
            </w:r>
          </w:p>
        </w:tc>
      </w:tr>
      <w:tr w:rsidR="002857E6" w:rsidRPr="00912868" w14:paraId="4DDAA8A5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D3513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003A0B93" w14:textId="25B2B18D" w:rsidR="002857E6" w:rsidRPr="00912868" w:rsidRDefault="00246C50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Zástupce ředitele UNI pro tvůrčí činnosti</w:t>
            </w:r>
          </w:p>
        </w:tc>
      </w:tr>
      <w:tr w:rsidR="002857E6" w:rsidRPr="00912868" w14:paraId="08B57D8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849C2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2678711" w14:textId="09812BFA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2857E6" w:rsidRPr="00912868" w14:paraId="1BA4B65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9D82AE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76AB107E" w14:textId="681F75D8" w:rsidR="002857E6" w:rsidRPr="00912868" w:rsidRDefault="007D4F1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2857E6" w:rsidRPr="00912868" w14:paraId="220E9B2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F34E1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906B9B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0</w:t>
            </w:r>
          </w:p>
        </w:tc>
      </w:tr>
      <w:tr w:rsidR="002857E6" w:rsidRPr="00912868" w14:paraId="097F558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24D6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7405164" w14:textId="5D9B1450" w:rsidR="002857E6" w:rsidRPr="00912868" w:rsidRDefault="00A4253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Zaměstnanci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 xml:space="preserve">UNI </w:t>
            </w:r>
            <w:r w:rsidRPr="00912868">
              <w:rPr>
                <w:rFonts w:ascii="Times New Roman" w:hAnsi="Times New Roman" w:cs="Times New Roman"/>
                <w:lang w:val="cs-CZ"/>
              </w:rPr>
              <w:t xml:space="preserve">a studenti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ve studijních programech uskutečňovaných přímo Univerzitou Tomáše Bati ve Zlíně spolu s Univerzitním institutem</w:t>
            </w:r>
          </w:p>
        </w:tc>
      </w:tr>
      <w:tr w:rsidR="002857E6" w:rsidRPr="00912868" w14:paraId="7A9CE544" w14:textId="77777777" w:rsidTr="00801F03">
        <w:trPr>
          <w:trHeight w:val="679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  <w:hideMark/>
          </w:tcPr>
          <w:p w14:paraId="7500DA9B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vAlign w:val="center"/>
            <w:hideMark/>
          </w:tcPr>
          <w:p w14:paraId="3CCF5FD9" w14:textId="5EF44216" w:rsidR="002857E6" w:rsidRPr="00912868" w:rsidRDefault="002857E6" w:rsidP="007C2FB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5D3C9087" w14:textId="77777777" w:rsidR="002857E6" w:rsidRPr="00912868" w:rsidRDefault="002857E6" w:rsidP="00F03C3B">
      <w:pPr>
        <w:spacing w:after="12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6AA6FEED" w14:textId="418570AA" w:rsidR="00836EEC" w:rsidRPr="00074122" w:rsidRDefault="00836EEC" w:rsidP="00F03C3B">
      <w:pPr>
        <w:pStyle w:val="Default"/>
        <w:spacing w:after="120"/>
        <w:jc w:val="center"/>
        <w:rPr>
          <w:sz w:val="28"/>
          <w:szCs w:val="28"/>
        </w:rPr>
      </w:pPr>
      <w:r w:rsidRPr="00074122">
        <w:rPr>
          <w:b/>
          <w:bCs/>
          <w:sz w:val="28"/>
          <w:szCs w:val="28"/>
        </w:rPr>
        <w:t>ČÁST PRVNÍ</w:t>
      </w:r>
    </w:p>
    <w:p w14:paraId="238EC7C1" w14:textId="5FB163CE" w:rsidR="00836EEC" w:rsidRDefault="00836EEC" w:rsidP="00F03C3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074122">
        <w:rPr>
          <w:b/>
          <w:bCs/>
          <w:sz w:val="28"/>
          <w:szCs w:val="28"/>
        </w:rPr>
        <w:t>ZÁKLADNÍ USTANOVENÍ</w:t>
      </w:r>
    </w:p>
    <w:p w14:paraId="3792020B" w14:textId="2EB14C6D" w:rsidR="00836EEC" w:rsidRPr="00074122" w:rsidRDefault="00836EEC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</w:t>
      </w:r>
    </w:p>
    <w:p w14:paraId="70E07CAB" w14:textId="650FE53F" w:rsidR="00E25177" w:rsidRPr="00074122" w:rsidRDefault="00836EEC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Úvodní ustanovení</w:t>
      </w:r>
    </w:p>
    <w:p w14:paraId="2DDA950E" w14:textId="77777777" w:rsidR="00074122" w:rsidRPr="00074122" w:rsidRDefault="00074122" w:rsidP="00074122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BAFB92" w14:textId="555F9407" w:rsidR="00D459C3" w:rsidRPr="00074122" w:rsidRDefault="00D459C3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(1) S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tipendijního řádu Univerzity Tomáše Bati ve Zlíně (dále jen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UTB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41C18393" w14:textId="4A378454" w:rsidR="003956B6" w:rsidRDefault="00E25177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Univerzitní institut Univerzity Tomáše Bati ve Zlíně (dále jen „UNI“) vydává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souladu s čl. 4 odst. 1 Statutu UNI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tuto vnitřní normu jako doplnění Stipendijního řádu Univerzity Tomáše Bati ve Zlíně (dále jen "SŘ UTB"), který je podle § 17 odst. 1 písm. h) zákona č. 111/1998 Sb., o</w:t>
      </w:r>
      <w:r w:rsid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vysokých školách a o změně a doplnění dalších zákonů (zákon o vysokých školách), ve znění pozdějších předpisů, (dále jen „zákon“) vnitřním předpisem U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TB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Tato vnitřní norma UNI upřesňuje a doplňuje pravidla pro přiznávání stipendií studentům ve studijních programech uskutečňovaných přímo</w:t>
      </w:r>
      <w:r w:rsidR="00074122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spolu s vysokoškolským ústavem 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46310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Jednotlivé články této směrnice jsou očíslovány 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46310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článků SŘ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</w:t>
      </w:r>
      <w:r w:rsidR="00D32F61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které doplňují</w:t>
      </w:r>
      <w:r w:rsidR="0008680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Pokud 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daný článek SŘ 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UTB 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není uveden, směrnice </w:t>
      </w:r>
      <w:r w:rsidR="00074122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 nedoplňuje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521E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45EFA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Tuto s</w:t>
      </w:r>
      <w:r w:rsidR="00D521E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měrnici 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podle čl. 1 odst. 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3956B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 UTB ve spojení s</w:t>
      </w:r>
      <w:r w:rsid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§ 9 odst. 1 písm. b) bodu 3. zákona 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schvaluje Akademický senát UTB</w:t>
      </w:r>
      <w:r w:rsidR="001A5747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„AS UTB“)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4EDC7477" w14:textId="7A6CCCEC" w:rsidR="00074122" w:rsidRDefault="00074122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0E557182" w14:textId="396BC35A" w:rsidR="000B3D01" w:rsidRPr="00074122" w:rsidRDefault="000B3D01" w:rsidP="000035AC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>Článek</w:t>
      </w:r>
      <w:r w:rsid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="00AF6BAE"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2</w:t>
      </w:r>
    </w:p>
    <w:p w14:paraId="211F97B4" w14:textId="4EFAA4F9" w:rsidR="00D83486" w:rsidRDefault="00D83486" w:rsidP="000035AC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Přiznávání stipendií studentům</w:t>
      </w:r>
    </w:p>
    <w:p w14:paraId="0097BA54" w14:textId="77777777" w:rsidR="00074122" w:rsidRPr="00074122" w:rsidRDefault="00074122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6D5B07C0" w14:textId="27E805FD" w:rsidR="009D4501" w:rsidRPr="00074122" w:rsidRDefault="000B3D01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Ad odst. 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SŘ UTB:</w:t>
      </w:r>
    </w:p>
    <w:p w14:paraId="5F95C5A3" w14:textId="716539A0" w:rsidR="000B3D01" w:rsidRPr="00074122" w:rsidRDefault="000B3D01" w:rsidP="00FB3CFB">
      <w:pPr>
        <w:pStyle w:val="Odstavecseseznamem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 přiznání stipendia rozhoduje ředitel UNI (dále jen „ředitel“).</w:t>
      </w:r>
    </w:p>
    <w:p w14:paraId="3BC362D6" w14:textId="353EC4DC" w:rsidR="000B3D01" w:rsidRPr="00074122" w:rsidRDefault="000B3D01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Ad odst. 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SŘ UTB:</w:t>
      </w:r>
    </w:p>
    <w:p w14:paraId="53609866" w14:textId="51F48958" w:rsidR="000B3D01" w:rsidRPr="00074122" w:rsidRDefault="000B3D01" w:rsidP="0007412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O přiznání mimořádného stipendia rozhoduje ředitel na doporučení Stipendijní komise UNI.</w:t>
      </w:r>
    </w:p>
    <w:p w14:paraId="3172AC11" w14:textId="524232B8" w:rsidR="000B3D01" w:rsidRDefault="000B3D01" w:rsidP="0007412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21FA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Návrhy na udělení stipendia přijímá referent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</w:t>
      </w:r>
      <w:proofErr w:type="spellStart"/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</w:t>
      </w:r>
      <w:proofErr w:type="spellEnd"/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vzdělávací a studijní agendy UNI v elektronické podobě, který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/á</w:t>
      </w:r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 dále postoupí Stipendijní komisi UNI.</w:t>
      </w:r>
    </w:p>
    <w:p w14:paraId="50A09D80" w14:textId="77777777" w:rsidR="00FB3CFB" w:rsidRPr="00074122" w:rsidRDefault="00FB3CFB" w:rsidP="00FB3CFB">
      <w:pPr>
        <w:pStyle w:val="Default"/>
        <w:spacing w:after="120"/>
        <w:jc w:val="center"/>
        <w:rPr>
          <w:rFonts w:eastAsia="Times New Roman"/>
          <w:lang w:eastAsia="cs-CZ"/>
        </w:rPr>
      </w:pPr>
    </w:p>
    <w:p w14:paraId="16F150A0" w14:textId="70259CB6" w:rsidR="00E91728" w:rsidRPr="00FB3CFB" w:rsidRDefault="00E91728" w:rsidP="00FB3CF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B3CFB">
        <w:rPr>
          <w:b/>
          <w:bCs/>
          <w:sz w:val="28"/>
          <w:szCs w:val="28"/>
        </w:rPr>
        <w:t>ČÁST TŘETÍ</w:t>
      </w:r>
    </w:p>
    <w:p w14:paraId="42AED63E" w14:textId="779764FE" w:rsidR="00E91728" w:rsidRPr="00FB3CFB" w:rsidRDefault="00E91728" w:rsidP="00FB3CF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B3CFB">
        <w:rPr>
          <w:b/>
          <w:bCs/>
          <w:sz w:val="28"/>
          <w:szCs w:val="28"/>
        </w:rPr>
        <w:t>STIPENDIA PRO STUDENTY DOKTORSKÝCH STUDIJNÍCH PROGRAMŮ</w:t>
      </w:r>
    </w:p>
    <w:p w14:paraId="485DE818" w14:textId="1EB3AB6B" w:rsidR="00E91728" w:rsidRPr="00FB3CFB" w:rsidRDefault="00E91728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895737"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5</w:t>
      </w:r>
    </w:p>
    <w:p w14:paraId="608433CA" w14:textId="00D0E70D" w:rsidR="00B03BB0" w:rsidRDefault="00D83486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Doktorský studijní příjem a doktorské stipendium</w:t>
      </w:r>
    </w:p>
    <w:p w14:paraId="693C8834" w14:textId="77777777" w:rsidR="00FB3CFB" w:rsidRPr="00FB3CFB" w:rsidRDefault="00FB3CFB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4BAB0466" w14:textId="6366241C" w:rsidR="000B3D01" w:rsidRPr="00074122" w:rsidRDefault="00366CEF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7A94B111" w14:textId="009C4B27" w:rsidR="00895737" w:rsidRPr="00FB3CFB" w:rsidRDefault="002A4D34" w:rsidP="00FB3CFB">
      <w:pPr>
        <w:pStyle w:val="Odstavecseseznamem"/>
        <w:spacing w:after="12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Výše doktorského stipendia je závislá na míře plnění studijních a vědecko-odborných aktivit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studenta doktorského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studijního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programu (dále jen „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doktorand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6F520E6C" w14:textId="77777777" w:rsidR="00B03BB0" w:rsidRPr="00074122" w:rsidRDefault="00956A05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3822177D" w14:textId="0547A755" w:rsidR="00956A05" w:rsidRPr="00FB3CFB" w:rsidRDefault="002A4D34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Žádosti o přiznání doktorského stipendia podává doktorand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 nejkratší možné době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nástupu do studia v 1. ročníku, dále pak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</w:t>
      </w:r>
      <w:r w:rsidR="00B03BB0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jpozději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měsíc před zahájením </w:t>
      </w:r>
      <w:r w:rsidR="009244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dalšího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akademického roku prostřednictvím portálu IS/STAG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(Moje studium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Moje údaje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Stipendia studenta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Doktorské stipendium)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384D407E" w14:textId="3EFAA84D" w:rsidR="0089542C" w:rsidRPr="00074122" w:rsidRDefault="008954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>Ad odst. (4) SŘ UTB</w:t>
      </w:r>
      <w:r w:rsidR="00FB3CFB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0B4A45FD" w14:textId="6B310435" w:rsidR="00956A05" w:rsidRPr="00FB3CFB" w:rsidRDefault="00956A05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89542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 schválení žádosti ředitelem bude stipendium vypláceno v pravidelných měsíčních částkách zpravidla do 10. dne měsíce následujícího po měsíci, za který výplata měsíční částky náleží. Stipendium bude vypláceno bankovním převodem na </w:t>
      </w:r>
      <w:proofErr w:type="gramStart"/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účet </w:t>
      </w:r>
      <w:r w:rsidR="00F45E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doktoranda</w:t>
      </w:r>
      <w:proofErr w:type="gramEnd"/>
      <w:r w:rsidR="00F45E6A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uvedený v IS/STAG.</w:t>
      </w:r>
    </w:p>
    <w:p w14:paraId="7FD3C091" w14:textId="1A24D6EF" w:rsidR="0089542C" w:rsidRPr="00074122" w:rsidRDefault="008954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>Ad odst. (10) SŘ UTB</w:t>
      </w:r>
      <w:r w:rsidR="00FB3CFB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4828E661" w14:textId="02904A4D" w:rsidR="00B657E0" w:rsidRPr="00FB3CFB" w:rsidRDefault="00B657E0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(</w:t>
      </w:r>
      <w:r w:rsidR="0089542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V případech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uvedených v čl. 5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odst. 10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SŘ UTB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má ředitel právo na základě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návrhu školitele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vyjádření oborové rady doktorského studijního programu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doktorské stipendium zvýšit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539628BE" w14:textId="3CAD225F" w:rsidR="00895737" w:rsidRPr="00074122" w:rsidRDefault="003956B6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12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70AD37BD" w14:textId="043D5F56" w:rsidR="00895737" w:rsidRPr="00FB3CFB" w:rsidRDefault="008141DB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doktorand neplní studijní povinnosti anebo vědecko-odborn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aktivit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vyplývající z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Individuálního studijního plánu </w:t>
      </w:r>
      <w:r w:rsidR="005A4C6D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„ISP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“)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může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mu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být stipendium sníženo</w:t>
      </w:r>
      <w:r w:rsidR="001F5F2A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0035A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1F5F2A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 případě závažného neplnění zcela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odejmuto</w:t>
      </w:r>
      <w:r w:rsidR="001C590F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DDA206C" w14:textId="24A7EB2C" w:rsidR="005D741D" w:rsidRPr="00FB3CFB" w:rsidRDefault="005D741D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6</w:t>
      </w:r>
    </w:p>
    <w:p w14:paraId="63B8F81E" w14:textId="33F2673C" w:rsidR="005A4C6D" w:rsidRDefault="005A4C6D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Mimořádné stipendium</w:t>
      </w:r>
    </w:p>
    <w:p w14:paraId="756F3AEA" w14:textId="77777777" w:rsidR="00FB3CFB" w:rsidRPr="00FB3CFB" w:rsidRDefault="00FB3CFB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6B1A0A31" w14:textId="0FC43D8F" w:rsidR="005A4C6D" w:rsidRPr="00074122" w:rsidRDefault="005A4C6D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0A2DC2"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0A2DC2"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písm. a) a b)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1A8A2DDE" w14:textId="36AA9B31" w:rsidR="00505215" w:rsidRPr="00074122" w:rsidRDefault="005A4C6D" w:rsidP="00074122">
      <w:pPr>
        <w:pStyle w:val="Default"/>
        <w:spacing w:after="240" w:line="360" w:lineRule="auto"/>
        <w:jc w:val="both"/>
      </w:pPr>
      <w:r w:rsidRPr="00074122">
        <w:t>V případě, že pokrok v plnění povinností vyplývajících z ISP a tvůrčích činností významně předstihuje či přesahuje plán v ISP, může</w:t>
      </w:r>
      <w:r w:rsidR="00BC1CBF" w:rsidRPr="00074122">
        <w:t xml:space="preserve"> v souladu se SŘ </w:t>
      </w:r>
      <w:r w:rsidR="00E854A2" w:rsidRPr="00074122">
        <w:t xml:space="preserve">UTB </w:t>
      </w:r>
      <w:r w:rsidRPr="00074122">
        <w:t xml:space="preserve">školitel navrhnout </w:t>
      </w:r>
      <w:r w:rsidR="00E854A2" w:rsidRPr="00074122">
        <w:t xml:space="preserve">řediteli UNI </w:t>
      </w:r>
      <w:r w:rsidRPr="00074122">
        <w:t>vyplacení mimořádného stipendia doktorandovi</w:t>
      </w:r>
      <w:r w:rsidR="00BC1CBF" w:rsidRPr="00074122">
        <w:t>.</w:t>
      </w:r>
    </w:p>
    <w:p w14:paraId="241AA182" w14:textId="60A921C7" w:rsidR="005D741D" w:rsidRPr="00FA1D3F" w:rsidRDefault="005D741D" w:rsidP="00FA1D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A1D3F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FA1D3F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CA402C" w:rsidRPr="00FA1D3F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9D625B" w:rsidRPr="00FA1D3F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FA1D3F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349ABCFA" w14:textId="4A107BC5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Členy Stipendijní komise UNI jmenuje a odvolává ředitel po vyjádření </w:t>
      </w:r>
      <w:r w:rsidR="001A5747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AS UTB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F508642" w14:textId="1D462F10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4E375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Zasedání Stipendijní komise UNI svolává její předseda nejméně týden před jeho termínem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E375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nejlépe elektronickou formou. Předseda zároveň řídí příslušné jednání Stipendijní komise UNI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Hodnocení Stipendijní komise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musí být nestranné, tj. je-li kterýkoliv člen Stipendijní komise 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školitel či konzultant hodnoceného doktoranda, na hlasování se nepodílí. V případě předsedy Stipendijní komise 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převezme jeho povinnosti Ekonom UNI.</w:t>
      </w:r>
    </w:p>
    <w:p w14:paraId="53C70251" w14:textId="5A3DBEBF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Stipendijní komis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pětičlenná a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zasedá zpravidla 1× měsíčně.</w:t>
      </w:r>
    </w:p>
    <w:p w14:paraId="14B0B8EB" w14:textId="0A81691F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Stipendijní komise UNI je usnášeníschopná, jestliže je přítomna minimálně polovina všech jejích členů.</w:t>
      </w:r>
    </w:p>
    <w:p w14:paraId="5AB2BA87" w14:textId="0C026EDC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Žádost nebo n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ávrh na přiznání stipendia je schválen, pokud se pro něj vyjádří většina </w:t>
      </w:r>
      <w:r w:rsidR="0072715F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přítomných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členů Stipendijní komise UNI.</w:t>
      </w:r>
    </w:p>
    <w:p w14:paraId="15AABEDD" w14:textId="3A745809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Stipendijní komise UNI může rozhodnout o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žádosti nebo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návrhu na přiznání stipendia i</w:t>
      </w:r>
      <w:r w:rsidR="000035A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mimo zasedání tzv. per rollam. Pro hlasování per rollam se využívá prostředků komunikace na dálku, a to univerzitní elektronické pošty. Návrh je přijat v případě, že se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pro něj vysloví většina všech členů Stipendijní komise UNI, a to ve lhůtě uvedené v žádosti předsedy Stipendijní komise UNI o hlasování o návrhu per rollam, zaslané členům Stipendijní komise UNI.</w:t>
      </w:r>
    </w:p>
    <w:p w14:paraId="5381C621" w14:textId="0AE427BA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Stipendijní komise UNI je oprávněna návrhu nevyhovět nebo vyhovět jen částečně a</w:t>
      </w:r>
      <w:r w:rsidR="000035A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doporučit 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snížení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navrhovan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výš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stipendia. V případech hodných zvláštního zřetele je 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tipendijní komise UNI oprávněna 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navrhnout přiměřené zvýšení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stipendia.</w:t>
      </w:r>
    </w:p>
    <w:p w14:paraId="1466855D" w14:textId="5BFC68E0" w:rsidR="00895737" w:rsidRPr="00074122" w:rsidRDefault="00CA40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7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59F8853D" w14:textId="5A0A4EF0" w:rsidR="00895737" w:rsidRDefault="00CA402C" w:rsidP="00FA1D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Mimořádná stipendia vyplácená jako </w:t>
      </w:r>
      <w:proofErr w:type="gramStart"/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podpora </w:t>
      </w:r>
      <w:r w:rsidR="00F45E6A">
        <w:rPr>
          <w:rFonts w:ascii="Times New Roman" w:hAnsi="Times New Roman" w:cs="Times New Roman"/>
          <w:sz w:val="24"/>
          <w:szCs w:val="24"/>
          <w:lang w:val="cs-CZ"/>
        </w:rPr>
        <w:t xml:space="preserve"> doktoran</w:t>
      </w:r>
      <w:r w:rsidR="00444020">
        <w:rPr>
          <w:rFonts w:ascii="Times New Roman" w:hAnsi="Times New Roman" w:cs="Times New Roman"/>
          <w:sz w:val="24"/>
          <w:szCs w:val="24"/>
          <w:lang w:val="cs-CZ"/>
        </w:rPr>
        <w:t>dům</w:t>
      </w:r>
      <w:proofErr w:type="gramEnd"/>
      <w:r w:rsidR="00F45E6A"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v rámci interních projektů (např. IGA projekty apod.) jsou schválena jednorázově na celé projektové období. Jednotlivé vyplácené měsíční části mimořádného stipendia nepodléhají schv</w:t>
      </w:r>
      <w:r w:rsidR="00171E09" w:rsidRPr="00074122">
        <w:rPr>
          <w:rFonts w:ascii="Times New Roman" w:hAnsi="Times New Roman" w:cs="Times New Roman"/>
          <w:sz w:val="24"/>
          <w:szCs w:val="24"/>
          <w:lang w:val="cs-CZ"/>
        </w:rPr>
        <w:t>álení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Stipendijní komise UNI.</w:t>
      </w:r>
    </w:p>
    <w:p w14:paraId="50BF705E" w14:textId="77777777" w:rsidR="00FA1D3F" w:rsidRPr="00074122" w:rsidRDefault="00FA1D3F" w:rsidP="00FA1D3F">
      <w:pPr>
        <w:pStyle w:val="Default"/>
        <w:spacing w:after="120"/>
        <w:jc w:val="center"/>
      </w:pPr>
    </w:p>
    <w:p w14:paraId="796FCB64" w14:textId="7ED661B5" w:rsidR="00CA402C" w:rsidRPr="00FA1D3F" w:rsidRDefault="00CA402C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ČÁST ČTVRTÁ</w:t>
      </w:r>
    </w:p>
    <w:p w14:paraId="50DAC20D" w14:textId="5B2B8261" w:rsidR="00CA402C" w:rsidRPr="00FA1D3F" w:rsidRDefault="00CA402C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SPOLEČNÁ STIPENDIA</w:t>
      </w:r>
    </w:p>
    <w:p w14:paraId="73534DE7" w14:textId="17368791" w:rsidR="00CA402C" w:rsidRPr="00FA1D3F" w:rsidRDefault="00CA402C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5A4C6D"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7</w:t>
      </w:r>
    </w:p>
    <w:p w14:paraId="76B24E34" w14:textId="7D9C184A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Ubytovací stipendium</w:t>
      </w:r>
    </w:p>
    <w:p w14:paraId="685CBB9A" w14:textId="0DAE8CC3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22D1FD2F" w14:textId="4E53D4AC" w:rsidR="005A4C6D" w:rsidRPr="00FA1D3F" w:rsidRDefault="005A4C6D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8</w:t>
      </w:r>
    </w:p>
    <w:p w14:paraId="6CEAC957" w14:textId="5F9C945E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Sociální stipendium</w:t>
      </w:r>
    </w:p>
    <w:p w14:paraId="063B0393" w14:textId="638B60D4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14F4CF44" w14:textId="29E8642D" w:rsidR="005A4C6D" w:rsidRPr="00FA1D3F" w:rsidRDefault="005A4C6D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035AC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</w:t>
      </w: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9</w:t>
      </w:r>
    </w:p>
    <w:p w14:paraId="0EC01383" w14:textId="263DEAF3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Výzkumné stipendium</w:t>
      </w:r>
    </w:p>
    <w:p w14:paraId="79B937B7" w14:textId="1E33F97F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3B2E9700" w14:textId="3B1FB901" w:rsidR="007A158B" w:rsidRPr="00FA1D3F" w:rsidRDefault="007A158B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035AC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</w:t>
      </w: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10</w:t>
      </w:r>
    </w:p>
    <w:p w14:paraId="0563A40F" w14:textId="29480025" w:rsidR="007A158B" w:rsidRDefault="007A158B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Stipendia v případech zvláštního zřetele hodných</w:t>
      </w:r>
    </w:p>
    <w:p w14:paraId="4A3A5386" w14:textId="77777777" w:rsidR="008C3274" w:rsidRPr="00FA1D3F" w:rsidRDefault="008C3274" w:rsidP="008C3274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43FB2FD8" w14:textId="645FA850" w:rsidR="007A158B" w:rsidRPr="00074122" w:rsidRDefault="007A158B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4AB8C953" w14:textId="4B3DD5F8" w:rsidR="000B3D01" w:rsidRPr="00FA1D3F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O přiznání stipendia rozhoduje ředitel na základě doporučení Stipendijní komise UNI.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Ředitel uděluje ocenění spojené s peněžitou odměnou</w:t>
      </w:r>
      <w:r w:rsidR="0044402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doktorandovi, a to zejména v souvislosti se zásluhou o rozvoj UNI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jeho postavení a prestiž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České republice i</w:t>
      </w:r>
      <w:r w:rsidR="000035A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 zahraničí.</w:t>
      </w:r>
    </w:p>
    <w:p w14:paraId="610922AB" w14:textId="393AEED0" w:rsidR="007A158B" w:rsidRPr="00FA1D3F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(2) Stipendia v případech zvláštního zřetele hodných lze přiznat </w:t>
      </w:r>
      <w:r w:rsidR="00081AC0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také 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 podnětu ředitele, zástupců ředitele UNI nebo ředitele centra</w:t>
      </w:r>
      <w:r w:rsidR="00D5175A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UNI. Návrh na přiznání stipendia v této kategorii předkládaný k projednání Stipendijní komisi UNI musí obsahovat podrobné odůvodnění.</w:t>
      </w:r>
    </w:p>
    <w:p w14:paraId="71E83742" w14:textId="7620EF7A" w:rsidR="007A158B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(3) V</w:t>
      </w:r>
      <w:r w:rsidR="008C3E05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D5175A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 výjimečných 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odůvodněných případech může o přiznání stipendia rozhodnout ředitel bez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předchozího projednání ve Stipendijní komisi UNI. V takovém případě ředitel o svém rozhodnutí Stipendijní komisi UNI neprodleně informuje.</w:t>
      </w:r>
    </w:p>
    <w:p w14:paraId="780EB41E" w14:textId="2200301A" w:rsidR="009D625B" w:rsidRPr="00FA1D3F" w:rsidRDefault="009D625B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11</w:t>
      </w:r>
    </w:p>
    <w:p w14:paraId="6720E68C" w14:textId="2CE8B469" w:rsidR="009D625B" w:rsidRPr="00FA1D3F" w:rsidRDefault="009D625B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Další případy přiznání stipendií</w:t>
      </w:r>
    </w:p>
    <w:p w14:paraId="7439683D" w14:textId="77777777" w:rsidR="009D625B" w:rsidRPr="00074122" w:rsidRDefault="009D625B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19E17FBE" w14:textId="7AEE5DCF" w:rsidR="00CA402C" w:rsidRPr="00074122" w:rsidRDefault="00CA40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2C01294" w14:textId="48920664" w:rsidR="00F03C3B" w:rsidRPr="00FA1D3F" w:rsidRDefault="00F03C3B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 xml:space="preserve">ČÁST </w:t>
      </w:r>
      <w:r w:rsidR="00FE0112" w:rsidRPr="00FA1D3F">
        <w:rPr>
          <w:b/>
          <w:bCs/>
          <w:sz w:val="28"/>
          <w:szCs w:val="28"/>
        </w:rPr>
        <w:t>PÁTÁ</w:t>
      </w:r>
    </w:p>
    <w:p w14:paraId="0D958432" w14:textId="62E2C522" w:rsidR="00F03C3B" w:rsidRDefault="00FE0112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SPOLEČNÁ A ZÁVĚREČNÁ USTANOVENÍ</w:t>
      </w:r>
    </w:p>
    <w:p w14:paraId="375DC37F" w14:textId="5304BE15" w:rsidR="00FE0112" w:rsidRPr="00FA1D3F" w:rsidRDefault="00FE0112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12</w:t>
      </w:r>
    </w:p>
    <w:p w14:paraId="2321B59B" w14:textId="21126AF4" w:rsidR="00FE0112" w:rsidRPr="00FA1D3F" w:rsidRDefault="00FE0112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Společná ustanovení</w:t>
      </w:r>
    </w:p>
    <w:p w14:paraId="00E49FDC" w14:textId="38A306C0" w:rsidR="00436378" w:rsidRDefault="00436378" w:rsidP="00074122">
      <w:pPr>
        <w:pStyle w:val="Default"/>
        <w:spacing w:line="360" w:lineRule="auto"/>
        <w:jc w:val="center"/>
      </w:pPr>
      <w:r w:rsidRPr="00074122">
        <w:t>(bez doplňků a upřesnění)</w:t>
      </w:r>
    </w:p>
    <w:p w14:paraId="5E4921D8" w14:textId="43B0C3E5" w:rsidR="00436378" w:rsidRPr="008C3274" w:rsidRDefault="00436378" w:rsidP="000035AC">
      <w:pPr>
        <w:spacing w:before="240"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13</w:t>
      </w:r>
    </w:p>
    <w:p w14:paraId="36A44F16" w14:textId="352335F4" w:rsidR="00436378" w:rsidRDefault="00436378" w:rsidP="008C3274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Přechodná a závěrečná ustanovení</w:t>
      </w:r>
    </w:p>
    <w:p w14:paraId="22D99407" w14:textId="77777777" w:rsidR="008C3274" w:rsidRPr="00DE5D69" w:rsidRDefault="008C3274" w:rsidP="00DE5D69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00B7593F" w14:textId="1C57F3D6" w:rsidR="00DE5D69" w:rsidRDefault="00436378" w:rsidP="008C3274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Článek 5 této směrnice se vztahuje pouze na </w:t>
      </w:r>
      <w:r w:rsidR="0044402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doktorandy 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přijaté po 1. </w:t>
      </w:r>
      <w:r w:rsidR="00CA3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září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2025.</w:t>
      </w:r>
    </w:p>
    <w:p w14:paraId="587ABCE2" w14:textId="35C5828D" w:rsidR="00436378" w:rsidRPr="008C3274" w:rsidRDefault="00DE5D69" w:rsidP="008C3274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vnitřní norma byla </w:t>
      </w:r>
      <w:r w:rsidR="00081AC0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schválena </w:t>
      </w:r>
      <w:r w:rsidR="00104E57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AS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 dne </w:t>
      </w:r>
      <w:r w:rsidR="00063B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063B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června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2026.</w:t>
      </w:r>
    </w:p>
    <w:p w14:paraId="2EBC6092" w14:textId="5B7310A8" w:rsidR="000035AC" w:rsidRDefault="0050201E" w:rsidP="000035AC">
      <w:pPr>
        <w:pStyle w:val="Odstavecseseznamem"/>
        <w:spacing w:after="756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vnitřní norma nabývá platnosti 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účinnost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dne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1.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září 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2026.</w:t>
      </w:r>
    </w:p>
    <w:p w14:paraId="142DA460" w14:textId="77777777" w:rsidR="000035AC" w:rsidRDefault="000035AC" w:rsidP="000035AC">
      <w:pPr>
        <w:pStyle w:val="Odstavecseseznamem"/>
        <w:spacing w:after="756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tbl>
      <w:tblPr>
        <w:tblStyle w:val="TableNormal1"/>
        <w:tblW w:w="92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5"/>
      </w:tblGrid>
      <w:tr w:rsidR="0010188E" w:rsidRPr="00186E12" w14:paraId="2C5E874E" w14:textId="77777777" w:rsidTr="00B92AEA">
        <w:trPr>
          <w:trHeight w:hRule="exact" w:val="306"/>
        </w:trPr>
        <w:tc>
          <w:tcPr>
            <w:tcW w:w="9215" w:type="dxa"/>
            <w:gridSpan w:val="4"/>
            <w:tcBorders>
              <w:top w:val="double" w:sz="4" w:space="0" w:color="auto"/>
              <w:left w:val="double" w:sz="4" w:space="0" w:color="auto"/>
              <w:bottom w:val="single" w:sz="7" w:space="0" w:color="000000"/>
              <w:right w:val="double" w:sz="4" w:space="0" w:color="auto"/>
            </w:tcBorders>
          </w:tcPr>
          <w:p w14:paraId="66FEEB30" w14:textId="77777777" w:rsidR="000035AC" w:rsidRDefault="000035AC" w:rsidP="000035AC">
            <w:pPr>
              <w:pStyle w:val="Odstavecseseznamem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  <w:p w14:paraId="762E3513" w14:textId="77777777" w:rsidR="000035AC" w:rsidRDefault="000035AC" w:rsidP="000035AC">
            <w:pPr>
              <w:pStyle w:val="Odstavecseseznamem"/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</w:pPr>
          </w:p>
          <w:p w14:paraId="4AB8BE04" w14:textId="510C7C07" w:rsidR="0010188E" w:rsidRPr="00186E12" w:rsidRDefault="0010188E" w:rsidP="000035AC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Verze </w:t>
            </w: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dokumentu</w:t>
            </w:r>
          </w:p>
        </w:tc>
      </w:tr>
      <w:tr w:rsidR="0010188E" w:rsidRPr="00186E12" w14:paraId="309512D1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41798BBC" w14:textId="77777777" w:rsidR="0010188E" w:rsidRPr="00186E12" w:rsidRDefault="0010188E" w:rsidP="001E3945">
            <w:pPr>
              <w:pStyle w:val="TableParagraph"/>
              <w:spacing w:line="276" w:lineRule="auto"/>
              <w:ind w:left="799" w:righ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Datum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28150" w14:textId="77777777" w:rsidR="0010188E" w:rsidRPr="00186E12" w:rsidRDefault="0010188E" w:rsidP="001E3945">
            <w:pPr>
              <w:pStyle w:val="TableParagraph"/>
              <w:spacing w:line="276" w:lineRule="auto"/>
              <w:ind w:left="838" w:right="8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Verze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7C7FB" w14:textId="77777777" w:rsidR="0010188E" w:rsidRPr="00186E12" w:rsidRDefault="0010188E" w:rsidP="001E3945">
            <w:pPr>
              <w:pStyle w:val="TableParagraph"/>
              <w:spacing w:line="276" w:lineRule="auto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Změněno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0A9FD402" w14:textId="77777777" w:rsidR="0010188E" w:rsidRPr="00186E12" w:rsidRDefault="0010188E" w:rsidP="001E3945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Popis změny</w:t>
            </w:r>
          </w:p>
        </w:tc>
      </w:tr>
      <w:tr w:rsidR="0010188E" w:rsidRPr="00186E12" w14:paraId="7BA3FFE6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61FF9758" w14:textId="77777777" w:rsidR="0010188E" w:rsidRPr="0001743E" w:rsidRDefault="0010188E" w:rsidP="001E3945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2026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DE662" w14:textId="77777777" w:rsidR="0010188E" w:rsidRPr="0001743E" w:rsidRDefault="0010188E" w:rsidP="001E3945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01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C0828" w14:textId="77777777" w:rsidR="0010188E" w:rsidRPr="0001743E" w:rsidRDefault="0010188E" w:rsidP="001E3945">
            <w:pPr>
              <w:pStyle w:val="TableParagraph"/>
              <w:spacing w:line="276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Ředitel UNI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4BB1B61B" w14:textId="77777777" w:rsidR="0010188E" w:rsidRPr="0001743E" w:rsidRDefault="0010188E" w:rsidP="001E3945">
            <w:pPr>
              <w:pStyle w:val="TableParagraph"/>
              <w:spacing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Vytvoření</w:t>
            </w: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dokumentu</w:t>
            </w:r>
          </w:p>
        </w:tc>
      </w:tr>
      <w:tr w:rsidR="0010188E" w:rsidRPr="00186E12" w14:paraId="43C1EC1B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5D9D0F71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649AD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553B5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1B0902ED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</w:tr>
      <w:tr w:rsidR="00B92AEA" w:rsidRPr="00186E12" w14:paraId="271B590D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7" w:space="0" w:color="000000"/>
            </w:tcBorders>
          </w:tcPr>
          <w:p w14:paraId="60769314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3FF553A9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41975BBA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14:paraId="66A6C689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</w:tr>
    </w:tbl>
    <w:p w14:paraId="529CB426" w14:textId="77777777" w:rsidR="0010188E" w:rsidRPr="000035AC" w:rsidRDefault="0010188E" w:rsidP="000035AC">
      <w:pPr>
        <w:spacing w:after="75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sectPr w:rsidR="0010188E" w:rsidRPr="000035AC" w:rsidSect="000035AC">
      <w:headerReference w:type="default" r:id="rId11"/>
      <w:footerReference w:type="default" r:id="rId12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7459" w14:textId="77777777" w:rsidR="00BB1131" w:rsidRDefault="00BB1131" w:rsidP="005D326F">
      <w:pPr>
        <w:spacing w:after="0" w:line="240" w:lineRule="auto"/>
      </w:pPr>
      <w:r>
        <w:separator/>
      </w:r>
    </w:p>
  </w:endnote>
  <w:endnote w:type="continuationSeparator" w:id="0">
    <w:p w14:paraId="62B985DB" w14:textId="77777777" w:rsidR="00BB1131" w:rsidRDefault="00BB1131" w:rsidP="005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30067"/>
      <w:docPartObj>
        <w:docPartGallery w:val="Page Numbers (Bottom of Page)"/>
        <w:docPartUnique/>
      </w:docPartObj>
    </w:sdtPr>
    <w:sdtEndPr/>
    <w:sdtContent>
      <w:p w14:paraId="0EE66B2C" w14:textId="3DE60D12" w:rsidR="003F0D6E" w:rsidRDefault="003F0D6E" w:rsidP="003F0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87B1" w14:textId="77777777" w:rsidR="00BB1131" w:rsidRDefault="00BB1131" w:rsidP="005D326F">
      <w:pPr>
        <w:spacing w:after="0" w:line="240" w:lineRule="auto"/>
      </w:pPr>
      <w:r>
        <w:separator/>
      </w:r>
    </w:p>
  </w:footnote>
  <w:footnote w:type="continuationSeparator" w:id="0">
    <w:p w14:paraId="04A8625F" w14:textId="77777777" w:rsidR="00BB1131" w:rsidRDefault="00BB1131" w:rsidP="005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914B" w14:textId="257F2463" w:rsidR="005D326F" w:rsidRPr="0057202E" w:rsidRDefault="005D326F" w:rsidP="005D326F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  <w:t>Vnitřní norma Univerzitního institutu Univerzity Tomáše Bati ve Zlíně</w:t>
    </w:r>
  </w:p>
  <w:p w14:paraId="6570A85B" w14:textId="77777777" w:rsidR="005D326F" w:rsidRPr="0057202E" w:rsidRDefault="005D326F" w:rsidP="0057202E">
    <w:pPr>
      <w:pStyle w:val="Zhlav"/>
      <w:jc w:val="center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8967"/>
    <w:multiLevelType w:val="hybridMultilevel"/>
    <w:tmpl w:val="2C54DF8A"/>
    <w:lvl w:ilvl="0" w:tplc="666244D0">
      <w:start w:val="1"/>
      <w:numFmt w:val="lowerLetter"/>
      <w:lvlText w:val="%1)"/>
      <w:lvlJc w:val="left"/>
      <w:pPr>
        <w:ind w:left="720" w:hanging="360"/>
      </w:pPr>
    </w:lvl>
    <w:lvl w:ilvl="1" w:tplc="4C7E07F6">
      <w:start w:val="1"/>
      <w:numFmt w:val="lowerLetter"/>
      <w:lvlText w:val="%2."/>
      <w:lvlJc w:val="left"/>
      <w:pPr>
        <w:ind w:left="1440" w:hanging="360"/>
      </w:pPr>
    </w:lvl>
    <w:lvl w:ilvl="2" w:tplc="B6567F52">
      <w:start w:val="1"/>
      <w:numFmt w:val="lowerRoman"/>
      <w:lvlText w:val="%3."/>
      <w:lvlJc w:val="right"/>
      <w:pPr>
        <w:ind w:left="2160" w:hanging="180"/>
      </w:pPr>
    </w:lvl>
    <w:lvl w:ilvl="3" w:tplc="125A8A52">
      <w:start w:val="1"/>
      <w:numFmt w:val="decimal"/>
      <w:lvlText w:val="%4."/>
      <w:lvlJc w:val="left"/>
      <w:pPr>
        <w:ind w:left="2880" w:hanging="360"/>
      </w:pPr>
    </w:lvl>
    <w:lvl w:ilvl="4" w:tplc="FF60BF06">
      <w:start w:val="1"/>
      <w:numFmt w:val="lowerLetter"/>
      <w:lvlText w:val="%5."/>
      <w:lvlJc w:val="left"/>
      <w:pPr>
        <w:ind w:left="3600" w:hanging="360"/>
      </w:pPr>
    </w:lvl>
    <w:lvl w:ilvl="5" w:tplc="E1761992">
      <w:start w:val="1"/>
      <w:numFmt w:val="lowerRoman"/>
      <w:lvlText w:val="%6."/>
      <w:lvlJc w:val="right"/>
      <w:pPr>
        <w:ind w:left="4320" w:hanging="180"/>
      </w:pPr>
    </w:lvl>
    <w:lvl w:ilvl="6" w:tplc="6C8488EA">
      <w:start w:val="1"/>
      <w:numFmt w:val="decimal"/>
      <w:lvlText w:val="%7."/>
      <w:lvlJc w:val="left"/>
      <w:pPr>
        <w:ind w:left="5040" w:hanging="360"/>
      </w:pPr>
    </w:lvl>
    <w:lvl w:ilvl="7" w:tplc="E0022B06">
      <w:start w:val="1"/>
      <w:numFmt w:val="lowerLetter"/>
      <w:lvlText w:val="%8."/>
      <w:lvlJc w:val="left"/>
      <w:pPr>
        <w:ind w:left="5760" w:hanging="360"/>
      </w:pPr>
    </w:lvl>
    <w:lvl w:ilvl="8" w:tplc="F3968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2F0D"/>
    <w:multiLevelType w:val="hybridMultilevel"/>
    <w:tmpl w:val="8EC0BD6E"/>
    <w:lvl w:ilvl="0" w:tplc="A7AE6F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AE3E88"/>
    <w:multiLevelType w:val="hybridMultilevel"/>
    <w:tmpl w:val="304AF9D8"/>
    <w:lvl w:ilvl="0" w:tplc="4ED6E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C11DD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82524">
    <w:abstractNumId w:val="0"/>
  </w:num>
  <w:num w:numId="2" w16cid:durableId="141779196">
    <w:abstractNumId w:val="1"/>
  </w:num>
  <w:num w:numId="3" w16cid:durableId="783305010">
    <w:abstractNumId w:val="2"/>
  </w:num>
  <w:num w:numId="4" w16cid:durableId="86652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NjYzMjMyMDQysDRR0lEKTi0uzszPAykwNK4FAIeWtyUtAAAA"/>
  </w:docVars>
  <w:rsids>
    <w:rsidRoot w:val="00836EEC"/>
    <w:rsid w:val="000035AC"/>
    <w:rsid w:val="00007DE3"/>
    <w:rsid w:val="00015BDC"/>
    <w:rsid w:val="00025CF0"/>
    <w:rsid w:val="0002630F"/>
    <w:rsid w:val="00031DA7"/>
    <w:rsid w:val="00037854"/>
    <w:rsid w:val="00050A1C"/>
    <w:rsid w:val="00063B6A"/>
    <w:rsid w:val="000646D2"/>
    <w:rsid w:val="00074122"/>
    <w:rsid w:val="000819D4"/>
    <w:rsid w:val="00081AC0"/>
    <w:rsid w:val="00082AD9"/>
    <w:rsid w:val="0008305D"/>
    <w:rsid w:val="0008452A"/>
    <w:rsid w:val="00086804"/>
    <w:rsid w:val="00091A34"/>
    <w:rsid w:val="000A2DC2"/>
    <w:rsid w:val="000A35D8"/>
    <w:rsid w:val="000A4947"/>
    <w:rsid w:val="000A4F39"/>
    <w:rsid w:val="000B3D01"/>
    <w:rsid w:val="000B5219"/>
    <w:rsid w:val="000D204D"/>
    <w:rsid w:val="000D2901"/>
    <w:rsid w:val="000D7B96"/>
    <w:rsid w:val="000E1372"/>
    <w:rsid w:val="000E7518"/>
    <w:rsid w:val="000E7D13"/>
    <w:rsid w:val="000F0D78"/>
    <w:rsid w:val="0010017F"/>
    <w:rsid w:val="0010188E"/>
    <w:rsid w:val="00104E57"/>
    <w:rsid w:val="001065F7"/>
    <w:rsid w:val="00107498"/>
    <w:rsid w:val="001108DC"/>
    <w:rsid w:val="00113209"/>
    <w:rsid w:val="001149BB"/>
    <w:rsid w:val="00121457"/>
    <w:rsid w:val="00131AEE"/>
    <w:rsid w:val="001328A5"/>
    <w:rsid w:val="00134D38"/>
    <w:rsid w:val="0013549C"/>
    <w:rsid w:val="00154CB6"/>
    <w:rsid w:val="00155491"/>
    <w:rsid w:val="00162B0A"/>
    <w:rsid w:val="00171E09"/>
    <w:rsid w:val="00172936"/>
    <w:rsid w:val="00180982"/>
    <w:rsid w:val="001951A9"/>
    <w:rsid w:val="001A4A55"/>
    <w:rsid w:val="001A5747"/>
    <w:rsid w:val="001C0405"/>
    <w:rsid w:val="001C5565"/>
    <w:rsid w:val="001C590F"/>
    <w:rsid w:val="001D28A1"/>
    <w:rsid w:val="001F5F2A"/>
    <w:rsid w:val="00206AC1"/>
    <w:rsid w:val="0021235F"/>
    <w:rsid w:val="00217150"/>
    <w:rsid w:val="002256E9"/>
    <w:rsid w:val="00226191"/>
    <w:rsid w:val="00231C2B"/>
    <w:rsid w:val="00245C7C"/>
    <w:rsid w:val="00245EFA"/>
    <w:rsid w:val="00246C50"/>
    <w:rsid w:val="00247906"/>
    <w:rsid w:val="00255E24"/>
    <w:rsid w:val="00255E91"/>
    <w:rsid w:val="0026205C"/>
    <w:rsid w:val="002857E6"/>
    <w:rsid w:val="002953CB"/>
    <w:rsid w:val="002A4C2D"/>
    <w:rsid w:val="002A4D34"/>
    <w:rsid w:val="002B195A"/>
    <w:rsid w:val="002B433F"/>
    <w:rsid w:val="002C3287"/>
    <w:rsid w:val="002C7117"/>
    <w:rsid w:val="002C7D3E"/>
    <w:rsid w:val="002D1BB5"/>
    <w:rsid w:val="002D2C9D"/>
    <w:rsid w:val="002D608E"/>
    <w:rsid w:val="002E4A40"/>
    <w:rsid w:val="002E6CE8"/>
    <w:rsid w:val="003052A2"/>
    <w:rsid w:val="00310E9F"/>
    <w:rsid w:val="00313730"/>
    <w:rsid w:val="003205E3"/>
    <w:rsid w:val="00325A43"/>
    <w:rsid w:val="00331F19"/>
    <w:rsid w:val="00332828"/>
    <w:rsid w:val="003339CB"/>
    <w:rsid w:val="003374DF"/>
    <w:rsid w:val="003405B4"/>
    <w:rsid w:val="00356325"/>
    <w:rsid w:val="00366CEF"/>
    <w:rsid w:val="0037280A"/>
    <w:rsid w:val="00374AC6"/>
    <w:rsid w:val="00386F3A"/>
    <w:rsid w:val="003956B6"/>
    <w:rsid w:val="00396D77"/>
    <w:rsid w:val="003B0AB8"/>
    <w:rsid w:val="003B1319"/>
    <w:rsid w:val="003B1DB8"/>
    <w:rsid w:val="003B6CF3"/>
    <w:rsid w:val="003D589C"/>
    <w:rsid w:val="003E2204"/>
    <w:rsid w:val="003E2522"/>
    <w:rsid w:val="003E4313"/>
    <w:rsid w:val="003F0D6E"/>
    <w:rsid w:val="00412448"/>
    <w:rsid w:val="00420CD0"/>
    <w:rsid w:val="00421FA3"/>
    <w:rsid w:val="00422EC5"/>
    <w:rsid w:val="00436378"/>
    <w:rsid w:val="0043792E"/>
    <w:rsid w:val="00444020"/>
    <w:rsid w:val="00450020"/>
    <w:rsid w:val="00461215"/>
    <w:rsid w:val="0046152B"/>
    <w:rsid w:val="004625EF"/>
    <w:rsid w:val="00462B52"/>
    <w:rsid w:val="0046310C"/>
    <w:rsid w:val="004664F0"/>
    <w:rsid w:val="0048104C"/>
    <w:rsid w:val="00484019"/>
    <w:rsid w:val="00495EDD"/>
    <w:rsid w:val="00496E4B"/>
    <w:rsid w:val="004A0A70"/>
    <w:rsid w:val="004A183D"/>
    <w:rsid w:val="004A217C"/>
    <w:rsid w:val="004C4005"/>
    <w:rsid w:val="004C7C75"/>
    <w:rsid w:val="004E0636"/>
    <w:rsid w:val="004E3757"/>
    <w:rsid w:val="004F3601"/>
    <w:rsid w:val="004F76C6"/>
    <w:rsid w:val="0050201E"/>
    <w:rsid w:val="00505215"/>
    <w:rsid w:val="005100BE"/>
    <w:rsid w:val="00516963"/>
    <w:rsid w:val="00517CF7"/>
    <w:rsid w:val="005252A2"/>
    <w:rsid w:val="00527E90"/>
    <w:rsid w:val="00537B5C"/>
    <w:rsid w:val="005452AF"/>
    <w:rsid w:val="0054544A"/>
    <w:rsid w:val="00545DD8"/>
    <w:rsid w:val="0055084B"/>
    <w:rsid w:val="0055474D"/>
    <w:rsid w:val="00563473"/>
    <w:rsid w:val="0057202E"/>
    <w:rsid w:val="00574DC5"/>
    <w:rsid w:val="00577892"/>
    <w:rsid w:val="00587A1A"/>
    <w:rsid w:val="00593BAA"/>
    <w:rsid w:val="0059594F"/>
    <w:rsid w:val="005A4C6B"/>
    <w:rsid w:val="005A4C6D"/>
    <w:rsid w:val="005A6ACE"/>
    <w:rsid w:val="005B0626"/>
    <w:rsid w:val="005B58B1"/>
    <w:rsid w:val="005D062D"/>
    <w:rsid w:val="005D18C5"/>
    <w:rsid w:val="005D326F"/>
    <w:rsid w:val="005D741D"/>
    <w:rsid w:val="006031AB"/>
    <w:rsid w:val="0061096B"/>
    <w:rsid w:val="0062332C"/>
    <w:rsid w:val="006302AE"/>
    <w:rsid w:val="00631666"/>
    <w:rsid w:val="0063411E"/>
    <w:rsid w:val="00637626"/>
    <w:rsid w:val="00644D11"/>
    <w:rsid w:val="0065340B"/>
    <w:rsid w:val="006605FF"/>
    <w:rsid w:val="00664DBC"/>
    <w:rsid w:val="00666597"/>
    <w:rsid w:val="006701CD"/>
    <w:rsid w:val="00673219"/>
    <w:rsid w:val="0068001C"/>
    <w:rsid w:val="0069067D"/>
    <w:rsid w:val="006936D6"/>
    <w:rsid w:val="006940C0"/>
    <w:rsid w:val="006A1996"/>
    <w:rsid w:val="006A526F"/>
    <w:rsid w:val="006A7AB7"/>
    <w:rsid w:val="006B74A4"/>
    <w:rsid w:val="006C2640"/>
    <w:rsid w:val="006C54EA"/>
    <w:rsid w:val="006E08EA"/>
    <w:rsid w:val="006E40A5"/>
    <w:rsid w:val="006F017B"/>
    <w:rsid w:val="006F0B39"/>
    <w:rsid w:val="00704190"/>
    <w:rsid w:val="00704826"/>
    <w:rsid w:val="00704BE1"/>
    <w:rsid w:val="00710005"/>
    <w:rsid w:val="00712344"/>
    <w:rsid w:val="007237EF"/>
    <w:rsid w:val="007268DB"/>
    <w:rsid w:val="0072715F"/>
    <w:rsid w:val="007540E9"/>
    <w:rsid w:val="00767F0F"/>
    <w:rsid w:val="007821C3"/>
    <w:rsid w:val="0078582B"/>
    <w:rsid w:val="007A0108"/>
    <w:rsid w:val="007A158B"/>
    <w:rsid w:val="007A209A"/>
    <w:rsid w:val="007B3C26"/>
    <w:rsid w:val="007B434E"/>
    <w:rsid w:val="007C26AE"/>
    <w:rsid w:val="007C2FB1"/>
    <w:rsid w:val="007C60A3"/>
    <w:rsid w:val="007C73A9"/>
    <w:rsid w:val="007D00EF"/>
    <w:rsid w:val="007D4F16"/>
    <w:rsid w:val="007E62CC"/>
    <w:rsid w:val="007E7E78"/>
    <w:rsid w:val="007F7C83"/>
    <w:rsid w:val="00801F03"/>
    <w:rsid w:val="008040DE"/>
    <w:rsid w:val="00807788"/>
    <w:rsid w:val="00810B92"/>
    <w:rsid w:val="00810D90"/>
    <w:rsid w:val="008141DB"/>
    <w:rsid w:val="00814AF2"/>
    <w:rsid w:val="00817E7B"/>
    <w:rsid w:val="00836EEC"/>
    <w:rsid w:val="00851634"/>
    <w:rsid w:val="00867D72"/>
    <w:rsid w:val="00880FA6"/>
    <w:rsid w:val="0088439D"/>
    <w:rsid w:val="00892C7A"/>
    <w:rsid w:val="00894984"/>
    <w:rsid w:val="0089542C"/>
    <w:rsid w:val="00895737"/>
    <w:rsid w:val="00896C2B"/>
    <w:rsid w:val="008A2A7B"/>
    <w:rsid w:val="008A54C9"/>
    <w:rsid w:val="008B2C01"/>
    <w:rsid w:val="008C3274"/>
    <w:rsid w:val="008C32B9"/>
    <w:rsid w:val="008C3E05"/>
    <w:rsid w:val="008C7C94"/>
    <w:rsid w:val="008D0F28"/>
    <w:rsid w:val="008D115C"/>
    <w:rsid w:val="008E4884"/>
    <w:rsid w:val="008E4F12"/>
    <w:rsid w:val="008F22A4"/>
    <w:rsid w:val="008F4A9D"/>
    <w:rsid w:val="008F7437"/>
    <w:rsid w:val="00901210"/>
    <w:rsid w:val="00906D88"/>
    <w:rsid w:val="00912868"/>
    <w:rsid w:val="00914F2F"/>
    <w:rsid w:val="0092291E"/>
    <w:rsid w:val="009244DC"/>
    <w:rsid w:val="009303A2"/>
    <w:rsid w:val="00934B7B"/>
    <w:rsid w:val="00935861"/>
    <w:rsid w:val="00954056"/>
    <w:rsid w:val="00956A05"/>
    <w:rsid w:val="00976242"/>
    <w:rsid w:val="00987ED3"/>
    <w:rsid w:val="009A1085"/>
    <w:rsid w:val="009A111C"/>
    <w:rsid w:val="009B1DA7"/>
    <w:rsid w:val="009B24A0"/>
    <w:rsid w:val="009B2F44"/>
    <w:rsid w:val="009B3664"/>
    <w:rsid w:val="009B4B9B"/>
    <w:rsid w:val="009C414F"/>
    <w:rsid w:val="009D4501"/>
    <w:rsid w:val="009D625B"/>
    <w:rsid w:val="009E39D8"/>
    <w:rsid w:val="009F4AB5"/>
    <w:rsid w:val="00A02BDC"/>
    <w:rsid w:val="00A04F48"/>
    <w:rsid w:val="00A129E9"/>
    <w:rsid w:val="00A2579B"/>
    <w:rsid w:val="00A32619"/>
    <w:rsid w:val="00A36532"/>
    <w:rsid w:val="00A42539"/>
    <w:rsid w:val="00A42F8A"/>
    <w:rsid w:val="00A46A3A"/>
    <w:rsid w:val="00A52F87"/>
    <w:rsid w:val="00A5585A"/>
    <w:rsid w:val="00A565B3"/>
    <w:rsid w:val="00A5756E"/>
    <w:rsid w:val="00A6162F"/>
    <w:rsid w:val="00A739B5"/>
    <w:rsid w:val="00A7497B"/>
    <w:rsid w:val="00A81AE3"/>
    <w:rsid w:val="00A8523B"/>
    <w:rsid w:val="00A87954"/>
    <w:rsid w:val="00A913A5"/>
    <w:rsid w:val="00A92309"/>
    <w:rsid w:val="00A939B9"/>
    <w:rsid w:val="00AA06EC"/>
    <w:rsid w:val="00AA1C8C"/>
    <w:rsid w:val="00AA27AC"/>
    <w:rsid w:val="00AA31EC"/>
    <w:rsid w:val="00AA7E78"/>
    <w:rsid w:val="00AB047C"/>
    <w:rsid w:val="00AB074E"/>
    <w:rsid w:val="00AB2F8B"/>
    <w:rsid w:val="00AD015E"/>
    <w:rsid w:val="00AD2483"/>
    <w:rsid w:val="00AE294F"/>
    <w:rsid w:val="00AF5C86"/>
    <w:rsid w:val="00AF6BAE"/>
    <w:rsid w:val="00B01B04"/>
    <w:rsid w:val="00B0293F"/>
    <w:rsid w:val="00B03BB0"/>
    <w:rsid w:val="00B0567C"/>
    <w:rsid w:val="00B10D22"/>
    <w:rsid w:val="00B3325F"/>
    <w:rsid w:val="00B45F65"/>
    <w:rsid w:val="00B52142"/>
    <w:rsid w:val="00B657E0"/>
    <w:rsid w:val="00B71250"/>
    <w:rsid w:val="00B723FA"/>
    <w:rsid w:val="00B77013"/>
    <w:rsid w:val="00B82958"/>
    <w:rsid w:val="00B8743A"/>
    <w:rsid w:val="00B90CF3"/>
    <w:rsid w:val="00B92AEA"/>
    <w:rsid w:val="00BA33BA"/>
    <w:rsid w:val="00BB02E8"/>
    <w:rsid w:val="00BB10D5"/>
    <w:rsid w:val="00BB1131"/>
    <w:rsid w:val="00BC1541"/>
    <w:rsid w:val="00BC1CBF"/>
    <w:rsid w:val="00BD2054"/>
    <w:rsid w:val="00BD5DAC"/>
    <w:rsid w:val="00C05E18"/>
    <w:rsid w:val="00C07117"/>
    <w:rsid w:val="00C11AB4"/>
    <w:rsid w:val="00C15AD3"/>
    <w:rsid w:val="00C1666E"/>
    <w:rsid w:val="00C23A10"/>
    <w:rsid w:val="00C33E93"/>
    <w:rsid w:val="00C33FC3"/>
    <w:rsid w:val="00C41F65"/>
    <w:rsid w:val="00C42CEE"/>
    <w:rsid w:val="00C46AC7"/>
    <w:rsid w:val="00C521A7"/>
    <w:rsid w:val="00C60497"/>
    <w:rsid w:val="00C65835"/>
    <w:rsid w:val="00C67944"/>
    <w:rsid w:val="00C72C4E"/>
    <w:rsid w:val="00C81395"/>
    <w:rsid w:val="00C93A7D"/>
    <w:rsid w:val="00C94F8A"/>
    <w:rsid w:val="00CA3039"/>
    <w:rsid w:val="00CA402C"/>
    <w:rsid w:val="00CA703B"/>
    <w:rsid w:val="00CB0B1C"/>
    <w:rsid w:val="00CD76BA"/>
    <w:rsid w:val="00CE091E"/>
    <w:rsid w:val="00CE6D49"/>
    <w:rsid w:val="00CE7559"/>
    <w:rsid w:val="00CF3C6A"/>
    <w:rsid w:val="00CF4D1B"/>
    <w:rsid w:val="00CF6A03"/>
    <w:rsid w:val="00D13084"/>
    <w:rsid w:val="00D1662A"/>
    <w:rsid w:val="00D20605"/>
    <w:rsid w:val="00D20CBB"/>
    <w:rsid w:val="00D212A3"/>
    <w:rsid w:val="00D235F5"/>
    <w:rsid w:val="00D32F61"/>
    <w:rsid w:val="00D459C3"/>
    <w:rsid w:val="00D462D4"/>
    <w:rsid w:val="00D5038D"/>
    <w:rsid w:val="00D5175A"/>
    <w:rsid w:val="00D521E6"/>
    <w:rsid w:val="00D552DF"/>
    <w:rsid w:val="00D66004"/>
    <w:rsid w:val="00D73CE7"/>
    <w:rsid w:val="00D8019D"/>
    <w:rsid w:val="00D83486"/>
    <w:rsid w:val="00D849E6"/>
    <w:rsid w:val="00D84A6E"/>
    <w:rsid w:val="00D85C47"/>
    <w:rsid w:val="00D876A5"/>
    <w:rsid w:val="00D9188C"/>
    <w:rsid w:val="00D92080"/>
    <w:rsid w:val="00D9603E"/>
    <w:rsid w:val="00DB4BD2"/>
    <w:rsid w:val="00DB4E73"/>
    <w:rsid w:val="00DB6450"/>
    <w:rsid w:val="00DB7AF0"/>
    <w:rsid w:val="00DC1DD1"/>
    <w:rsid w:val="00DE5D69"/>
    <w:rsid w:val="00DE5E2D"/>
    <w:rsid w:val="00DE6415"/>
    <w:rsid w:val="00DF24B7"/>
    <w:rsid w:val="00E07FA0"/>
    <w:rsid w:val="00E25081"/>
    <w:rsid w:val="00E25177"/>
    <w:rsid w:val="00E35BE6"/>
    <w:rsid w:val="00E36045"/>
    <w:rsid w:val="00E44A0A"/>
    <w:rsid w:val="00E5339E"/>
    <w:rsid w:val="00E579BB"/>
    <w:rsid w:val="00E619CF"/>
    <w:rsid w:val="00E75493"/>
    <w:rsid w:val="00E831BF"/>
    <w:rsid w:val="00E854A2"/>
    <w:rsid w:val="00E90AAF"/>
    <w:rsid w:val="00E91728"/>
    <w:rsid w:val="00E97FD2"/>
    <w:rsid w:val="00EA2C38"/>
    <w:rsid w:val="00EA3485"/>
    <w:rsid w:val="00EA4D40"/>
    <w:rsid w:val="00EC196E"/>
    <w:rsid w:val="00EC6FF6"/>
    <w:rsid w:val="00EC7151"/>
    <w:rsid w:val="00ED2748"/>
    <w:rsid w:val="00ED3D9C"/>
    <w:rsid w:val="00EE3D16"/>
    <w:rsid w:val="00EE59BC"/>
    <w:rsid w:val="00EE5B6C"/>
    <w:rsid w:val="00EF08B8"/>
    <w:rsid w:val="00EF51F2"/>
    <w:rsid w:val="00F03C3B"/>
    <w:rsid w:val="00F051AA"/>
    <w:rsid w:val="00F10AC6"/>
    <w:rsid w:val="00F114D4"/>
    <w:rsid w:val="00F15104"/>
    <w:rsid w:val="00F16335"/>
    <w:rsid w:val="00F2219D"/>
    <w:rsid w:val="00F30A75"/>
    <w:rsid w:val="00F34732"/>
    <w:rsid w:val="00F45E6A"/>
    <w:rsid w:val="00F61027"/>
    <w:rsid w:val="00F6124A"/>
    <w:rsid w:val="00F6516A"/>
    <w:rsid w:val="00F658CD"/>
    <w:rsid w:val="00F744BD"/>
    <w:rsid w:val="00F77063"/>
    <w:rsid w:val="00F95055"/>
    <w:rsid w:val="00FA1D3F"/>
    <w:rsid w:val="00FA1F08"/>
    <w:rsid w:val="00FA3532"/>
    <w:rsid w:val="00FA356B"/>
    <w:rsid w:val="00FB0FED"/>
    <w:rsid w:val="00FB2B27"/>
    <w:rsid w:val="00FB3CFB"/>
    <w:rsid w:val="00FB5DB1"/>
    <w:rsid w:val="00FC69C8"/>
    <w:rsid w:val="00FD5BB7"/>
    <w:rsid w:val="00FD7088"/>
    <w:rsid w:val="00FE0112"/>
    <w:rsid w:val="00FE1439"/>
    <w:rsid w:val="00FE6221"/>
    <w:rsid w:val="00FF3544"/>
    <w:rsid w:val="01C0DCAB"/>
    <w:rsid w:val="06CF8622"/>
    <w:rsid w:val="0B12F700"/>
    <w:rsid w:val="0D94D91B"/>
    <w:rsid w:val="0EA75EDA"/>
    <w:rsid w:val="12F5374D"/>
    <w:rsid w:val="13A4DC49"/>
    <w:rsid w:val="1463EF71"/>
    <w:rsid w:val="15FE37CB"/>
    <w:rsid w:val="17D09E41"/>
    <w:rsid w:val="1DA72D09"/>
    <w:rsid w:val="27B55BA7"/>
    <w:rsid w:val="2804CFB4"/>
    <w:rsid w:val="2B4FC9B4"/>
    <w:rsid w:val="2B846461"/>
    <w:rsid w:val="342CABB9"/>
    <w:rsid w:val="36508A0A"/>
    <w:rsid w:val="38EA8668"/>
    <w:rsid w:val="39F32694"/>
    <w:rsid w:val="3C7D65ED"/>
    <w:rsid w:val="3D01632F"/>
    <w:rsid w:val="40F98283"/>
    <w:rsid w:val="41A48CBB"/>
    <w:rsid w:val="47E7CC73"/>
    <w:rsid w:val="4863CAD5"/>
    <w:rsid w:val="50BAF7FC"/>
    <w:rsid w:val="5C3422EE"/>
    <w:rsid w:val="5FCE1A95"/>
    <w:rsid w:val="61228537"/>
    <w:rsid w:val="625D7D63"/>
    <w:rsid w:val="626F2D37"/>
    <w:rsid w:val="631322C8"/>
    <w:rsid w:val="684EAB51"/>
    <w:rsid w:val="69A9889F"/>
    <w:rsid w:val="6A530646"/>
    <w:rsid w:val="6D694C35"/>
    <w:rsid w:val="714A9E43"/>
    <w:rsid w:val="79073539"/>
    <w:rsid w:val="7A9ECD75"/>
    <w:rsid w:val="7B61665C"/>
    <w:rsid w:val="7D6A06C6"/>
    <w:rsid w:val="7E8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1BFE9"/>
  <w15:chartTrackingRefBased/>
  <w15:docId w15:val="{DD595921-A84F-4870-B96C-42FD1E96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6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3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C3B"/>
    <w:rPr>
      <w:b/>
      <w:bCs/>
      <w:sz w:val="20"/>
      <w:szCs w:val="20"/>
    </w:rPr>
  </w:style>
  <w:style w:type="paragraph" w:customStyle="1" w:styleId="Psmenkov">
    <w:name w:val="Písmenkový"/>
    <w:link w:val="PsmenkovChar"/>
    <w:rsid w:val="0008452A"/>
    <w:pPr>
      <w:widowControl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PsmenkovChar">
    <w:name w:val="Písmenkový Char"/>
    <w:link w:val="Psmenkov"/>
    <w:rsid w:val="0008452A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Revize">
    <w:name w:val="Revision"/>
    <w:hidden/>
    <w:uiPriority w:val="99"/>
    <w:semiHidden/>
    <w:rsid w:val="0046121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857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857E6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07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49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4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27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26F"/>
  </w:style>
  <w:style w:type="character" w:styleId="Sledovanodkaz">
    <w:name w:val="FollowedHyperlink"/>
    <w:basedOn w:val="Standardnpsmoodstavce"/>
    <w:uiPriority w:val="99"/>
    <w:semiHidden/>
    <w:unhideWhenUsed/>
    <w:rsid w:val="00A02BDC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10188E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10188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DE83-1EC7-417D-AD0C-FAA253B58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FB0CE-A9E1-45EF-8210-8CCC4A34A2F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198298B4-880C-4C03-BF3B-2C9D33038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4EBBD-6AFE-4B99-883E-B0DDDE4E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Martin Sysel</cp:lastModifiedBy>
  <cp:revision>11</cp:revision>
  <dcterms:created xsi:type="dcterms:W3CDTF">2026-05-29T15:36:00Z</dcterms:created>
  <dcterms:modified xsi:type="dcterms:W3CDTF">2026-06-10T11:50:00Z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41df9436-234d-437c-a73c-e241215b3d56</vt:lpwstr>
  </property>
  <property fmtid="{D5CDD505-2E9C-101B-9397-08002B2CF9AE}" pid="3" name="ContentTypeId">
    <vt:lpwstr>0x010100E9E10CE4BC10AB499C8FDEDE2D1973E6</vt:lpwstr>
  </property>
  <property fmtid="{D5CDD505-2E9C-101B-9397-08002B2CF9AE}" pid="4" name="MediaServiceImageTags">
    <vt:lpwstr/>
  </property>
</Properties>
</file>